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CAA" w:rsidRPr="004409D3" w:rsidRDefault="004409D3" w:rsidP="004409D3">
      <w:pPr>
        <w:spacing w:line="480" w:lineRule="auto"/>
        <w:rPr>
          <w:b/>
          <w:lang w:val="en-GB"/>
        </w:rPr>
      </w:pPr>
      <w:bookmarkStart w:id="0" w:name="_GoBack"/>
      <w:bookmarkEnd w:id="0"/>
      <w:r w:rsidRPr="004409D3">
        <w:rPr>
          <w:b/>
          <w:lang w:val="en-GB"/>
        </w:rPr>
        <w:t>Additional file</w:t>
      </w:r>
    </w:p>
    <w:p w:rsidR="00CA6CAA" w:rsidRDefault="00CA6CAA" w:rsidP="004409D3">
      <w:pPr>
        <w:spacing w:line="480" w:lineRule="auto"/>
        <w:rPr>
          <w:b/>
          <w:lang w:val="en-GB"/>
        </w:rPr>
      </w:pPr>
      <w:r>
        <w:rPr>
          <w:b/>
          <w:lang w:val="en-GB"/>
        </w:rPr>
        <w:t>Table. Other identified ideas (</w:t>
      </w:r>
      <w:r>
        <w:rPr>
          <w:rFonts w:cstheme="minorHAnsi"/>
          <w:b/>
          <w:lang w:val="en-GB"/>
        </w:rPr>
        <w:t>&lt;3</w:t>
      </w:r>
      <w:r>
        <w:rPr>
          <w:b/>
          <w:lang w:val="en-GB"/>
        </w:rPr>
        <w:t xml:space="preserve"> occurrences) concerning IPC implementation learned lessons in low-resource settings according to each WHO core component</w:t>
      </w:r>
    </w:p>
    <w:tbl>
      <w:tblPr>
        <w:tblW w:w="51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4"/>
        <w:gridCol w:w="6751"/>
        <w:gridCol w:w="412"/>
      </w:tblGrid>
      <w:tr w:rsidR="00CA6CAA" w:rsidTr="004D2CDF">
        <w:trPr>
          <w:trHeight w:val="43"/>
        </w:trPr>
        <w:tc>
          <w:tcPr>
            <w:tcW w:w="1299" w:type="pct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Theme</w:t>
            </w:r>
          </w:p>
        </w:tc>
        <w:tc>
          <w:tcPr>
            <w:tcW w:w="3488" w:type="pct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Sub-themes</w:t>
            </w:r>
          </w:p>
        </w:tc>
        <w:tc>
          <w:tcPr>
            <w:tcW w:w="213" w:type="pct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N*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Core Component 1: IPC programme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specific activities or opportunities as “catalysts” for advocacy (n=8)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research grant programmes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outbreaks to build political will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Patient associations can also help to promote the need for IPC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Build public awareness and leverage concerns (e.g. dirty hospitals) to promote IPC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Appeal to moral obligation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linkages with health system (n=4)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IPC personnel and team with the nursing directorate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IPC personnel and team with the patient safety team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Create national cross-departmental committee and IPC-specific technical working groups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Consider role of political structures and collaboration needed, e.g. decentralized states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National IPC association can drive IPC improvement (n=4)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National IPC association can be active in hosting conferences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Some IPC activities were started in selected “model hospitals” and professionals from these facilities then created an IPC association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Need an approach to maintain “continuous” advocacy (n=2)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Send regular emails copying in senior leadership/managers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a stepwise approach to build required resources (n=2)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First asking the administration to dedicate one to two working days to IPC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May need normative actions to convince stakeholders (n=2)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International norms or standards should be cited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Core Component 2: IPC guidelines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Consider specific approaches to operationalize guidelines (n=10)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Create a small monthly budget for guideline implementation, e.g. shift from other areas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guidelines directly to standard operating procedures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Set implementation deadlines for hospitals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guidelines to short "how-to guides/survival kits” that personnel can carry on them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guidelines to research activities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guidelines to smartphone applications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May first need external technical assistance (n=2)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Selected professionals should first receive IPC training and they can then better assist with guideline development and adaption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Core Component 3: IPC education and training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linkages with health system and sustainability (n=6)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Integrate competencies into job descriptions and performance reviews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Require participants to pay a small fee to sustain programme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Collaborate with other relevant Ministries to develop, deliver and maintain trainings</w:t>
            </w:r>
          </w:p>
        </w:tc>
        <w:tc>
          <w:tcPr>
            <w:tcW w:w="213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Collaborate with universities to develop, deliver and maintain trainings</w:t>
            </w:r>
          </w:p>
        </w:tc>
        <w:tc>
          <w:tcPr>
            <w:tcW w:w="213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Collaborate with national IPC association to develop, deliver and maintain trainings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Consider specific training methods (n=5)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Always include IPC in new employee orientation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training to mentorship initiatives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Also conduct trainings specific for administrators and managers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regional meetings to keep experts updated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Ensure certain training content elements (n=4)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training content to what is currently in guidelines or standard operating procedures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the recognized subject of hand hygiene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Include communication skills in training content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Foster local IPC leadership during trainings (n=1)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Identify local champion trainers and trainees at the regional health services level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>Core Component 4: Health care-associated infection (HAI) surveillance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Prioritise feasible but high-impact starting points or pilots (n=7)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neonatal sepsis pilot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Consider mandatory surveillance, e.g. for multidrug-resistant organisms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wound infection pilot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clinical surveillance i.e. patient interviews, round observations, chart reviews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Could show tuberculosis data to show "problem" to advocate for HAI surveillance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Could start surveillance as part of a research project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“data for action” (n=7)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Regularly discuss data and opportunities for action with leadership, i.e. meetings, emails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Send monthly or annual reports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Display HAI rates on ward notice boards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Regularly discuss data on grand rounds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outbreak experiences to can increase political will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Carefully consider definitions and data quality processes (n=5)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Prioritize first process indicators then outcome surveillance and risk stratification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International Nosocomial Infection Control Consortium (INICC) for benchmarking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Advocate for harmonized definitions/methods across states, i.e. strong communication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Ensure multidisciplinary collaboration, mentorship (n=3)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Advocate for leadership buy-in on the important need for surveillance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Collaborate with IT department and other public health services for surveillance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 xml:space="preserve">Core Component 5: </w:t>
            </w:r>
            <w:r>
              <w:rPr>
                <w:rFonts w:cstheme="minorHAnsi"/>
                <w:b/>
                <w:noProof/>
                <w:sz w:val="18"/>
                <w:szCs w:val="18"/>
                <w:lang w:val="en-GB" w:eastAsia="de-DE"/>
              </w:rPr>
              <w:t>Multidmodal strategies for implementation of IPC interventions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Put focus on certain elements of multimodal strategies (n=8)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Local production of alcohol-based hand rub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Integration of bundle interventions and quality checklists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Establishing facility goals and standards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Environmental cleaning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National committee sub-group on multimodal strategies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Collaboration with private and academic institutions is a key element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activities to clearly communicate and advocate for multimodal strategies (n=6)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Outbreaks can show the important of multimodal strategies and enable political will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surveillance data to demonstrate need and impact of multimodal strategies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Develop multimodal strategies in the context of a research study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 xml:space="preserve">Use the support to prevent and control AMR to advocate for multimodal strategies 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Prioritise feasible but high-impact starting points or pilots (n=5)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Focus where “it hurts the most”, e.g. outbreaks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health care-associated pneumonia or tuberculosis pilot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Prioritise low-cost interventions to promote sustainability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Adapt successful multimodal strategy examples from other countries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 xml:space="preserve">Core Component 6: </w:t>
            </w:r>
            <w:r>
              <w:rPr>
                <w:rFonts w:cstheme="minorHAnsi"/>
                <w:b/>
                <w:noProof/>
                <w:sz w:val="18"/>
                <w:szCs w:val="18"/>
                <w:lang w:val="en-GB" w:eastAsia="de-DE"/>
              </w:rPr>
              <w:t>Monitoring/audit of IPC practices and feedback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Put focus on certain methods (n=13)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color-coded monitoring and feedback system to improve understanding of results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link nurses for implementation for monitoring/audit and feedback activities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Conduct audits on rounds: Intensive care (daily), selected ward (monthly), full hospital (every 3-6 months)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Integrate IPC monitoring and feedback with tools used for tuberculosis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Integrate IPC monitoring and feedback with patient safety tools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Integrate IPC monitoring and feedback with WASH tools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Harmonize monitoring indicators across states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152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external surveyors from regional health services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Create phone application for monitoring and feedback, e.g. hand hygiene observations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Prioritise feasible but high-impact starting points or pilots (n=7)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device-associated infections, e.g. urinary or bloodstream, process indicators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Adapt international monitoring and audit tools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Can start with manual data collection, e.g. round observations, and scale up to electronic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outbreak data to increase political will for change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“data for action” (n=3)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monitoring indicators and feedback to accreditation steps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60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monitoring indicators and feedback to improvement plan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Develop benchmarking system and show progress to leadership, e.g. facility-based, INICC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 xml:space="preserve">Core Component 7: </w:t>
            </w:r>
            <w:r>
              <w:rPr>
                <w:rFonts w:cstheme="minorHAnsi"/>
                <w:b/>
                <w:noProof/>
                <w:sz w:val="18"/>
                <w:szCs w:val="18"/>
                <w:lang w:val="en-GB" w:eastAsia="de-DE"/>
              </w:rPr>
              <w:t>Workload, staffing and bed occupancy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Put focus on certain methods (n=7)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outbreak data to increase political will for staffing and bed occupancy improvement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link nurses to improve workload and staffing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Consider adaptions to meet bed occupancy standards, e.g. smaller beds in paediatric wards, decentralize care when possible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Advocate for increased health care worker salaries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Use task-sharing models to improve workload and staffing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5000" w:type="pct"/>
            <w:gridSpan w:val="3"/>
            <w:shd w:val="clear" w:color="auto" w:fill="D9D9D9" w:themeFill="background1" w:themeFillShade="D9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b/>
                <w:color w:val="000000"/>
                <w:sz w:val="18"/>
                <w:szCs w:val="18"/>
                <w:lang w:val="en-GB" w:eastAsia="de-DE"/>
              </w:rPr>
              <w:t xml:space="preserve">Core Component 8: </w:t>
            </w:r>
            <w:r>
              <w:rPr>
                <w:rFonts w:cstheme="minorHAnsi"/>
                <w:b/>
                <w:noProof/>
                <w:sz w:val="18"/>
                <w:szCs w:val="18"/>
                <w:lang w:val="en-GB" w:eastAsia="de-DE"/>
              </w:rPr>
              <w:t>Built environment, materials and equipment for IPC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Put focus on certain elements of a multimodal strategy (n=9)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Identify evidence-based high-risk environmental points for process control in facility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WASH education, training, and visits to wards and sterilization unit</w:t>
            </w:r>
          </w:p>
        </w:tc>
        <w:tc>
          <w:tcPr>
            <w:tcW w:w="213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ensuring well-functioning incinerators</w:t>
            </w:r>
          </w:p>
        </w:tc>
        <w:tc>
          <w:tcPr>
            <w:tcW w:w="213" w:type="pc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Set WASH standards at the national level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Start with waste management pilot, e.g. coloured bins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Conduct monitoring and feedback using WASHFIT developed by WHO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  <w:hideMark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long-term advocacy and integration with health system (n=5)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Promote IPC culture early in school WASH and hand hygiene projects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Link IPC with national committee workgroup on infrastructure and/or WASH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Set WASH standards for healthcare facility accreditation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 xml:space="preserve">Develop sustainable strategy for local production of alcohol-based hand rub and (preoperative) antiseptic skin solution 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1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 w:val="restart"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IPC professionals should be actively involved in facility construction (n=4)</w:t>
            </w: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Provide IPC training to Ministry or governmental body overseeing facility construction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  <w:tr w:rsidR="00CA6CAA" w:rsidTr="004D2CDF">
        <w:trPr>
          <w:trHeight w:val="43"/>
        </w:trPr>
        <w:tc>
          <w:tcPr>
            <w:tcW w:w="1299" w:type="pct"/>
            <w:vMerge/>
            <w:shd w:val="clear" w:color="auto" w:fill="auto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3488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Develop regulation to enforce involvement of IPC professionals in facility construction</w:t>
            </w:r>
          </w:p>
        </w:tc>
        <w:tc>
          <w:tcPr>
            <w:tcW w:w="213" w:type="pct"/>
            <w:shd w:val="clear" w:color="auto" w:fill="FFFFFF" w:themeFill="background1"/>
            <w:noWrap/>
            <w:vAlign w:val="bottom"/>
          </w:tcPr>
          <w:p w:rsidR="00CA6CAA" w:rsidRDefault="00CA6CAA" w:rsidP="004D2C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</w:tr>
    </w:tbl>
    <w:p w:rsidR="004409D3" w:rsidRDefault="004409D3" w:rsidP="004409D3">
      <w:pPr>
        <w:spacing w:after="0" w:line="480" w:lineRule="auto"/>
        <w:textAlignment w:val="baseline"/>
        <w:rPr>
          <w:rFonts w:eastAsia="Times New Roman" w:cs="Segoe UI Symbol"/>
          <w:color w:val="333333"/>
          <w:lang w:val="en-GB"/>
        </w:rPr>
      </w:pPr>
    </w:p>
    <w:p w:rsidR="00CA6CAA" w:rsidRPr="004409D3" w:rsidRDefault="00CA6CAA" w:rsidP="004409D3">
      <w:pPr>
        <w:spacing w:after="0" w:line="480" w:lineRule="auto"/>
        <w:textAlignment w:val="baseline"/>
        <w:rPr>
          <w:rFonts w:eastAsia="Times New Roman" w:cs="Segoe UI Symbol"/>
          <w:color w:val="333333"/>
          <w:lang w:val="en-GB"/>
        </w:rPr>
      </w:pPr>
      <w:r w:rsidRPr="004409D3">
        <w:rPr>
          <w:rFonts w:eastAsia="Times New Roman" w:cs="Segoe UI Symbol"/>
          <w:color w:val="333333"/>
          <w:lang w:val="en-GB"/>
        </w:rPr>
        <w:t>*Themes and sub-themes are listed in order of decreasing frequency for each WHO core component of IPC programmes;</w:t>
      </w:r>
    </w:p>
    <w:p w:rsidR="00CA6CAA" w:rsidRPr="004409D3" w:rsidRDefault="00CA6CAA" w:rsidP="004409D3">
      <w:pPr>
        <w:spacing w:after="0" w:line="480" w:lineRule="auto"/>
        <w:textAlignment w:val="baseline"/>
        <w:rPr>
          <w:rFonts w:eastAsia="Times New Roman" w:cs="Segoe UI Symbol"/>
          <w:color w:val="333333"/>
          <w:lang w:val="en-GB"/>
        </w:rPr>
      </w:pPr>
      <w:r w:rsidRPr="004409D3">
        <w:rPr>
          <w:rFonts w:eastAsia="Times New Roman" w:cs="Segoe UI Symbol"/>
          <w:color w:val="333333"/>
          <w:lang w:val="en-GB"/>
        </w:rPr>
        <w:t xml:space="preserve">**Acronyms: AMR (Antimicrobial Resistance), HAI (Health </w:t>
      </w:r>
      <w:proofErr w:type="gramStart"/>
      <w:r w:rsidRPr="004409D3">
        <w:rPr>
          <w:rFonts w:eastAsia="Times New Roman" w:cs="Segoe UI Symbol"/>
          <w:color w:val="333333"/>
          <w:lang w:val="en-GB"/>
        </w:rPr>
        <w:t>care</w:t>
      </w:r>
      <w:proofErr w:type="gramEnd"/>
      <w:r w:rsidRPr="004409D3">
        <w:rPr>
          <w:rFonts w:eastAsia="Times New Roman" w:cs="Segoe UI Symbol"/>
          <w:color w:val="333333"/>
          <w:lang w:val="en-GB"/>
        </w:rPr>
        <w:t>-Associated Infections), INICC (</w:t>
      </w:r>
      <w:r w:rsidRPr="004409D3">
        <w:rPr>
          <w:rFonts w:eastAsia="Times New Roman" w:cstheme="minorHAnsi"/>
          <w:color w:val="000000"/>
          <w:lang w:val="en-GB" w:eastAsia="de-DE"/>
        </w:rPr>
        <w:t xml:space="preserve">International Nosocomial Infection Control Consortium), </w:t>
      </w:r>
      <w:r w:rsidRPr="004409D3">
        <w:rPr>
          <w:rFonts w:eastAsia="Times New Roman" w:cs="Segoe UI Symbol"/>
          <w:color w:val="333333"/>
          <w:lang w:val="en-GB"/>
        </w:rPr>
        <w:t>IPC (Infection Prevention and Control), IT (Information Technology), WASH (Water Sanitation and Hygiene), WASHFIT (Water and sanitation for health facility improvement tool), WHO (World Health Organization)</w:t>
      </w:r>
    </w:p>
    <w:p w:rsidR="00CA6CAA" w:rsidRPr="004409D3" w:rsidRDefault="00CA6CAA" w:rsidP="004409D3">
      <w:pPr>
        <w:autoSpaceDE w:val="0"/>
        <w:autoSpaceDN w:val="0"/>
        <w:adjustRightInd w:val="0"/>
        <w:spacing w:after="0" w:line="480" w:lineRule="auto"/>
        <w:rPr>
          <w:noProof/>
          <w:lang w:val="en-GB" w:eastAsia="de-DE"/>
        </w:rPr>
      </w:pPr>
    </w:p>
    <w:p w:rsidR="00CA6CAA" w:rsidRPr="00CA6CAA" w:rsidRDefault="00CA6CAA">
      <w:pPr>
        <w:rPr>
          <w:lang w:val="en-GB"/>
        </w:rPr>
      </w:pPr>
    </w:p>
    <w:sectPr w:rsidR="00CA6CAA" w:rsidRPr="00CA6CA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E82" w:rsidRDefault="00D36E82">
      <w:pPr>
        <w:spacing w:after="0" w:line="240" w:lineRule="auto"/>
      </w:pPr>
      <w:r>
        <w:separator/>
      </w:r>
    </w:p>
  </w:endnote>
  <w:endnote w:type="continuationSeparator" w:id="0">
    <w:p w:rsidR="00D36E82" w:rsidRDefault="00D36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8FC" w:rsidRPr="001078FC" w:rsidRDefault="00CA6CAA">
    <w:pPr>
      <w:pStyle w:val="Fuzeile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1078FC">
      <w:rPr>
        <w:caps/>
        <w:color w:val="000000" w:themeColor="text1"/>
      </w:rPr>
      <w:fldChar w:fldCharType="begin"/>
    </w:r>
    <w:r w:rsidRPr="001078FC">
      <w:rPr>
        <w:caps/>
        <w:color w:val="000000" w:themeColor="text1"/>
      </w:rPr>
      <w:instrText xml:space="preserve"> PAGE   \* MERGEFORMAT </w:instrText>
    </w:r>
    <w:r w:rsidRPr="001078FC">
      <w:rPr>
        <w:caps/>
        <w:color w:val="000000" w:themeColor="text1"/>
      </w:rPr>
      <w:fldChar w:fldCharType="separate"/>
    </w:r>
    <w:r w:rsidRPr="001078FC">
      <w:rPr>
        <w:caps/>
        <w:noProof/>
        <w:color w:val="000000" w:themeColor="text1"/>
      </w:rPr>
      <w:t>2</w:t>
    </w:r>
    <w:r w:rsidRPr="001078FC">
      <w:rPr>
        <w:caps/>
        <w:noProof/>
        <w:color w:val="000000" w:themeColor="text1"/>
      </w:rPr>
      <w:fldChar w:fldCharType="end"/>
    </w:r>
  </w:p>
  <w:p w:rsidR="001078FC" w:rsidRDefault="00D36E8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E82" w:rsidRDefault="00D36E82">
      <w:pPr>
        <w:spacing w:after="0" w:line="240" w:lineRule="auto"/>
      </w:pPr>
      <w:r>
        <w:separator/>
      </w:r>
    </w:p>
  </w:footnote>
  <w:footnote w:type="continuationSeparator" w:id="0">
    <w:p w:rsidR="00D36E82" w:rsidRDefault="00D36E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CAA"/>
    <w:rsid w:val="001715A7"/>
    <w:rsid w:val="004409D3"/>
    <w:rsid w:val="00CA6CAA"/>
    <w:rsid w:val="00D36E82"/>
    <w:rsid w:val="00D5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33CE91-167A-49AD-92D6-062478DF5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A6CA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CA6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A6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1423</Words>
  <Characters>8115</Characters>
  <Application>Microsoft Office Word</Application>
  <DocSecurity>0</DocSecurity>
  <Lines>67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Tomczyk</dc:creator>
  <cp:keywords/>
  <dc:description/>
  <cp:lastModifiedBy>Sara Tomczyk</cp:lastModifiedBy>
  <cp:revision>2</cp:revision>
  <dcterms:created xsi:type="dcterms:W3CDTF">2021-03-01T21:31:00Z</dcterms:created>
  <dcterms:modified xsi:type="dcterms:W3CDTF">2021-03-01T21:31:00Z</dcterms:modified>
</cp:coreProperties>
</file>