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eastAsia="Segoe UI"/>
          <w:b/>
          <w:bCs/>
          <w:color w:val="212121"/>
          <w:sz w:val="24"/>
          <w:szCs w:val="24"/>
          <w:shd w:val="clear" w:color="auto" w:fill="FFFFFF"/>
        </w:rPr>
      </w:pPr>
      <w:r>
        <w:rPr>
          <w:rFonts w:hint="default" w:ascii="Times New Roman" w:hAnsi="Times New Roman" w:eastAsia="Segoe UI"/>
          <w:b/>
          <w:bCs/>
          <w:color w:val="212121"/>
          <w:sz w:val="24"/>
          <w:szCs w:val="24"/>
          <w:shd w:val="clear" w:color="auto" w:fill="FFFFFF"/>
          <w:lang w:val="en-US"/>
        </w:rPr>
        <w:t>Additional file</w:t>
      </w:r>
      <w:r>
        <w:rPr>
          <w:rFonts w:ascii="Times New Roman" w:hAnsi="Times New Roman" w:eastAsia="Segoe UI"/>
          <w:b/>
          <w:bCs/>
          <w:color w:val="212121"/>
          <w:sz w:val="24"/>
          <w:szCs w:val="24"/>
          <w:shd w:val="clear" w:color="auto" w:fill="FFFFFF"/>
        </w:rPr>
        <w:t xml:space="preserve"> </w:t>
      </w:r>
      <w:r>
        <w:rPr>
          <w:rFonts w:hint="default" w:ascii="Times New Roman" w:hAnsi="Times New Roman" w:eastAsia="Segoe UI"/>
          <w:b/>
          <w:bCs/>
          <w:color w:val="212121"/>
          <w:sz w:val="24"/>
          <w:szCs w:val="24"/>
          <w:shd w:val="clear" w:color="auto" w:fill="FFFFFF"/>
          <w:lang w:val="en-US"/>
        </w:rPr>
        <w:t>2</w:t>
      </w:r>
      <w:r>
        <w:rPr>
          <w:rFonts w:ascii="Times New Roman" w:hAnsi="Times New Roman" w:eastAsia="Segoe UI"/>
          <w:b/>
          <w:bCs/>
          <w:color w:val="212121"/>
          <w:sz w:val="24"/>
          <w:szCs w:val="24"/>
          <w:shd w:val="clear" w:color="auto" w:fill="FFFFFF"/>
        </w:rPr>
        <w:t xml:space="preserve">. </w:t>
      </w:r>
      <w:r>
        <w:rPr>
          <w:rFonts w:hint="default" w:ascii="Times New Roman" w:hAnsi="Times New Roman" w:eastAsia="Segoe UI"/>
          <w:b/>
          <w:bCs/>
          <w:color w:val="212121"/>
          <w:sz w:val="24"/>
          <w:szCs w:val="24"/>
          <w:shd w:val="clear" w:color="auto" w:fill="FFFFFF"/>
          <w:lang w:val="en-US"/>
        </w:rPr>
        <w:t>Table of s</w:t>
      </w:r>
      <w:r>
        <w:rPr>
          <w:rFonts w:ascii="Times New Roman" w:hAnsi="Times New Roman" w:eastAsia="Segoe UI"/>
          <w:b/>
          <w:bCs/>
          <w:color w:val="212121"/>
          <w:sz w:val="24"/>
          <w:szCs w:val="24"/>
          <w:shd w:val="clear" w:color="auto" w:fill="FFFFFF"/>
        </w:rPr>
        <w:t xml:space="preserve">ummary of the </w:t>
      </w:r>
      <w:r>
        <w:rPr>
          <w:rFonts w:hint="default" w:ascii="Times New Roman" w:hAnsi="Times New Roman" w:eastAsia="Segoe UI"/>
          <w:b/>
          <w:bCs/>
          <w:color w:val="212121"/>
          <w:sz w:val="24"/>
          <w:szCs w:val="24"/>
          <w:shd w:val="clear" w:color="auto" w:fill="FFFFFF"/>
          <w:lang w:val="en-US"/>
        </w:rPr>
        <w:t>38</w:t>
      </w:r>
      <w:r>
        <w:rPr>
          <w:rFonts w:ascii="Times New Roman" w:hAnsi="Times New Roman" w:eastAsia="Segoe UI"/>
          <w:b/>
          <w:bCs/>
          <w:color w:val="212121"/>
          <w:sz w:val="24"/>
          <w:szCs w:val="24"/>
          <w:shd w:val="clear" w:color="auto" w:fill="FFFFFF"/>
        </w:rPr>
        <w:t xml:space="preserve"> selected articles for </w:t>
      </w:r>
      <w:r>
        <w:rPr>
          <w:rFonts w:hint="default" w:ascii="Times New Roman" w:hAnsi="Times New Roman" w:eastAsia="Segoe UI"/>
          <w:b/>
          <w:bCs/>
          <w:color w:val="212121"/>
          <w:sz w:val="24"/>
          <w:szCs w:val="24"/>
          <w:shd w:val="clear" w:color="auto" w:fill="FFFFFF"/>
          <w:lang w:val="en-US"/>
        </w:rPr>
        <w:t>the systematic</w:t>
      </w:r>
      <w:bookmarkStart w:id="0" w:name="_GoBack"/>
      <w:bookmarkEnd w:id="0"/>
      <w:r>
        <w:rPr>
          <w:rFonts w:ascii="Times New Roman" w:hAnsi="Times New Roman" w:eastAsia="Segoe UI"/>
          <w:b/>
          <w:bCs/>
          <w:color w:val="212121"/>
          <w:sz w:val="24"/>
          <w:szCs w:val="24"/>
          <w:shd w:val="clear" w:color="auto" w:fill="FFFFFF"/>
        </w:rPr>
        <w:t xml:space="preserve"> review</w:t>
      </w:r>
    </w:p>
    <w:tbl>
      <w:tblPr>
        <w:tblStyle w:val="3"/>
        <w:tblW w:w="5304" w:type="pct"/>
        <w:tblInd w:w="135" w:type="dxa"/>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Layout w:type="fixed"/>
        <w:tblCellMar>
          <w:top w:w="0" w:type="dxa"/>
          <w:left w:w="108" w:type="dxa"/>
          <w:bottom w:w="0" w:type="dxa"/>
          <w:right w:w="108" w:type="dxa"/>
        </w:tblCellMar>
      </w:tblPr>
      <w:tblGrid>
        <w:gridCol w:w="1560"/>
        <w:gridCol w:w="1117"/>
        <w:gridCol w:w="1516"/>
        <w:gridCol w:w="1112"/>
        <w:gridCol w:w="764"/>
        <w:gridCol w:w="1790"/>
        <w:gridCol w:w="1497"/>
        <w:gridCol w:w="3466"/>
        <w:gridCol w:w="2215"/>
      </w:tblGrid>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037" w:type="dxa"/>
            <w:gridSpan w:val="9"/>
            <w:tcBorders>
              <w:top w:val="single" w:color="666666" w:sz="4" w:space="0"/>
              <w:left w:val="nil"/>
              <w:bottom w:val="single" w:color="666666" w:sz="4" w:space="0"/>
              <w:right w:val="nil"/>
            </w:tcBorders>
            <w:noWrap/>
          </w:tcPr>
          <w:p>
            <w:pPr>
              <w:spacing w:after="0" w:line="271" w:lineRule="auto"/>
              <w:jc w:val="center"/>
              <w:rPr>
                <w:rFonts w:hint="default" w:ascii="Times New Roman" w:hAnsi="Times New Roman" w:eastAsia="Calibri"/>
                <w:b/>
                <w:bCs/>
                <w:sz w:val="24"/>
                <w:szCs w:val="24"/>
                <w:lang w:val="en-MY"/>
              </w:rPr>
            </w:pPr>
            <w:r>
              <w:rPr>
                <w:rFonts w:hint="default" w:ascii="Times New Roman" w:hAnsi="Times New Roman" w:eastAsia="Calibri"/>
                <w:b/>
                <w:bCs/>
                <w:sz w:val="24"/>
                <w:szCs w:val="24"/>
                <w:lang w:val="en-MY"/>
              </w:rPr>
              <w:t>Suicide among caregivers of dementia patients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after="0" w:line="271" w:lineRule="auto"/>
              <w:jc w:val="center"/>
              <w:rPr>
                <w:b/>
                <w:bCs/>
                <w:sz w:val="16"/>
                <w:szCs w:val="16"/>
              </w:rPr>
            </w:pPr>
            <w:r>
              <w:rPr>
                <w:rFonts w:ascii="Times New Roman" w:hAnsi="Times New Roman" w:eastAsia="Calibri"/>
                <w:b/>
                <w:bCs/>
                <w:sz w:val="16"/>
                <w:szCs w:val="16"/>
              </w:rPr>
              <w:t>Author(s)/ year/ country</w:t>
            </w:r>
          </w:p>
        </w:tc>
        <w:tc>
          <w:tcPr>
            <w:tcW w:w="1117" w:type="dxa"/>
            <w:tcBorders>
              <w:top w:val="single" w:color="666666" w:sz="4" w:space="0"/>
              <w:left w:val="nil"/>
              <w:bottom w:val="single" w:color="666666" w:sz="4" w:space="0"/>
              <w:right w:val="nil"/>
            </w:tcBorders>
          </w:tcPr>
          <w:p>
            <w:pPr>
              <w:spacing w:after="0" w:line="271" w:lineRule="auto"/>
              <w:rPr>
                <w:b/>
                <w:bCs/>
                <w:sz w:val="16"/>
                <w:szCs w:val="16"/>
              </w:rPr>
            </w:pPr>
            <w:r>
              <w:rPr>
                <w:rFonts w:ascii="Times New Roman" w:hAnsi="Times New Roman" w:eastAsia="Calibri"/>
                <w:b/>
                <w:bCs/>
                <w:sz w:val="16"/>
                <w:szCs w:val="16"/>
              </w:rPr>
              <w:t>Study design</w:t>
            </w:r>
          </w:p>
        </w:tc>
        <w:tc>
          <w:tcPr>
            <w:tcW w:w="1516" w:type="dxa"/>
            <w:tcBorders>
              <w:top w:val="single" w:color="666666" w:sz="4" w:space="0"/>
              <w:left w:val="nil"/>
              <w:bottom w:val="single" w:color="666666" w:sz="4" w:space="0"/>
              <w:right w:val="nil"/>
            </w:tcBorders>
          </w:tcPr>
          <w:p>
            <w:pPr>
              <w:spacing w:after="0" w:line="271" w:lineRule="auto"/>
              <w:jc w:val="center"/>
              <w:rPr>
                <w:b/>
                <w:bCs/>
                <w:sz w:val="16"/>
                <w:szCs w:val="16"/>
              </w:rPr>
            </w:pPr>
            <w:r>
              <w:rPr>
                <w:rFonts w:ascii="Times New Roman" w:hAnsi="Times New Roman" w:eastAsia="Calibri"/>
                <w:b/>
                <w:bCs/>
                <w:sz w:val="16"/>
                <w:szCs w:val="16"/>
              </w:rPr>
              <w:t xml:space="preserve">Participants (N/ gender/ age) </w:t>
            </w:r>
          </w:p>
        </w:tc>
        <w:tc>
          <w:tcPr>
            <w:tcW w:w="1112" w:type="dxa"/>
            <w:tcBorders>
              <w:top w:val="single" w:color="666666" w:sz="4" w:space="0"/>
              <w:left w:val="nil"/>
              <w:bottom w:val="single" w:color="666666" w:sz="4" w:space="0"/>
              <w:right w:val="nil"/>
            </w:tcBorders>
          </w:tcPr>
          <w:p>
            <w:pPr>
              <w:spacing w:after="0" w:line="271" w:lineRule="auto"/>
              <w:jc w:val="center"/>
              <w:rPr>
                <w:rFonts w:ascii="Times New Roman" w:hAnsi="Times New Roman" w:eastAsia="Calibri"/>
                <w:b/>
                <w:bCs/>
                <w:sz w:val="16"/>
                <w:szCs w:val="16"/>
              </w:rPr>
            </w:pPr>
            <w:r>
              <w:rPr>
                <w:rFonts w:ascii="Times New Roman" w:hAnsi="Times New Roman" w:eastAsia="Calibri"/>
                <w:b/>
                <w:bCs/>
                <w:sz w:val="16"/>
                <w:szCs w:val="16"/>
              </w:rPr>
              <w:t>Sampling method</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ascii="Times New Roman" w:hAnsi="Times New Roman" w:eastAsia="Calibri"/>
                <w:b/>
                <w:bCs/>
                <w:sz w:val="16"/>
                <w:szCs w:val="16"/>
              </w:rPr>
            </w:pPr>
            <w:r>
              <w:rPr>
                <w:rFonts w:ascii="Times New Roman" w:hAnsi="Times New Roman" w:eastAsia="Calibri"/>
                <w:b/>
                <w:bCs/>
                <w:sz w:val="16"/>
                <w:szCs w:val="16"/>
              </w:rPr>
              <w:t>SSE(Yes/No)</w:t>
            </w:r>
          </w:p>
        </w:tc>
        <w:tc>
          <w:tcPr>
            <w:tcW w:w="1790" w:type="dxa"/>
            <w:tcBorders>
              <w:top w:val="single" w:color="666666" w:sz="4" w:space="0"/>
              <w:left w:val="nil"/>
              <w:bottom w:val="single" w:color="666666" w:sz="4" w:space="0"/>
              <w:right w:val="nil"/>
            </w:tcBorders>
          </w:tcPr>
          <w:p>
            <w:pPr>
              <w:spacing w:after="0" w:line="271" w:lineRule="auto"/>
              <w:jc w:val="center"/>
              <w:rPr>
                <w:b/>
                <w:bCs/>
                <w:sz w:val="16"/>
                <w:szCs w:val="16"/>
              </w:rPr>
            </w:pPr>
            <w:r>
              <w:rPr>
                <w:rFonts w:ascii="Times New Roman" w:hAnsi="Times New Roman" w:eastAsia="Calibri"/>
                <w:b/>
                <w:bCs/>
                <w:sz w:val="16"/>
                <w:szCs w:val="16"/>
              </w:rPr>
              <w:t>Study objective(s)</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ascii="Times New Roman" w:hAnsi="Times New Roman" w:eastAsia="Calibri"/>
                <w:b/>
                <w:bCs/>
                <w:sz w:val="16"/>
                <w:szCs w:val="16"/>
              </w:rPr>
            </w:pPr>
            <w:r>
              <w:rPr>
                <w:rFonts w:ascii="Times New Roman" w:hAnsi="Times New Roman" w:eastAsia="Calibri"/>
                <w:b/>
                <w:bCs/>
                <w:sz w:val="16"/>
                <w:szCs w:val="16"/>
              </w:rPr>
              <w:t xml:space="preserve">Outcomemeasures (Measures/ Intervention)     </w:t>
            </w:r>
          </w:p>
        </w:tc>
        <w:tc>
          <w:tcPr>
            <w:tcW w:w="3466" w:type="dxa"/>
            <w:tcBorders>
              <w:top w:val="single" w:color="666666" w:sz="4" w:space="0"/>
              <w:left w:val="nil"/>
              <w:bottom w:val="single" w:color="666666" w:sz="4" w:space="0"/>
              <w:right w:val="nil"/>
            </w:tcBorders>
          </w:tcPr>
          <w:p>
            <w:pPr>
              <w:spacing w:after="0" w:line="271" w:lineRule="auto"/>
              <w:jc w:val="center"/>
              <w:rPr>
                <w:b/>
                <w:bCs/>
                <w:sz w:val="16"/>
                <w:szCs w:val="16"/>
              </w:rPr>
            </w:pPr>
            <w:r>
              <w:rPr>
                <w:rFonts w:ascii="Times New Roman" w:hAnsi="Times New Roman" w:eastAsia="Calibri"/>
                <w:b/>
                <w:bCs/>
                <w:sz w:val="16"/>
                <w:szCs w:val="16"/>
              </w:rPr>
              <w:t>Findings</w:t>
            </w:r>
          </w:p>
        </w:tc>
        <w:tc>
          <w:tcPr>
            <w:tcW w:w="2215" w:type="dxa"/>
            <w:tcBorders>
              <w:top w:val="single" w:color="666666" w:sz="4" w:space="0"/>
              <w:left w:val="nil"/>
              <w:bottom w:val="single" w:color="666666" w:sz="4" w:space="0"/>
              <w:right w:val="nil"/>
            </w:tcBorders>
          </w:tcPr>
          <w:p>
            <w:pPr>
              <w:spacing w:after="0" w:line="271" w:lineRule="auto"/>
              <w:rPr>
                <w:b/>
                <w:bCs/>
                <w:sz w:val="16"/>
                <w:szCs w:val="16"/>
              </w:rPr>
            </w:pPr>
            <w:r>
              <w:rPr>
                <w:rFonts w:ascii="Times New Roman" w:hAnsi="Times New Roman" w:eastAsia="Calibri"/>
                <w:b/>
                <w:bCs/>
                <w:sz w:val="16"/>
                <w:szCs w:val="16"/>
              </w:rPr>
              <w:t>Limitations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after="0" w:line="271" w:lineRule="auto"/>
              <w:jc w:val="center"/>
              <w:rPr>
                <w:rFonts w:hint="default" w:ascii="Times New Roman" w:hAnsi="Times New Roman" w:eastAsia="Calibri"/>
                <w:b w:val="0"/>
                <w:bCs w:val="0"/>
                <w:sz w:val="16"/>
                <w:szCs w:val="16"/>
                <w:lang w:val="en-MY"/>
              </w:rPr>
            </w:pPr>
            <w:r>
              <w:rPr>
                <w:rFonts w:hint="default" w:ascii="Times New Roman" w:hAnsi="Times New Roman" w:eastAsia="Calibri"/>
                <w:b/>
                <w:bCs/>
                <w:sz w:val="16"/>
                <w:szCs w:val="16"/>
                <w:lang w:val="en-US"/>
              </w:rPr>
              <w:t xml:space="preserve">Hosaka and Sugiyama, </w:t>
            </w:r>
            <w:r>
              <w:rPr>
                <w:rFonts w:hint="default" w:ascii="Times New Roman" w:hAnsi="Times New Roman" w:eastAsia="Calibri"/>
                <w:b/>
                <w:bCs/>
                <w:sz w:val="16"/>
                <w:szCs w:val="16"/>
                <w:lang w:val="en-MY"/>
              </w:rPr>
              <w:t>2003</w:t>
            </w:r>
          </w:p>
        </w:tc>
        <w:tc>
          <w:tcPr>
            <w:tcW w:w="1117" w:type="dxa"/>
            <w:tcBorders>
              <w:top w:val="single" w:color="666666" w:sz="4" w:space="0"/>
              <w:left w:val="nil"/>
              <w:bottom w:val="single" w:color="666666" w:sz="4" w:space="0"/>
              <w:right w:val="nil"/>
            </w:tcBorders>
          </w:tcPr>
          <w:p>
            <w:pPr>
              <w:spacing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Intervention study</w:t>
            </w:r>
          </w:p>
        </w:tc>
        <w:tc>
          <w:tcPr>
            <w:tcW w:w="1516" w:type="dxa"/>
            <w:tcBorders>
              <w:top w:val="single" w:color="666666" w:sz="4" w:space="0"/>
              <w:left w:val="nil"/>
              <w:bottom w:val="single" w:color="666666" w:sz="4" w:space="0"/>
              <w:right w:val="nil"/>
            </w:tcBorders>
          </w:tcPr>
          <w:p>
            <w:pPr>
              <w:spacing w:after="0" w:line="271" w:lineRule="auto"/>
              <w:jc w:val="center"/>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N = 20, all females from 47 to 66 years, 10 caretakers of  vascular dementia and 8 caretakers of Alzheimer’s disease</w:t>
            </w:r>
          </w:p>
        </w:tc>
        <w:tc>
          <w:tcPr>
            <w:tcW w:w="1112" w:type="dxa"/>
            <w:tcBorders>
              <w:top w:val="single" w:color="666666" w:sz="4" w:space="0"/>
              <w:left w:val="nil"/>
              <w:bottom w:val="single" w:color="666666" w:sz="4" w:space="0"/>
              <w:right w:val="nil"/>
            </w:tcBorders>
          </w:tcPr>
          <w:p>
            <w:pPr>
              <w:spacing w:after="0" w:line="271" w:lineRule="auto"/>
              <w:jc w:val="center"/>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No</w:t>
            </w:r>
          </w:p>
        </w:tc>
        <w:tc>
          <w:tcPr>
            <w:tcW w:w="1790" w:type="dxa"/>
            <w:tcBorders>
              <w:top w:val="single" w:color="666666" w:sz="4" w:space="0"/>
              <w:left w:val="nil"/>
              <w:bottom w:val="single" w:color="666666" w:sz="4" w:space="0"/>
              <w:right w:val="nil"/>
            </w:tcBorders>
          </w:tcPr>
          <w:p>
            <w:pPr>
              <w:spacing w:after="0" w:line="271" w:lineRule="auto"/>
              <w:jc w:val="center"/>
              <w:rPr>
                <w:rFonts w:ascii="Times New Roman" w:hAnsi="Times New Roman" w:eastAsia="Calibri"/>
                <w:b w:val="0"/>
                <w:bCs w:val="0"/>
                <w:sz w:val="16"/>
                <w:szCs w:val="16"/>
              </w:rPr>
            </w:pPr>
            <w:r>
              <w:rPr>
                <w:rFonts w:hint="default" w:ascii="Times New Roman" w:hAnsi="Times New Roman" w:eastAsia="Calibri"/>
                <w:b w:val="0"/>
                <w:bCs w:val="0"/>
                <w:sz w:val="16"/>
                <w:szCs w:val="16"/>
                <w:lang w:val="en-MY"/>
              </w:rPr>
              <w:t xml:space="preserve">To </w:t>
            </w:r>
            <w:r>
              <w:rPr>
                <w:rFonts w:hint="default" w:ascii="Times New Roman" w:hAnsi="Times New Roman" w:eastAsia="Calibri"/>
                <w:b w:val="0"/>
                <w:bCs w:val="0"/>
                <w:sz w:val="16"/>
                <w:szCs w:val="16"/>
              </w:rPr>
              <w:t xml:space="preserve">investigate the </w:t>
            </w:r>
            <w:r>
              <w:rPr>
                <w:rFonts w:hint="default" w:ascii="Times New Roman" w:hAnsi="Times New Roman" w:eastAsia="Calibri"/>
                <w:b w:val="0"/>
                <w:bCs w:val="0"/>
                <w:sz w:val="16"/>
                <w:szCs w:val="16"/>
                <w:lang w:val="en-MY"/>
              </w:rPr>
              <w:t>effects</w:t>
            </w:r>
            <w:r>
              <w:rPr>
                <w:rFonts w:hint="default" w:ascii="Times New Roman" w:hAnsi="Times New Roman" w:eastAsia="Calibri"/>
                <w:b w:val="0"/>
                <w:bCs w:val="0"/>
                <w:sz w:val="16"/>
                <w:szCs w:val="16"/>
              </w:rPr>
              <w:t xml:space="preserve"> of a 5-week structured group intervention on the immune</w:t>
            </w:r>
            <w:r>
              <w:rPr>
                <w:rFonts w:hint="default" w:ascii="Times New Roman" w:hAnsi="Times New Roman" w:eastAsia="Calibri"/>
                <w:b w:val="0"/>
                <w:bCs w:val="0"/>
                <w:sz w:val="16"/>
                <w:szCs w:val="16"/>
                <w:lang w:val="en-MY"/>
              </w:rPr>
              <w:t xml:space="preserve"> </w:t>
            </w:r>
            <w:r>
              <w:rPr>
                <w:rFonts w:hint="default" w:ascii="Times New Roman" w:hAnsi="Times New Roman" w:eastAsia="Calibri"/>
                <w:b w:val="0"/>
                <w:bCs w:val="0"/>
                <w:sz w:val="16"/>
                <w:szCs w:val="16"/>
              </w:rPr>
              <w:t xml:space="preserve">function of caregivers of dementia </w:t>
            </w:r>
            <w:r>
              <w:rPr>
                <w:rFonts w:hint="default" w:ascii="Times New Roman" w:hAnsi="Times New Roman" w:eastAsia="Calibri"/>
                <w:b w:val="0"/>
                <w:bCs w:val="0"/>
                <w:sz w:val="16"/>
                <w:szCs w:val="16"/>
                <w:lang w:val="en-MY"/>
              </w:rPr>
              <w:t>patients</w:t>
            </w:r>
            <w:r>
              <w:rPr>
                <w:rFonts w:hint="default" w:ascii="Times New Roman" w:hAnsi="Times New Roman" w:eastAsia="Calibri"/>
                <w:b w:val="0"/>
                <w:bCs w:val="0"/>
                <w:sz w:val="16"/>
                <w:szCs w:val="16"/>
              </w:rPr>
              <w:t>.</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rPr>
              <w:t>POMS</w:t>
            </w:r>
            <w:r>
              <w:rPr>
                <w:rFonts w:hint="default" w:ascii="Times New Roman" w:hAnsi="Times New Roman" w:eastAsia="Calibri"/>
                <w:b w:val="0"/>
                <w:bCs w:val="0"/>
                <w:sz w:val="16"/>
                <w:szCs w:val="16"/>
                <w:lang w:val="en-MY"/>
              </w:rPr>
              <w:t>- to measure mood disteubance</w:t>
            </w:r>
            <w:r>
              <w:rPr>
                <w:rFonts w:hint="default" w:ascii="Times New Roman" w:hAnsi="Times New Roman" w:eastAsia="Calibri"/>
                <w:b w:val="0"/>
                <w:bCs w:val="0"/>
                <w:sz w:val="16"/>
                <w:szCs w:val="16"/>
              </w:rPr>
              <w:t xml:space="preserve"> andGHQ-30</w:t>
            </w:r>
            <w:r>
              <w:rPr>
                <w:rFonts w:hint="default" w:ascii="Times New Roman" w:hAnsi="Times New Roman" w:eastAsia="Calibri"/>
                <w:b w:val="0"/>
                <w:bCs w:val="0"/>
                <w:sz w:val="16"/>
                <w:szCs w:val="16"/>
                <w:lang w:val="en-MY"/>
              </w:rPr>
              <w:t>- to assess other comorbidity</w:t>
            </w:r>
          </w:p>
        </w:tc>
        <w:tc>
          <w:tcPr>
            <w:tcW w:w="3466" w:type="dxa"/>
            <w:tcBorders>
              <w:top w:val="single" w:color="666666" w:sz="4" w:space="0"/>
              <w:left w:val="nil"/>
              <w:bottom w:val="single" w:color="666666" w:sz="4" w:space="0"/>
              <w:right w:val="nil"/>
            </w:tcBorders>
          </w:tcPr>
          <w:p>
            <w:pPr>
              <w:numPr>
                <w:ilvl w:val="0"/>
                <w:numId w:val="1"/>
              </w:numPr>
              <w:spacing w:before="0" w:beforeAutospacing="0"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Pre-intervention mean score for suicidal depression domain in GHQ-30 was 1.10 (SD = 1.48) and post-intervention at 0.85 (SD = 2.85).</w:t>
            </w:r>
          </w:p>
          <w:p>
            <w:pPr>
              <w:numPr>
                <w:ilvl w:val="0"/>
                <w:numId w:val="1"/>
              </w:numPr>
              <w:spacing w:before="0" w:beforeAutospacing="0"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 xml:space="preserve">Other findings: Depression mean score (POMS) was 16.1 (SD = 23.0) pre-intervention and 12.1 (SD = 12.6) at post-intervention. </w:t>
            </w:r>
          </w:p>
          <w:p>
            <w:pPr>
              <w:numPr>
                <w:ilvl w:val="0"/>
                <w:numId w:val="1"/>
              </w:numPr>
              <w:spacing w:before="0" w:beforeAutospacing="0"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 xml:space="preserve">11 out of 20 subjects had no social support. </w:t>
            </w:r>
          </w:p>
        </w:tc>
        <w:tc>
          <w:tcPr>
            <w:tcW w:w="2215" w:type="dxa"/>
            <w:tcBorders>
              <w:top w:val="single" w:color="666666" w:sz="4" w:space="0"/>
              <w:left w:val="nil"/>
              <w:bottom w:val="single" w:color="666666" w:sz="4" w:space="0"/>
              <w:right w:val="nil"/>
            </w:tcBorders>
          </w:tcPr>
          <w:p>
            <w:pPr>
              <w:numPr>
                <w:ilvl w:val="0"/>
                <w:numId w:val="2"/>
              </w:numPr>
              <w:spacing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 xml:space="preserve">Small sample size. </w:t>
            </w:r>
          </w:p>
          <w:p>
            <w:pPr>
              <w:numPr>
                <w:ilvl w:val="0"/>
                <w:numId w:val="2"/>
              </w:numPr>
              <w:spacing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 xml:space="preserve">Subjects recruited from one centre.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Shaji et al., 2003</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Qualitative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 = 17, 76% were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To assess the range of care arrangements, attitudes towards caregiving roles and sources of strain among caregivers of Alzheimer’s disease patients</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Use of topic guide</w:t>
            </w:r>
          </w:p>
        </w:tc>
        <w:tc>
          <w:tcPr>
            <w:tcW w:w="3466" w:type="dxa"/>
            <w:tcBorders>
              <w:top w:val="single" w:color="666666" w:sz="4" w:space="0"/>
              <w:left w:val="nil"/>
              <w:bottom w:val="single" w:color="666666" w:sz="4" w:space="0"/>
              <w:right w:val="nil"/>
            </w:tcBorders>
          </w:tcPr>
          <w:p>
            <w:pPr>
              <w:numPr>
                <w:ilvl w:val="0"/>
                <w:numId w:val="3"/>
              </w:numPr>
              <w:spacing w:before="0" w:beforeAutospacing="0" w:after="0" w:line="271" w:lineRule="auto"/>
              <w:ind w:left="40" w:leftChars="0" w:firstLine="0" w:firstLineChars="0"/>
              <w:rPr>
                <w:rFonts w:ascii="Times New Roman" w:hAnsi="Times New Roman" w:eastAsia="Calibri"/>
                <w:sz w:val="16"/>
                <w:szCs w:val="16"/>
              </w:rPr>
            </w:pPr>
            <w:r>
              <w:rPr>
                <w:rFonts w:hint="default" w:ascii="Times New Roman" w:hAnsi="Times New Roman" w:eastAsia="Calibri"/>
                <w:sz w:val="16"/>
                <w:szCs w:val="16"/>
                <w:lang w:val="en-US"/>
              </w:rPr>
              <w:t>D</w:t>
            </w:r>
            <w:r>
              <w:rPr>
                <w:rFonts w:hint="default" w:ascii="Times New Roman" w:hAnsi="Times New Roman" w:eastAsia="Calibri"/>
                <w:sz w:val="16"/>
                <w:szCs w:val="16"/>
              </w:rPr>
              <w:t>epressed</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mood was reported by 16 (94%) of caregivers. Five</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caregivers had suicidal ideation and one had made</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an attempt. The caregiver who committed suicide</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 xml:space="preserve">had major depressive disorder. </w:t>
            </w:r>
          </w:p>
          <w:p>
            <w:pPr>
              <w:numPr>
                <w:ilvl w:val="0"/>
                <w:numId w:val="3"/>
              </w:numPr>
              <w:spacing w:before="0" w:beforeAutospacing="0" w:after="0" w:line="271" w:lineRule="auto"/>
              <w:ind w:left="40" w:leftChars="0" w:firstLine="0" w:firstLineChars="0"/>
              <w:rPr>
                <w:rFonts w:ascii="Times New Roman" w:hAnsi="Times New Roman" w:eastAsia="Calibri"/>
                <w:sz w:val="16"/>
                <w:szCs w:val="16"/>
              </w:rPr>
            </w:pPr>
            <w:r>
              <w:rPr>
                <w:rFonts w:hint="default" w:ascii="Times New Roman" w:hAnsi="Times New Roman" w:eastAsia="Calibri"/>
                <w:sz w:val="16"/>
                <w:szCs w:val="16"/>
                <w:lang w:val="en-US"/>
              </w:rPr>
              <w:t>Sources of caregiver strain: impairment in basic activities such as eating, dressing, bathing, and maintaining personal hygiene; incontinence; behavioral and psychological symptoms of dementia (BPSD).</w:t>
            </w:r>
          </w:p>
          <w:p>
            <w:pPr>
              <w:numPr>
                <w:ilvl w:val="0"/>
                <w:numId w:val="3"/>
              </w:numPr>
              <w:spacing w:before="0" w:beforeAutospacing="0" w:after="0" w:line="271" w:lineRule="auto"/>
              <w:ind w:left="40" w:leftChars="0" w:firstLine="0" w:firstLineChars="0"/>
              <w:rPr>
                <w:rFonts w:ascii="Times New Roman" w:hAnsi="Times New Roman" w:eastAsia="Calibri"/>
                <w:sz w:val="16"/>
                <w:szCs w:val="16"/>
              </w:rPr>
            </w:pPr>
            <w:r>
              <w:rPr>
                <w:rFonts w:hint="default" w:ascii="Times New Roman" w:hAnsi="Times New Roman" w:eastAsia="Calibri"/>
                <w:sz w:val="16"/>
                <w:szCs w:val="16"/>
              </w:rPr>
              <w:t>Those caregivers who received help from others felt</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less stressed and appeared to be coping better.</w:t>
            </w:r>
            <w:r>
              <w:rPr>
                <w:rFonts w:hint="default" w:ascii="Times New Roman" w:hAnsi="Times New Roman" w:eastAsia="Calibri"/>
                <w:sz w:val="16"/>
                <w:szCs w:val="16"/>
                <w:lang w:val="en-US"/>
              </w:rPr>
              <w:t xml:space="preserve"> Better financial status, and other helpful adult women caregivers in the family were clearly helpful factors.</w:t>
            </w:r>
          </w:p>
        </w:tc>
        <w:tc>
          <w:tcPr>
            <w:tcW w:w="2215" w:type="dxa"/>
            <w:tcBorders>
              <w:top w:val="single" w:color="666666" w:sz="4" w:space="0"/>
              <w:left w:val="nil"/>
              <w:bottom w:val="single" w:color="666666" w:sz="4" w:space="0"/>
              <w:right w:val="nil"/>
            </w:tcBorders>
          </w:tcPr>
          <w:p>
            <w:pPr>
              <w:numPr>
                <w:ilvl w:val="0"/>
                <w:numId w:val="4"/>
              </w:num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val="0"/>
                <w:bCs w:val="0"/>
                <w:sz w:val="16"/>
                <w:szCs w:val="16"/>
                <w:lang w:val="en-US"/>
              </w:rPr>
              <w:t xml:space="preserve">Study did not consider saturation point for subject recruitment.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Valente et al., 2011</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137, 80.3%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Convenient sampling</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rPr>
              <w:t xml:space="preserve">To investigate caregivers </w:t>
            </w:r>
            <w:r>
              <w:rPr>
                <w:rFonts w:hint="default" w:ascii="Times New Roman" w:hAnsi="Times New Roman" w:eastAsia="Calibri"/>
                <w:sz w:val="16"/>
                <w:szCs w:val="16"/>
                <w:lang w:val="en-US"/>
              </w:rPr>
              <w:t xml:space="preserve">of dementia patients </w:t>
            </w:r>
            <w:r>
              <w:rPr>
                <w:rFonts w:hint="default" w:ascii="Times New Roman" w:hAnsi="Times New Roman" w:eastAsia="Calibri"/>
                <w:sz w:val="16"/>
                <w:szCs w:val="16"/>
              </w:rPr>
              <w:t>perceived health and to look into relationships with patients and caregivers’ sociodemographic and clinical data.</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BAI, BDI, ZBI, and MBI</w:t>
            </w:r>
          </w:p>
        </w:tc>
        <w:tc>
          <w:tcPr>
            <w:tcW w:w="3466" w:type="dxa"/>
            <w:tcBorders>
              <w:top w:val="single" w:color="666666" w:sz="4" w:space="0"/>
              <w:left w:val="nil"/>
              <w:bottom w:val="single" w:color="666666" w:sz="4" w:space="0"/>
              <w:right w:val="nil"/>
            </w:tcBorders>
          </w:tcPr>
          <w:p>
            <w:pPr>
              <w:numPr>
                <w:ilvl w:val="0"/>
                <w:numId w:val="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8.8% (n = 12) had death wishes.</w:t>
            </w:r>
          </w:p>
          <w:p>
            <w:pPr>
              <w:numPr>
                <w:ilvl w:val="0"/>
                <w:numId w:val="5"/>
              </w:numPr>
              <w:spacing w:before="0" w:beforeAutospacing="0" w:after="0" w:line="271" w:lineRule="auto"/>
              <w:ind w:left="0" w:leftChars="0" w:firstLine="0" w:firstLineChars="0"/>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Higher burden of care, severity of anxiety symptoms, severity of depression symptoms, emotional burnout, and depersonalization lead to higher odds of emotional problem. </w:t>
            </w:r>
          </w:p>
        </w:tc>
        <w:tc>
          <w:tcPr>
            <w:tcW w:w="2215" w:type="dxa"/>
            <w:tcBorders>
              <w:top w:val="single" w:color="666666" w:sz="4" w:space="0"/>
              <w:left w:val="nil"/>
              <w:bottom w:val="single" w:color="666666" w:sz="4" w:space="0"/>
              <w:right w:val="nil"/>
            </w:tcBorders>
          </w:tcPr>
          <w:p>
            <w:pPr>
              <w:numPr>
                <w:ilvl w:val="0"/>
                <w:numId w:val="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design, no causal inference.</w:t>
            </w:r>
          </w:p>
          <w:p>
            <w:pPr>
              <w:numPr>
                <w:ilvl w:val="0"/>
                <w:numId w:val="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Non-probability sampling used. </w:t>
            </w:r>
          </w:p>
          <w:p>
            <w:pPr>
              <w:numPr>
                <w:ilvl w:val="0"/>
                <w:numId w:val="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Small sample size.</w:t>
            </w:r>
          </w:p>
          <w:p>
            <w:pPr>
              <w:numPr>
                <w:ilvl w:val="0"/>
                <w:numId w:val="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Sample recruited only from one center.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MY"/>
              </w:rPr>
              <w:t>O’</w:t>
            </w:r>
            <w:r>
              <w:rPr>
                <w:rFonts w:hint="default" w:ascii="Times New Roman" w:hAnsi="Times New Roman" w:eastAsia="Calibri"/>
                <w:b/>
                <w:bCs/>
                <w:sz w:val="16"/>
                <w:szCs w:val="16"/>
                <w:lang w:val="en-US"/>
              </w:rPr>
              <w:t>Dwyer et al., 2012</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Online cross-sectional survey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120, 89.2% female</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lang w:val="en-US"/>
              </w:rPr>
              <w:t>T</w:t>
            </w:r>
            <w:r>
              <w:rPr>
                <w:rFonts w:hint="default" w:ascii="Times New Roman" w:hAnsi="Times New Roman" w:eastAsia="Calibri"/>
                <w:sz w:val="16"/>
                <w:szCs w:val="16"/>
              </w:rPr>
              <w:t>o gather preliminary evidence on suicidal ideation infamily carers of people with dementia.</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RMBPC, FCSES , ADKS, SF-12 II, CESDS, BHS, GAI, LOT, ZBS, Brief COPE, DSSI, SBQ-R</w:t>
            </w:r>
          </w:p>
        </w:tc>
        <w:tc>
          <w:tcPr>
            <w:tcW w:w="3466" w:type="dxa"/>
            <w:tcBorders>
              <w:top w:val="single" w:color="666666" w:sz="4" w:space="0"/>
              <w:left w:val="nil"/>
              <w:bottom w:val="single" w:color="666666" w:sz="4" w:space="0"/>
              <w:right w:val="nil"/>
            </w:tcBorders>
          </w:tcPr>
          <w:p>
            <w:pPr>
              <w:numPr>
                <w:ilvl w:val="0"/>
                <w:numId w:val="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26% of carers had contemplated suicide more than once in the previous year. Only half of these had ever told someone they might commit suicide and almost 30% said they were likely to attempt suicide in the future.</w:t>
            </w:r>
          </w:p>
          <w:p>
            <w:pPr>
              <w:numPr>
                <w:ilvl w:val="0"/>
                <w:numId w:val="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 Carers who had contemplated suicide had poorer mental health, lower self-efficacy for community support service use and greater use of dysfunctional coping strategies. </w:t>
            </w:r>
          </w:p>
          <w:p>
            <w:pPr>
              <w:numPr>
                <w:ilvl w:val="0"/>
                <w:numId w:val="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When all factors were controlled, only higher severity of depression predicted presence of suicidal thoughts. </w:t>
            </w:r>
          </w:p>
        </w:tc>
        <w:tc>
          <w:tcPr>
            <w:tcW w:w="2215" w:type="dxa"/>
            <w:tcBorders>
              <w:top w:val="single" w:color="666666" w:sz="4" w:space="0"/>
              <w:left w:val="nil"/>
              <w:bottom w:val="single" w:color="666666" w:sz="4" w:space="0"/>
              <w:right w:val="nil"/>
            </w:tcBorders>
          </w:tcPr>
          <w:p>
            <w:pPr>
              <w:numPr>
                <w:ilvl w:val="0"/>
                <w:numId w:val="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Small sample size.</w:t>
            </w:r>
          </w:p>
          <w:p>
            <w:pPr>
              <w:numPr>
                <w:ilvl w:val="0"/>
                <w:numId w:val="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study.</w:t>
            </w:r>
          </w:p>
          <w:p>
            <w:pPr>
              <w:numPr>
                <w:ilvl w:val="0"/>
                <w:numId w:val="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Sampling method used was convenient sampling. </w:t>
            </w:r>
          </w:p>
          <w:p>
            <w:pPr>
              <w:numPr>
                <w:ilvl w:val="0"/>
                <w:numId w:val="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Online survey limits generalizability of research findings.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MY"/>
              </w:rPr>
              <w:t>O’</w:t>
            </w:r>
            <w:r>
              <w:rPr>
                <w:rFonts w:hint="default" w:ascii="Times New Roman" w:hAnsi="Times New Roman" w:eastAsia="Calibri"/>
                <w:b/>
                <w:bCs/>
                <w:sz w:val="16"/>
                <w:szCs w:val="16"/>
                <w:lang w:val="en-US"/>
              </w:rPr>
              <w:t>Dwyer et al., 2013</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Qualitative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9, 4 males and 5 females; 55.6%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rPr>
              <w:t xml:space="preserve"> </w:t>
            </w:r>
            <w:r>
              <w:rPr>
                <w:rFonts w:hint="default" w:ascii="Times New Roman" w:hAnsi="Times New Roman" w:eastAsia="Calibri"/>
                <w:sz w:val="16"/>
                <w:szCs w:val="16"/>
                <w:lang w:val="en-US"/>
              </w:rPr>
              <w:t>T</w:t>
            </w:r>
            <w:r>
              <w:rPr>
                <w:rFonts w:hint="default" w:ascii="Times New Roman" w:hAnsi="Times New Roman" w:eastAsia="Calibri"/>
                <w:sz w:val="16"/>
                <w:szCs w:val="16"/>
              </w:rPr>
              <w:t>o conduct an initial exploration of carers</w:t>
            </w:r>
            <w:r>
              <w:rPr>
                <w:rFonts w:hint="default" w:ascii="Times New Roman" w:hAnsi="Times New Roman" w:eastAsia="Calibri"/>
                <w:sz w:val="16"/>
                <w:szCs w:val="16"/>
                <w:lang w:val="en-US"/>
              </w:rPr>
              <w:t xml:space="preserve"> of dementia patients</w:t>
            </w:r>
            <w:r>
              <w:rPr>
                <w:rFonts w:hint="default" w:ascii="Times New Roman" w:hAnsi="Times New Roman" w:eastAsia="Calibri"/>
                <w:sz w:val="16"/>
                <w:szCs w:val="16"/>
              </w:rPr>
              <w:t xml:space="preserve"> experiences of suicidality and identify factors associated</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with risk and resilience</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A semi-structured interview guide.  The questions focused on experiences and challenges of caring, participant approaches to managing stress and maintaining wellbeing, and experiences of suicidal ideation or suicide attempts.</w:t>
            </w:r>
          </w:p>
        </w:tc>
        <w:tc>
          <w:tcPr>
            <w:tcW w:w="3466" w:type="dxa"/>
            <w:tcBorders>
              <w:top w:val="single" w:color="666666" w:sz="4" w:space="0"/>
              <w:left w:val="nil"/>
              <w:bottom w:val="single" w:color="666666" w:sz="4" w:space="0"/>
              <w:right w:val="nil"/>
            </w:tcBorders>
          </w:tcPr>
          <w:p>
            <w:pPr>
              <w:numPr>
                <w:ilvl w:val="0"/>
                <w:numId w:val="9"/>
              </w:numPr>
              <w:spacing w:before="0" w:beforeAutospacing="0" w:after="0"/>
              <w:rPr>
                <w:rFonts w:hint="default" w:ascii="Times New Roman" w:hAnsi="Times New Roman" w:eastAsia="Calibri"/>
                <w:sz w:val="16"/>
                <w:szCs w:val="16"/>
                <w:lang w:val="en-US"/>
              </w:rPr>
            </w:pPr>
            <w:r>
              <w:rPr>
                <w:rFonts w:hint="default" w:ascii="Times New Roman" w:hAnsi="Times New Roman" w:eastAsia="Calibri"/>
                <w:sz w:val="16"/>
                <w:szCs w:val="16"/>
                <w:lang w:val="en-US"/>
              </w:rPr>
              <w:t>Three themes were identified in the data – ‘experiences of suicidal ideation’, ‘risk factors’ and ‘resilience’. Four of the nine participants had experienced suicidal thoughts and two had made preparations for a suicidal act.</w:t>
            </w:r>
          </w:p>
          <w:p>
            <w:pPr>
              <w:numPr>
                <w:ilvl w:val="0"/>
                <w:numId w:val="9"/>
              </w:numPr>
              <w:spacing w:before="0" w:beforeAutospacing="0" w:after="0"/>
              <w:rPr>
                <w:rFonts w:hint="default" w:ascii="Times New Roman" w:hAnsi="Times New Roman" w:eastAsia="Calibri"/>
                <w:sz w:val="16"/>
                <w:szCs w:val="16"/>
                <w:lang w:val="en-US"/>
              </w:rPr>
            </w:pPr>
            <w:r>
              <w:rPr>
                <w:rFonts w:hint="default" w:ascii="Times New Roman" w:hAnsi="Times New Roman" w:eastAsia="Calibri"/>
                <w:sz w:val="16"/>
                <w:szCs w:val="16"/>
                <w:lang w:val="en-US"/>
              </w:rPr>
              <w:t>Risk factors included pre-existing mental health problems, physical health conditions, and conflict with other  family or care staff.</w:t>
            </w:r>
          </w:p>
          <w:p>
            <w:pPr>
              <w:numPr>
                <w:ilvl w:val="0"/>
                <w:numId w:val="9"/>
              </w:numPr>
              <w:spacing w:before="0" w:beforeAutospacing="0" w:after="0"/>
              <w:rPr>
                <w:rFonts w:hint="default" w:ascii="Times New Roman" w:hAnsi="Times New Roman" w:eastAsia="Calibri"/>
                <w:sz w:val="16"/>
                <w:szCs w:val="16"/>
                <w:lang w:val="en-US"/>
              </w:rPr>
            </w:pPr>
            <w:r>
              <w:rPr>
                <w:rFonts w:hint="default" w:ascii="Times New Roman" w:hAnsi="Times New Roman" w:eastAsia="Calibri"/>
                <w:sz w:val="16"/>
                <w:szCs w:val="16"/>
                <w:lang w:val="en-US"/>
              </w:rPr>
              <w:t>Factors positively associated with resilience included the use of positive coping strategies, faith, social support and personal characteristics.</w:t>
            </w:r>
          </w:p>
        </w:tc>
        <w:tc>
          <w:tcPr>
            <w:tcW w:w="2215" w:type="dxa"/>
            <w:tcBorders>
              <w:top w:val="single" w:color="666666" w:sz="4" w:space="0"/>
              <w:left w:val="nil"/>
              <w:bottom w:val="single" w:color="666666" w:sz="4" w:space="0"/>
              <w:right w:val="nil"/>
            </w:tcBorders>
          </w:tcPr>
          <w:p>
            <w:pPr>
              <w:numPr>
                <w:ilvl w:val="0"/>
                <w:numId w:val="10"/>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sz w:val="16"/>
                <w:szCs w:val="16"/>
                <w:lang w:val="en-US"/>
              </w:rPr>
              <w:t xml:space="preserve">Study did not consider saturation point for subject recruitment. </w:t>
            </w:r>
          </w:p>
          <w:p>
            <w:pPr>
              <w:numPr>
                <w:ilvl w:val="0"/>
                <w:numId w:val="10"/>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sz w:val="16"/>
                <w:szCs w:val="16"/>
                <w:lang w:val="en-US"/>
              </w:rPr>
              <w:t xml:space="preserve">Participants self-selected.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Lewis, 2015</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Qualitative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101, 87% females (those who love one with dementia had passed away more than 10 years)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Purposive sampling</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lang w:val="en-US"/>
              </w:rPr>
              <w:t>T</w:t>
            </w:r>
            <w:r>
              <w:rPr>
                <w:rFonts w:hint="default" w:ascii="Times New Roman" w:hAnsi="Times New Roman" w:eastAsia="Calibri"/>
                <w:sz w:val="16"/>
                <w:szCs w:val="16"/>
              </w:rPr>
              <w:t>o discover a substantive</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theory that identifies the main problem that caregivers of</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loved ones with dementia face at the end of life and the basic</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social process by which they resolve that problem.</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ascii="Times New Roman" w:hAnsi="Times New Roman" w:eastAsia="Calibri"/>
                <w:sz w:val="16"/>
                <w:szCs w:val="16"/>
              </w:rPr>
            </w:pPr>
            <w:r>
              <w:rPr>
                <w:rFonts w:hint="default" w:ascii="Times New Roman" w:hAnsi="Times New Roman" w:eastAsia="Calibri"/>
                <w:sz w:val="16"/>
                <w:szCs w:val="16"/>
              </w:rPr>
              <w:t>Grounded theory transcends description of data to</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conceptualize ideas that are substantive.</w:t>
            </w:r>
          </w:p>
        </w:tc>
        <w:tc>
          <w:tcPr>
            <w:tcW w:w="3466" w:type="dxa"/>
            <w:tcBorders>
              <w:top w:val="single" w:color="666666" w:sz="4" w:space="0"/>
              <w:left w:val="nil"/>
              <w:bottom w:val="single" w:color="666666" w:sz="4" w:space="0"/>
              <w:right w:val="nil"/>
            </w:tcBorders>
          </w:tcPr>
          <w:p>
            <w:pPr>
              <w:numPr>
                <w:ilvl w:val="0"/>
                <w:numId w:val="11"/>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Caregivers faced a concern of being trapped in an inescapable role. They felt bound to loved ones emotionally, mentally, and often physically. </w:t>
            </w:r>
          </w:p>
          <w:p>
            <w:pPr>
              <w:numPr>
                <w:ilvl w:val="0"/>
                <w:numId w:val="11"/>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Caregivers attempt to resolve this problem through a 5-stage basic social psychological process of rediscovering: (i) missing the past (many caregivers described their years of caregiving as ‘‘saying a long goodbye.’’),  (ii) sacrificing self (caregivers devote themselves to trying to minimize losses and control the ‘‘downward spiral’’ of their loved ones and ultimately sacrifice themselves), (iii) yearning for escape (ambiguity of prognosis toward the end-of-life period led to caregivers guessing when the end was near and seeing ‘‘no end in sight, death of care receiver seems to be the only way out),  (iv) reclaiming identity (after caregivers reached the point of needing escape, they strategized ways to sustain themselves), and (v) finding joy (as a consequence of reclaiming themselves, caregivers were able to find true joy in their roles).</w:t>
            </w:r>
          </w:p>
        </w:tc>
        <w:tc>
          <w:tcPr>
            <w:tcW w:w="2215" w:type="dxa"/>
            <w:tcBorders>
              <w:top w:val="single" w:color="666666" w:sz="4" w:space="0"/>
              <w:left w:val="nil"/>
              <w:bottom w:val="single" w:color="666666" w:sz="4" w:space="0"/>
              <w:right w:val="nil"/>
            </w:tcBorders>
          </w:tcPr>
          <w:p>
            <w:pPr>
              <w:numPr>
                <w:ilvl w:val="0"/>
                <w:numId w:val="12"/>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Lack of diversity in demographic background. </w:t>
            </w:r>
          </w:p>
          <w:p>
            <w:pPr>
              <w:numPr>
                <w:ilvl w:val="0"/>
                <w:numId w:val="12"/>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Use of published memoirs as data may skewed the findings.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jc w:val="center"/>
              <w:rPr>
                <w:rFonts w:hint="default" w:ascii="Times New Roman" w:hAnsi="Times New Roman" w:eastAsia="Calibri"/>
                <w:b/>
                <w:bCs/>
                <w:sz w:val="16"/>
                <w:szCs w:val="16"/>
                <w:lang w:val="en-US"/>
              </w:rPr>
            </w:pPr>
            <w:r>
              <w:rPr>
                <w:rFonts w:hint="default" w:ascii="Times New Roman" w:hAnsi="Times New Roman"/>
                <w:b/>
                <w:sz w:val="16"/>
                <w:szCs w:val="16"/>
                <w:lang w:val="en-US"/>
              </w:rPr>
              <w:t>Koyama et al., 2016</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Case-control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N = 104, matched for age and gender, 58.7% females </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rPr>
              <w:t xml:space="preserve"> </w:t>
            </w:r>
            <w:r>
              <w:rPr>
                <w:rFonts w:hint="default" w:ascii="Times New Roman" w:hAnsi="Times New Roman" w:eastAsia="Calibri"/>
                <w:sz w:val="16"/>
                <w:szCs w:val="16"/>
                <w:lang w:val="en-US"/>
              </w:rPr>
              <w:t>T</w:t>
            </w:r>
            <w:r>
              <w:rPr>
                <w:rFonts w:hint="default" w:ascii="Times New Roman" w:hAnsi="Times New Roman" w:eastAsia="Calibri"/>
                <w:sz w:val="16"/>
                <w:szCs w:val="16"/>
              </w:rPr>
              <w:t>o compare the mental health of dementia caregivers with that of</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community residents and to clarify factors related to mental health problems in younger and older caregivers.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rPr>
              <w:t>C</w:t>
            </w:r>
            <w:r>
              <w:rPr>
                <w:rFonts w:hint="default" w:ascii="Times New Roman" w:hAnsi="Times New Roman" w:eastAsia="Calibri"/>
                <w:sz w:val="16"/>
                <w:szCs w:val="16"/>
                <w:lang w:val="en-US"/>
              </w:rPr>
              <w:t xml:space="preserve">ESDS,  SF-8, NPI, PSMS, LIADLS </w:t>
            </w:r>
          </w:p>
        </w:tc>
        <w:tc>
          <w:tcPr>
            <w:tcW w:w="3466" w:type="dxa"/>
            <w:tcBorders>
              <w:top w:val="single" w:color="666666" w:sz="4" w:space="0"/>
              <w:left w:val="nil"/>
              <w:bottom w:val="single" w:color="666666" w:sz="4" w:space="0"/>
              <w:right w:val="nil"/>
            </w:tcBorders>
          </w:tcPr>
          <w:p>
            <w:pPr>
              <w:numPr>
                <w:ilvl w:val="0"/>
                <w:numId w:val="13"/>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Both younger and older caregivers had significantly worse mental QOL than community residents, but were not more depressed. </w:t>
            </w:r>
          </w:p>
          <w:p>
            <w:pPr>
              <w:numPr>
                <w:ilvl w:val="0"/>
                <w:numId w:val="13"/>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Sleep problems were significantly more frequent in younger caregivers (39.1%) than in community residents.</w:t>
            </w:r>
          </w:p>
          <w:p>
            <w:pPr>
              <w:numPr>
                <w:ilvl w:val="0"/>
                <w:numId w:val="13"/>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Caregivers’ deteriorated mental QOL was associated with patients’ BPSD in younger caregivers and with dementia patients’ instrumental ADL and female gender in older caregivers.</w:t>
            </w:r>
          </w:p>
        </w:tc>
        <w:tc>
          <w:tcPr>
            <w:tcW w:w="2215" w:type="dxa"/>
            <w:tcBorders>
              <w:top w:val="single" w:color="666666" w:sz="4" w:space="0"/>
              <w:left w:val="nil"/>
              <w:bottom w:val="single" w:color="666666" w:sz="4" w:space="0"/>
              <w:right w:val="nil"/>
            </w:tcBorders>
          </w:tcPr>
          <w:p>
            <w:pPr>
              <w:numPr>
                <w:ilvl w:val="0"/>
                <w:numId w:val="14"/>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Small sample size.</w:t>
            </w:r>
          </w:p>
          <w:p>
            <w:pPr>
              <w:numPr>
                <w:ilvl w:val="0"/>
                <w:numId w:val="14"/>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design.</w:t>
            </w:r>
          </w:p>
          <w:p>
            <w:pPr>
              <w:numPr>
                <w:ilvl w:val="0"/>
                <w:numId w:val="14"/>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Use different questionnaires to assess mental state of older and younger caregivers. </w:t>
            </w:r>
          </w:p>
          <w:p>
            <w:pPr>
              <w:numPr>
                <w:ilvl w:val="0"/>
                <w:numId w:val="14"/>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Sample recruited from a single center.</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jc w:val="center"/>
              <w:rPr>
                <w:rFonts w:hint="default" w:ascii="Times New Roman" w:hAnsi="Times New Roman" w:eastAsia="Calibri"/>
                <w:b/>
                <w:bCs/>
                <w:sz w:val="16"/>
                <w:szCs w:val="16"/>
                <w:lang w:val="en-US"/>
              </w:rPr>
            </w:pPr>
            <w:r>
              <w:rPr>
                <w:rFonts w:hint="default" w:ascii="Times New Roman" w:hAnsi="Times New Roman"/>
                <w:b/>
                <w:sz w:val="16"/>
                <w:szCs w:val="16"/>
                <w:lang w:val="en-US"/>
              </w:rPr>
              <w:t>Joling et al., 2017</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Longitudinal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192, 70.3% females, divided into three groups (suicidal thought, no suicidal thought, not assess)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lang w:val="en-US"/>
              </w:rPr>
              <w:t xml:space="preserve">To </w:t>
            </w:r>
            <w:r>
              <w:rPr>
                <w:rFonts w:hint="default" w:ascii="Times New Roman" w:hAnsi="Times New Roman" w:eastAsia="Calibri"/>
                <w:sz w:val="16"/>
                <w:szCs w:val="16"/>
              </w:rPr>
              <w:t>explore thoughts</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of suicide, self-harm and death in dementia caregivers and investigates the characteristics that</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distinguish them from those without such thoughts.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MINI, CESDS, HADS-A, CRA, PMS, SSCQ </w:t>
            </w:r>
          </w:p>
        </w:tc>
        <w:tc>
          <w:tcPr>
            <w:tcW w:w="3466" w:type="dxa"/>
            <w:tcBorders>
              <w:top w:val="single" w:color="666666" w:sz="4" w:space="0"/>
              <w:left w:val="nil"/>
              <w:bottom w:val="single" w:color="666666" w:sz="4" w:space="0"/>
              <w:right w:val="nil"/>
            </w:tcBorders>
          </w:tcPr>
          <w:p>
            <w:pPr>
              <w:numPr>
                <w:ilvl w:val="0"/>
                <w:numId w:val="1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Within 24 months, 76 caregivers reported symptoms of a potential depression and were further assessed for suicidal thoughts. </w:t>
            </w:r>
          </w:p>
          <w:p>
            <w:pPr>
              <w:numPr>
                <w:ilvl w:val="0"/>
                <w:numId w:val="1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Nine carers (11.8%, 4.7% of the total sample) reported suicidal thoughts with three of those at multiple points. </w:t>
            </w:r>
          </w:p>
          <w:p>
            <w:pPr>
              <w:numPr>
                <w:ilvl w:val="0"/>
                <w:numId w:val="1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Caregivers with suicidal thoughts had more severe depressive and anxious symptoms, had a lower sense of competence and mastery, felt less happy and experienced more health problems, less family support and more feelings of loneliness than caregivers who had not. </w:t>
            </w:r>
          </w:p>
        </w:tc>
        <w:tc>
          <w:tcPr>
            <w:tcW w:w="2215" w:type="dxa"/>
            <w:tcBorders>
              <w:top w:val="single" w:color="666666" w:sz="4" w:space="0"/>
              <w:left w:val="nil"/>
              <w:bottom w:val="single" w:color="666666" w:sz="4" w:space="0"/>
              <w:right w:val="nil"/>
            </w:tcBorders>
          </w:tcPr>
          <w:p>
            <w:pPr>
              <w:numPr>
                <w:ilvl w:val="0"/>
                <w:numId w:val="1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thoughts of suicide, thoughts of self-harm and thoughts of death were grouped together. </w:t>
            </w:r>
          </w:p>
          <w:p>
            <w:pPr>
              <w:numPr>
                <w:ilvl w:val="0"/>
                <w:numId w:val="1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Age and education differ between the groups of subjects.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Anderson et al., 2019</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Qualitative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9 blogs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lang w:val="en-US"/>
              </w:rPr>
              <w:t xml:space="preserve">To </w:t>
            </w:r>
            <w:r>
              <w:rPr>
                <w:rFonts w:hint="default" w:ascii="Times New Roman" w:hAnsi="Times New Roman" w:eastAsia="Calibri"/>
                <w:sz w:val="16"/>
                <w:szCs w:val="16"/>
              </w:rPr>
              <w:t>analyze a sample of blogs written by family caregivers of people with A</w:t>
            </w:r>
            <w:r>
              <w:rPr>
                <w:rFonts w:hint="default" w:ascii="Times New Roman" w:hAnsi="Times New Roman" w:eastAsia="Calibri"/>
                <w:sz w:val="16"/>
                <w:szCs w:val="16"/>
                <w:lang w:val="en-US"/>
              </w:rPr>
              <w:t xml:space="preserve">lzheimer’s disease and related dementia </w:t>
            </w:r>
            <w:r>
              <w:rPr>
                <w:rFonts w:hint="default" w:ascii="Times New Roman" w:hAnsi="Times New Roman" w:eastAsia="Calibri"/>
                <w:sz w:val="16"/>
                <w:szCs w:val="16"/>
              </w:rPr>
              <w:t>to explore thoughts of suicide and homicide expressed by these caregivers.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ascii="Times New Roman" w:hAnsi="Times New Roman" w:eastAsia="Calibri"/>
                <w:sz w:val="16"/>
                <w:szCs w:val="16"/>
              </w:rPr>
            </w:pPr>
            <w:r>
              <w:rPr>
                <w:rFonts w:hint="default" w:ascii="Times New Roman" w:hAnsi="Times New Roman" w:eastAsia="Calibri"/>
                <w:sz w:val="16"/>
                <w:szCs w:val="16"/>
              </w:rPr>
              <w:t>Transcripts were analyzed in chronological order by two authors using codes created from the verbatim words used by</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 xml:space="preserve"> the bloggers. </w:t>
            </w:r>
          </w:p>
        </w:tc>
        <w:tc>
          <w:tcPr>
            <w:tcW w:w="3466" w:type="dxa"/>
            <w:tcBorders>
              <w:top w:val="single" w:color="666666" w:sz="4" w:space="0"/>
              <w:left w:val="nil"/>
              <w:bottom w:val="single" w:color="666666" w:sz="4" w:space="0"/>
              <w:right w:val="nil"/>
            </w:tcBorders>
          </w:tcPr>
          <w:p>
            <w:pPr>
              <w:numPr>
                <w:ilvl w:val="0"/>
                <w:numId w:val="1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Five themes related to thoughts of suicide and homicide by caregivers and people with ADRD were derived from the analysis: (i) end-of-life care (majority of caregivers wrote about what they described as “the long good bye”); (ii) thoughts of death and euthanasia by the person with ADRD (caregivers documented the person with ADRD’s thoughts and reflections on their own impending death); (iii) surrogate decision making (caregivers often wrote about concerns surrounding surrogate decision making); (iv) thoughts of suicide by the caregiver  (caregivers expressed thoughts related to their own death); and  (v) thoughts of homicide and euthanasia by the caregiver (caregivers in this sample of bloggers also wished for the care recipient’s death). </w:t>
            </w:r>
          </w:p>
        </w:tc>
        <w:tc>
          <w:tcPr>
            <w:tcW w:w="2215" w:type="dxa"/>
            <w:tcBorders>
              <w:top w:val="single" w:color="666666" w:sz="4" w:space="0"/>
              <w:left w:val="nil"/>
              <w:bottom w:val="single" w:color="666666" w:sz="4" w:space="0"/>
              <w:right w:val="nil"/>
            </w:tcBorders>
          </w:tcPr>
          <w:p>
            <w:pPr>
              <w:numPr>
                <w:ilvl w:val="0"/>
                <w:numId w:val="1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May missed those who did not have access to internet.</w:t>
            </w:r>
          </w:p>
          <w:p>
            <w:pPr>
              <w:numPr>
                <w:ilvl w:val="0"/>
                <w:numId w:val="1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May missed those who referred themselves as “carers” rather than “caregiver” in the blogs.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Joling et al., 2019</w:t>
            </w:r>
          </w:p>
        </w:tc>
        <w:tc>
          <w:tcPr>
            <w:tcW w:w="1117" w:type="dxa"/>
            <w:tcBorders>
              <w:top w:val="single" w:color="666666" w:sz="4" w:space="0"/>
              <w:left w:val="nil"/>
              <w:bottom w:val="single" w:color="666666" w:sz="4" w:space="0"/>
              <w:right w:val="nil"/>
            </w:tcBorders>
            <w:vAlign w:val="top"/>
          </w:tcPr>
          <w:p>
            <w:pPr>
              <w:spacing w:before="0" w:beforeAutospacing="0" w:after="0" w:line="271" w:lineRule="auto"/>
              <w:rPr>
                <w:rFonts w:ascii="Times New Roman" w:hAnsi="Times New Roman" w:eastAsia="Calibri"/>
                <w:b/>
                <w:bCs/>
                <w:sz w:val="16"/>
                <w:szCs w:val="16"/>
              </w:rPr>
            </w:pPr>
            <w:r>
              <w:rPr>
                <w:rFonts w:hint="default" w:ascii="Times New Roman" w:hAnsi="Times New Roman" w:eastAsia="Calibri"/>
                <w:sz w:val="16"/>
                <w:szCs w:val="16"/>
                <w:lang w:val="en-US"/>
              </w:rPr>
              <w:t>Longitudinal study</w:t>
            </w:r>
          </w:p>
        </w:tc>
        <w:tc>
          <w:tcPr>
            <w:tcW w:w="1516" w:type="dxa"/>
            <w:tcBorders>
              <w:top w:val="single" w:color="666666" w:sz="4" w:space="0"/>
              <w:left w:val="nil"/>
              <w:bottom w:val="single" w:color="666666" w:sz="4" w:space="0"/>
              <w:right w:val="nil"/>
            </w:tcBorders>
            <w:vAlign w:val="top"/>
          </w:tcPr>
          <w:p>
            <w:pPr>
              <w:spacing w:before="0" w:beforeAutospacing="0" w:after="0" w:line="271" w:lineRule="auto"/>
              <w:jc w:val="center"/>
              <w:rPr>
                <w:rFonts w:hint="default" w:ascii="Times New Roman" w:hAnsi="Times New Roman" w:eastAsia="Calibri"/>
                <w:b/>
                <w:bCs/>
                <w:sz w:val="16"/>
                <w:szCs w:val="16"/>
                <w:lang w:val="en-US"/>
              </w:rPr>
            </w:pPr>
            <w:r>
              <w:rPr>
                <w:rFonts w:hint="default" w:ascii="Times New Roman" w:hAnsi="Times New Roman" w:eastAsia="Calibri"/>
                <w:sz w:val="16"/>
                <w:szCs w:val="16"/>
                <w:lang w:val="en-US"/>
              </w:rPr>
              <w:t>N = 6646 (first wave), 1582 (second wave and third wave); informal caregivers, 70.3% females</w:t>
            </w:r>
          </w:p>
        </w:tc>
        <w:tc>
          <w:tcPr>
            <w:tcW w:w="1112" w:type="dxa"/>
            <w:tcBorders>
              <w:top w:val="single" w:color="666666" w:sz="4" w:space="0"/>
              <w:left w:val="nil"/>
              <w:bottom w:val="single" w:color="666666" w:sz="4" w:space="0"/>
              <w:right w:val="nil"/>
            </w:tcBorders>
            <w:vAlign w:val="top"/>
          </w:tcPr>
          <w:p>
            <w:pPr>
              <w:spacing w:before="0" w:beforeAutospacing="0" w:after="0" w:line="271" w:lineRule="auto"/>
              <w:jc w:val="center"/>
              <w:rPr>
                <w:rFonts w:ascii="Times New Roman" w:hAnsi="Times New Roman" w:eastAsia="Calibri"/>
                <w:b/>
                <w:bCs/>
                <w:sz w:val="16"/>
                <w:szCs w:val="16"/>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Autospacing="0" w:after="0" w:line="271" w:lineRule="auto"/>
              <w:jc w:val="center"/>
              <w:rPr>
                <w:rFonts w:ascii="Times New Roman" w:hAnsi="Times New Roman" w:eastAsia="Calibri"/>
                <w:b/>
                <w:bCs/>
                <w:sz w:val="16"/>
                <w:szCs w:val="16"/>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after="0" w:line="271" w:lineRule="auto"/>
              <w:rPr>
                <w:rFonts w:ascii="Times New Roman" w:hAnsi="Times New Roman" w:eastAsia="Calibri"/>
                <w:b/>
                <w:bCs/>
                <w:sz w:val="16"/>
                <w:szCs w:val="16"/>
              </w:rPr>
            </w:pPr>
            <w:r>
              <w:rPr>
                <w:rFonts w:hint="default" w:ascii="Times New Roman" w:hAnsi="Times New Roman" w:eastAsia="Calibri"/>
                <w:sz w:val="16"/>
                <w:szCs w:val="16"/>
              </w:rPr>
              <w:t xml:space="preserve"> </w:t>
            </w:r>
            <w:r>
              <w:rPr>
                <w:rFonts w:hint="default" w:ascii="Times New Roman" w:hAnsi="Times New Roman" w:eastAsia="Calibri"/>
                <w:sz w:val="16"/>
                <w:szCs w:val="16"/>
                <w:lang w:val="en-US"/>
              </w:rPr>
              <w:t>T</w:t>
            </w:r>
            <w:r>
              <w:rPr>
                <w:rFonts w:hint="default" w:ascii="Times New Roman" w:hAnsi="Times New Roman" w:eastAsia="Calibri"/>
                <w:sz w:val="16"/>
                <w:szCs w:val="16"/>
              </w:rPr>
              <w:t>o compare suicidal thoughts between non-caregivers and informal caregivers of people with a variety of</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conditions, in a large representative sample, and to identify significant risk factors.</w:t>
            </w:r>
          </w:p>
        </w:tc>
        <w:tc>
          <w:tcPr>
            <w:tcW w:w="1497" w:type="dxa"/>
            <w:tcBorders>
              <w:top w:val="single" w:color="666666" w:sz="4" w:space="0"/>
              <w:left w:val="nil"/>
              <w:bottom w:val="single" w:color="666666" w:sz="4" w:space="0"/>
              <w:right w:val="nil"/>
            </w:tcBorders>
            <w:vAlign w:val="top"/>
          </w:tcPr>
          <w:p>
            <w:pPr>
              <w:spacing w:before="0" w:beforeAutospacing="0" w:after="0" w:line="271" w:lineRule="auto"/>
              <w:jc w:val="left"/>
              <w:rPr>
                <w:rFonts w:hint="default" w:ascii="Times New Roman" w:hAnsi="Times New Roman" w:eastAsia="Calibri"/>
                <w:b/>
                <w:bCs/>
                <w:sz w:val="16"/>
                <w:szCs w:val="16"/>
                <w:lang w:val="en-US"/>
              </w:rPr>
            </w:pPr>
            <w:r>
              <w:rPr>
                <w:rFonts w:hint="default" w:ascii="Times New Roman" w:hAnsi="Times New Roman" w:eastAsia="Calibri"/>
                <w:sz w:val="16"/>
                <w:szCs w:val="16"/>
              </w:rPr>
              <w:t>CIDI version 3.0</w:t>
            </w:r>
            <w:r>
              <w:rPr>
                <w:rFonts w:hint="default" w:ascii="Times New Roman" w:hAnsi="Times New Roman" w:eastAsia="Calibri"/>
                <w:sz w:val="16"/>
                <w:szCs w:val="16"/>
                <w:lang w:val="en-US"/>
              </w:rPr>
              <w:t xml:space="preserve"> (suicidal module)</w:t>
            </w:r>
          </w:p>
        </w:tc>
        <w:tc>
          <w:tcPr>
            <w:tcW w:w="3466" w:type="dxa"/>
            <w:tcBorders>
              <w:top w:val="single" w:color="666666" w:sz="4" w:space="0"/>
              <w:left w:val="nil"/>
              <w:bottom w:val="single" w:color="666666" w:sz="4" w:space="0"/>
              <w:right w:val="nil"/>
            </w:tcBorders>
            <w:vAlign w:val="top"/>
          </w:tcPr>
          <w:p>
            <w:pPr>
              <w:numPr>
                <w:ilvl w:val="0"/>
                <w:numId w:val="19"/>
              </w:numPr>
              <w:spacing w:before="0" w:beforeAutospacing="0" w:after="0" w:line="271" w:lineRule="auto"/>
              <w:rPr>
                <w:rFonts w:hint="default" w:ascii="Times New Roman" w:hAnsi="Times New Roman" w:eastAsia="Calibri"/>
                <w:b w:val="0"/>
                <w:bCs w:val="0"/>
                <w:sz w:val="16"/>
                <w:szCs w:val="16"/>
              </w:rPr>
            </w:pPr>
            <w:r>
              <w:rPr>
                <w:rFonts w:hint="default" w:ascii="Times New Roman" w:hAnsi="Times New Roman" w:eastAsia="Calibri"/>
                <w:b w:val="0"/>
                <w:bCs w:val="0"/>
                <w:sz w:val="16"/>
                <w:szCs w:val="16"/>
              </w:rPr>
              <w:t>Thirty-six informal caregivers (2.9%) reported suicidal thoughts during the 4 year study period.</w:t>
            </w:r>
          </w:p>
          <w:p>
            <w:pPr>
              <w:numPr>
                <w:ilvl w:val="0"/>
                <w:numId w:val="19"/>
              </w:numPr>
              <w:spacing w:before="0" w:beforeAutospacing="0" w:after="0" w:line="271" w:lineRule="auto"/>
              <w:rPr>
                <w:rFonts w:hint="default" w:ascii="Times New Roman" w:hAnsi="Times New Roman" w:eastAsia="Calibri"/>
                <w:b w:val="0"/>
                <w:bCs w:val="0"/>
                <w:sz w:val="16"/>
                <w:szCs w:val="16"/>
              </w:rPr>
            </w:pPr>
            <w:r>
              <w:rPr>
                <w:rFonts w:hint="default" w:ascii="Times New Roman" w:hAnsi="Times New Roman" w:eastAsia="Calibri"/>
                <w:b w:val="0"/>
                <w:bCs w:val="0"/>
                <w:sz w:val="16"/>
                <w:szCs w:val="16"/>
              </w:rPr>
              <w:t>The difference</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 xml:space="preserve">between caregivers and non-caregivers (3.0%) was not significant. </w:t>
            </w:r>
          </w:p>
          <w:p>
            <w:pPr>
              <w:numPr>
                <w:ilvl w:val="0"/>
                <w:numId w:val="19"/>
              </w:numPr>
              <w:spacing w:before="0" w:beforeAutospacing="0" w:after="0" w:line="271" w:lineRule="auto"/>
              <w:rPr>
                <w:rFonts w:hint="default" w:ascii="Times New Roman" w:hAnsi="Times New Roman" w:eastAsia="Calibri"/>
                <w:b w:val="0"/>
                <w:bCs w:val="0"/>
                <w:sz w:val="16"/>
                <w:szCs w:val="16"/>
              </w:rPr>
            </w:pPr>
            <w:r>
              <w:rPr>
                <w:rFonts w:hint="default" w:ascii="Times New Roman" w:hAnsi="Times New Roman" w:eastAsia="Calibri"/>
                <w:b w:val="0"/>
                <w:bCs w:val="0"/>
                <w:sz w:val="16"/>
                <w:szCs w:val="16"/>
              </w:rPr>
              <w:t>Among caregivers, significant risk factors for suicidal</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thoughts included being unemployed, living without a partner, having lower levels of social support, having a chronic</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physical disorder, a mood disorder or an anxiety disorder, and having impaired social, physical and emotional</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 xml:space="preserve">functioning. These risk factors were also found in non-caregivers. </w:t>
            </w:r>
          </w:p>
          <w:p>
            <w:pPr>
              <w:numPr>
                <w:ilvl w:val="0"/>
                <w:numId w:val="19"/>
              </w:numPr>
              <w:spacing w:before="0" w:beforeAutospacing="0" w:after="0" w:line="271" w:lineRule="auto"/>
              <w:rPr>
                <w:rFonts w:ascii="Times New Roman" w:hAnsi="Times New Roman" w:eastAsia="Calibri"/>
                <w:b/>
                <w:bCs/>
                <w:sz w:val="16"/>
                <w:szCs w:val="16"/>
              </w:rPr>
            </w:pPr>
            <w:r>
              <w:rPr>
                <w:rFonts w:hint="default" w:ascii="Times New Roman" w:hAnsi="Times New Roman" w:eastAsia="Calibri"/>
                <w:b w:val="0"/>
                <w:bCs w:val="0"/>
                <w:sz w:val="16"/>
                <w:szCs w:val="16"/>
              </w:rPr>
              <w:t>No caregiving-related characteristics were</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associated with suicidal thoughts.</w:t>
            </w:r>
          </w:p>
        </w:tc>
        <w:tc>
          <w:tcPr>
            <w:tcW w:w="2215" w:type="dxa"/>
            <w:tcBorders>
              <w:top w:val="single" w:color="666666" w:sz="4" w:space="0"/>
              <w:left w:val="nil"/>
              <w:bottom w:val="single" w:color="666666" w:sz="4" w:space="0"/>
              <w:right w:val="nil"/>
            </w:tcBorders>
          </w:tcPr>
          <w:p>
            <w:pPr>
              <w:numPr>
                <w:ilvl w:val="0"/>
                <w:numId w:val="20"/>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Small number of participants with suicidal thought, no multivariate analysis could be performed.</w:t>
            </w:r>
          </w:p>
          <w:p>
            <w:pPr>
              <w:numPr>
                <w:ilvl w:val="0"/>
                <w:numId w:val="20"/>
              </w:num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val="0"/>
                <w:bCs w:val="0"/>
                <w:sz w:val="16"/>
                <w:szCs w:val="16"/>
                <w:lang w:val="en-US"/>
              </w:rPr>
              <w:t xml:space="preserve">Participants asked to recall retrospective history of suicidal thought leading to recall bias.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Kim et al., 2019</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Qualitative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18, Korean American caregivers, 83.3%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numPr>
                <w:ilvl w:val="0"/>
                <w:numId w:val="21"/>
              </w:numPr>
              <w:spacing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T</w:t>
            </w:r>
            <w:r>
              <w:rPr>
                <w:rFonts w:hint="default" w:ascii="Times New Roman" w:hAnsi="Times New Roman" w:eastAsia="Calibri"/>
                <w:sz w:val="16"/>
                <w:szCs w:val="16"/>
              </w:rPr>
              <w:t>o explore the caregiving experience of KA families of PWD and to understand how KA caregivers of PWD try to fulfill the gaps between their needs and available healthcare services for dementia care in the U.S</w:t>
            </w:r>
            <w:r>
              <w:rPr>
                <w:rFonts w:hint="default" w:ascii="Times New Roman" w:hAnsi="Times New Roman" w:eastAsia="Calibri"/>
                <w:sz w:val="16"/>
                <w:szCs w:val="16"/>
                <w:lang w:val="en-US"/>
              </w:rPr>
              <w:t xml:space="preserve">. </w:t>
            </w:r>
          </w:p>
          <w:p>
            <w:pPr>
              <w:numPr>
                <w:ilvl w:val="0"/>
                <w:numId w:val="21"/>
              </w:numPr>
              <w:spacing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 To utilize this needs assessment for developing a community-based, caregiver-centered, and culturally appropriate dementia care education series for the KA community.</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Semi-structured interview</w:t>
            </w:r>
          </w:p>
        </w:tc>
        <w:tc>
          <w:tcPr>
            <w:tcW w:w="3466" w:type="dxa"/>
            <w:tcBorders>
              <w:top w:val="single" w:color="666666" w:sz="4" w:space="0"/>
              <w:left w:val="nil"/>
              <w:bottom w:val="single" w:color="666666" w:sz="4" w:space="0"/>
              <w:right w:val="nil"/>
            </w:tcBorders>
          </w:tcPr>
          <w:p>
            <w:pPr>
              <w:numPr>
                <w:ilvl w:val="0"/>
                <w:numId w:val="22"/>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Four themes were identified: (i) challenges in finding resources (efforts to search for helpful resources, which were affected by multiple factors such as English proficiency, health insurance, financial status, knowledge of dementia, and attitude towards the illness), (ii) struggling with mental health issues (KA family caregivers’ struggle with several challenges related to dementia symptoms, their own emotions, health management, and family dynamics), (iii) traveling the path of acceptance (several caregivers discussed coming to terms with a new reality and putting efforts into providing the best possible care in the areas like nutrition and diet, exercise and activities, as well as communication strategies with compassion and love), and (iv) finding ways to survive (most caregivers reported self-care strategies such as walking, healthy eating, rest and sleep, medical check-ups, and hobbies).</w:t>
            </w:r>
          </w:p>
        </w:tc>
        <w:tc>
          <w:tcPr>
            <w:tcW w:w="2215" w:type="dxa"/>
            <w:tcBorders>
              <w:top w:val="single" w:color="666666" w:sz="4" w:space="0"/>
              <w:left w:val="nil"/>
              <w:bottom w:val="single" w:color="666666" w:sz="4" w:space="0"/>
              <w:right w:val="nil"/>
            </w:tcBorders>
          </w:tcPr>
          <w:p>
            <w:pPr>
              <w:numPr>
                <w:ilvl w:val="0"/>
                <w:numId w:val="23"/>
              </w:num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val="0"/>
                <w:bCs w:val="0"/>
                <w:sz w:val="16"/>
                <w:szCs w:val="16"/>
                <w:lang w:val="en-US"/>
              </w:rPr>
              <w:t>Recruitment in geographically limited location.</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Rosato et al., 2019</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1,018,000 people aged 25–74 years (130,816 caregivers; 110,467volunteers; and 42,099 engaged in both), not specific to dementia caregiver, 52.3% to 61.2%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numPr>
                <w:ilvl w:val="0"/>
                <w:numId w:val="24"/>
              </w:numPr>
              <w:spacing w:after="0" w:line="271" w:lineRule="auto"/>
              <w:ind w:left="40" w:leftChars="0" w:firstLine="0" w:firstLineChars="0"/>
              <w:rPr>
                <w:rFonts w:hint="default" w:ascii="Times New Roman" w:hAnsi="Times New Roman" w:eastAsia="Calibri"/>
                <w:sz w:val="16"/>
                <w:szCs w:val="16"/>
                <w:lang w:val="en-US"/>
              </w:rPr>
            </w:pPr>
            <w:r>
              <w:rPr>
                <w:rFonts w:hint="default" w:ascii="Times New Roman" w:hAnsi="Times New Roman" w:eastAsia="Calibri"/>
                <w:sz w:val="16"/>
                <w:szCs w:val="16"/>
                <w:lang w:val="en-US"/>
              </w:rPr>
              <w:t>T</w:t>
            </w:r>
            <w:r>
              <w:rPr>
                <w:rFonts w:hint="default" w:ascii="Times New Roman" w:hAnsi="Times New Roman" w:eastAsia="Calibri"/>
                <w:sz w:val="16"/>
                <w:szCs w:val="16"/>
              </w:rPr>
              <w:t>o compare the prevalence of poor</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mental health amongst volunteers and caregivers after</w:t>
            </w:r>
            <w:r>
              <w:rPr>
                <w:rFonts w:hint="default" w:ascii="Times New Roman" w:hAnsi="Times New Roman" w:eastAsia="Calibri"/>
                <w:sz w:val="16"/>
                <w:szCs w:val="16"/>
                <w:lang w:val="en-US"/>
              </w:rPr>
              <w:t xml:space="preserve"> adjustment for demographic and socio-economic factors;</w:t>
            </w:r>
          </w:p>
          <w:p>
            <w:pPr>
              <w:numPr>
                <w:ilvl w:val="0"/>
                <w:numId w:val="24"/>
              </w:numPr>
              <w:spacing w:after="0" w:line="271" w:lineRule="auto"/>
              <w:ind w:left="40" w:leftChars="0" w:firstLine="0" w:firstLineChars="0"/>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To  measure the risk of suicide amongst caregivers and volunteers, controlling for baseline health status and possible health selection effects ; and </w:t>
            </w:r>
          </w:p>
          <w:p>
            <w:pPr>
              <w:numPr>
                <w:ilvl w:val="0"/>
                <w:numId w:val="24"/>
              </w:numPr>
              <w:spacing w:after="0" w:line="271" w:lineRule="auto"/>
              <w:ind w:left="40" w:leftChars="0" w:firstLine="0" w:firstLineChars="0"/>
              <w:rPr>
                <w:rFonts w:ascii="Times New Roman" w:hAnsi="Times New Roman" w:eastAsia="Calibri"/>
                <w:sz w:val="16"/>
                <w:szCs w:val="16"/>
              </w:rPr>
            </w:pPr>
            <w:r>
              <w:rPr>
                <w:rFonts w:hint="default" w:ascii="Times New Roman" w:hAnsi="Times New Roman" w:eastAsia="Calibri"/>
                <w:sz w:val="16"/>
                <w:szCs w:val="16"/>
                <w:lang w:val="en-US"/>
              </w:rPr>
              <w:t>To determine if these prosocial activities reduce suicide risk for those with poor mental health.</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B</w:t>
            </w:r>
            <w:r>
              <w:rPr>
                <w:rFonts w:hint="default" w:ascii="Times New Roman" w:hAnsi="Times New Roman" w:eastAsia="Calibri"/>
                <w:sz w:val="16"/>
                <w:szCs w:val="16"/>
              </w:rPr>
              <w:t>oth definite suicides and deaths of undetermined intent</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were combined to define suicide</w:t>
            </w:r>
            <w:r>
              <w:rPr>
                <w:rFonts w:hint="default" w:ascii="Times New Roman" w:hAnsi="Times New Roman" w:eastAsia="Calibri"/>
                <w:sz w:val="16"/>
                <w:szCs w:val="16"/>
                <w:lang w:val="en-US"/>
              </w:rPr>
              <w:t>. Sensitivity analyses were undertaken using just definite suicides.</w:t>
            </w:r>
          </w:p>
        </w:tc>
        <w:tc>
          <w:tcPr>
            <w:tcW w:w="3466" w:type="dxa"/>
            <w:tcBorders>
              <w:top w:val="single" w:color="666666" w:sz="4" w:space="0"/>
              <w:left w:val="nil"/>
              <w:bottom w:val="single" w:color="666666" w:sz="4" w:space="0"/>
              <w:right w:val="nil"/>
            </w:tcBorders>
          </w:tcPr>
          <w:p>
            <w:pPr>
              <w:numPr>
                <w:ilvl w:val="0"/>
                <w:numId w:val="2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Intense caregiving was associated with worse mental health and volunteering with better mental health. </w:t>
            </w:r>
          </w:p>
          <w:p>
            <w:pPr>
              <w:numPr>
                <w:ilvl w:val="0"/>
                <w:numId w:val="2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For those engaged in both activities, likelihood of poor mental health was determined by caregiving level. </w:t>
            </w:r>
          </w:p>
          <w:p>
            <w:pPr>
              <w:numPr>
                <w:ilvl w:val="0"/>
                <w:numId w:val="2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There were 528 suicides during follow-up, with those engaged in both activities having the lowest risk of suicide.  Engaging in either volunteering or caregiving was associated with lower suicide risk for those with good mental health at baseline  but not for their peers with baseline poor mental health. </w:t>
            </w:r>
          </w:p>
        </w:tc>
        <w:tc>
          <w:tcPr>
            <w:tcW w:w="2215" w:type="dxa"/>
            <w:tcBorders>
              <w:top w:val="single" w:color="666666" w:sz="4" w:space="0"/>
              <w:left w:val="nil"/>
              <w:bottom w:val="single" w:color="666666" w:sz="4" w:space="0"/>
              <w:right w:val="nil"/>
            </w:tcBorders>
          </w:tcPr>
          <w:p>
            <w:pPr>
              <w:numPr>
                <w:ilvl w:val="0"/>
                <w:numId w:val="26"/>
              </w:num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val="0"/>
                <w:bCs w:val="0"/>
                <w:sz w:val="16"/>
                <w:szCs w:val="16"/>
                <w:lang w:val="en-US"/>
              </w:rPr>
              <w:t>Ethnicity background was limited to white.</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037" w:type="dxa"/>
            <w:gridSpan w:val="9"/>
            <w:tcBorders>
              <w:top w:val="single" w:color="666666" w:sz="4" w:space="0"/>
              <w:left w:val="nil"/>
              <w:bottom w:val="single" w:color="666666" w:sz="4" w:space="0"/>
              <w:right w:val="nil"/>
            </w:tcBorders>
            <w:noWrap/>
          </w:tcPr>
          <w:p>
            <w:pPr>
              <w:spacing w:before="0" w:beforeAutospacing="0" w:after="0" w:line="271" w:lineRule="auto"/>
              <w:jc w:val="center"/>
              <w:rPr>
                <w:rFonts w:ascii="Times New Roman" w:hAnsi="Times New Roman" w:eastAsia="Calibri"/>
                <w:b/>
                <w:bCs/>
                <w:sz w:val="16"/>
                <w:szCs w:val="16"/>
              </w:rPr>
            </w:pPr>
            <w:r>
              <w:rPr>
                <w:rFonts w:hint="default" w:ascii="Times New Roman" w:hAnsi="Times New Roman" w:eastAsia="Calibri"/>
                <w:b/>
                <w:bCs/>
                <w:sz w:val="24"/>
                <w:szCs w:val="24"/>
                <w:lang w:val="en-US"/>
              </w:rPr>
              <w:t>Suicide among dementia patients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bCs/>
                <w:sz w:val="16"/>
                <w:szCs w:val="16"/>
                <w:lang w:val="en-MY"/>
              </w:rPr>
            </w:pPr>
            <w:r>
              <w:rPr>
                <w:rFonts w:hint="default" w:ascii="Times New Roman" w:hAnsi="Times New Roman" w:eastAsia="Calibri"/>
                <w:b/>
                <w:bCs/>
                <w:sz w:val="16"/>
                <w:szCs w:val="16"/>
                <w:lang w:val="en-US"/>
              </w:rPr>
              <w:t>Lyness et al., 199</w:t>
            </w:r>
            <w:r>
              <w:rPr>
                <w:rFonts w:hint="default" w:ascii="Times New Roman" w:hAnsi="Times New Roman" w:eastAsia="Calibri"/>
                <w:b/>
                <w:bCs/>
                <w:sz w:val="16"/>
                <w:szCs w:val="16"/>
                <w:lang w:val="en-MY"/>
              </w:rPr>
              <w:t>2</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160, age 60 and above, 73.6%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No </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rPr>
              <w:t xml:space="preserve"> To describe the psychopathological characteristics of elderly suicide attempters admitted to an inpatient psychiatric unit.</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DSM-III</w:t>
            </w:r>
          </w:p>
        </w:tc>
        <w:tc>
          <w:tcPr>
            <w:tcW w:w="3466" w:type="dxa"/>
            <w:tcBorders>
              <w:top w:val="single" w:color="666666" w:sz="4" w:space="0"/>
              <w:left w:val="nil"/>
              <w:bottom w:val="single" w:color="666666" w:sz="4" w:space="0"/>
              <w:right w:val="nil"/>
            </w:tcBorders>
          </w:tcPr>
          <w:p>
            <w:pPr>
              <w:numPr>
                <w:ilvl w:val="0"/>
                <w:numId w:val="2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Eighty percent of the attempters had a major depressive syndrome; </w:t>
            </w:r>
          </w:p>
          <w:p>
            <w:pPr>
              <w:numPr>
                <w:ilvl w:val="0"/>
                <w:numId w:val="2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Dementia patients did not contribute to suicidal attempts. </w:t>
            </w:r>
          </w:p>
        </w:tc>
        <w:tc>
          <w:tcPr>
            <w:tcW w:w="2215" w:type="dxa"/>
            <w:tcBorders>
              <w:top w:val="single" w:color="666666" w:sz="4" w:space="0"/>
              <w:left w:val="nil"/>
              <w:bottom w:val="single" w:color="666666" w:sz="4" w:space="0"/>
              <w:right w:val="nil"/>
            </w:tcBorders>
          </w:tcPr>
          <w:p>
            <w:pPr>
              <w:numPr>
                <w:ilvl w:val="0"/>
                <w:numId w:val="2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 sectional design.</w:t>
            </w:r>
          </w:p>
          <w:p>
            <w:pPr>
              <w:numPr>
                <w:ilvl w:val="0"/>
                <w:numId w:val="2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Sample recruited from a single center.</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Florrio et al., 1997</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MY"/>
              </w:rPr>
              <w:t xml:space="preserve">N = 683, </w:t>
            </w:r>
            <w:r>
              <w:rPr>
                <w:rFonts w:hint="default" w:ascii="Times New Roman" w:hAnsi="Times New Roman" w:eastAsia="Calibri"/>
                <w:b w:val="0"/>
                <w:bCs w:val="0"/>
                <w:sz w:val="16"/>
                <w:szCs w:val="16"/>
                <w:lang w:val="en-US"/>
              </w:rPr>
              <w:t xml:space="preserve">66.9% females, elderly patients referred to community-based aging and mental health service </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b w:val="0"/>
                <w:bCs w:val="0"/>
                <w:sz w:val="16"/>
                <w:szCs w:val="16"/>
              </w:rPr>
            </w:pPr>
            <w:r>
              <w:rPr>
                <w:rFonts w:hint="default" w:ascii="Times New Roman" w:hAnsi="Times New Roman" w:eastAsia="Calibri"/>
                <w:b w:val="0"/>
                <w:bCs w:val="0"/>
                <w:sz w:val="16"/>
                <w:szCs w:val="16"/>
                <w:lang w:val="en-MY"/>
              </w:rPr>
              <w:t>T</w:t>
            </w:r>
            <w:r>
              <w:rPr>
                <w:rFonts w:hint="default" w:ascii="Times New Roman" w:hAnsi="Times New Roman" w:eastAsia="Calibri"/>
                <w:b w:val="0"/>
                <w:bCs w:val="0"/>
                <w:sz w:val="16"/>
                <w:szCs w:val="16"/>
              </w:rPr>
              <w:t xml:space="preserve">o determine whether </w:t>
            </w:r>
            <w:r>
              <w:rPr>
                <w:rFonts w:hint="default" w:ascii="Times New Roman" w:hAnsi="Times New Roman" w:eastAsia="Calibri"/>
                <w:b w:val="0"/>
                <w:bCs w:val="0"/>
                <w:sz w:val="16"/>
                <w:szCs w:val="16"/>
                <w:lang w:val="en-MY"/>
              </w:rPr>
              <w:t>elderly patients referred to community-based aging and mental health service who</w:t>
            </w:r>
            <w:r>
              <w:rPr>
                <w:rFonts w:hint="default" w:ascii="Times New Roman" w:hAnsi="Times New Roman" w:eastAsia="Calibri"/>
                <w:b w:val="0"/>
                <w:bCs w:val="0"/>
                <w:sz w:val="16"/>
                <w:szCs w:val="16"/>
              </w:rPr>
              <w:t xml:space="preserve"> judged to be at risk for suicide differed from those persons judged not to be at suicide risk.</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DSM-III, self-deisgned questionnaire</w:t>
            </w:r>
          </w:p>
        </w:tc>
        <w:tc>
          <w:tcPr>
            <w:tcW w:w="3466" w:type="dxa"/>
            <w:tcBorders>
              <w:top w:val="single" w:color="666666" w:sz="4" w:space="0"/>
              <w:left w:val="nil"/>
              <w:bottom w:val="single" w:color="666666" w:sz="4" w:space="0"/>
              <w:right w:val="nil"/>
            </w:tcBorders>
          </w:tcPr>
          <w:p>
            <w:pPr>
              <w:numPr>
                <w:ilvl w:val="0"/>
                <w:numId w:val="29"/>
              </w:numPr>
              <w:spacing w:before="0" w:beforeAutospacing="0" w:after="0" w:line="271" w:lineRule="auto"/>
              <w:ind w:leftChars="0"/>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Only 8% of subjects with suicidal risk had dementia. Dementia did not contribute to suicidal risk among the elderly. </w:t>
            </w:r>
          </w:p>
        </w:tc>
        <w:tc>
          <w:tcPr>
            <w:tcW w:w="2215" w:type="dxa"/>
            <w:tcBorders>
              <w:top w:val="single" w:color="666666" w:sz="4" w:space="0"/>
              <w:left w:val="nil"/>
              <w:bottom w:val="single" w:color="666666" w:sz="4" w:space="0"/>
              <w:right w:val="nil"/>
            </w:tcBorders>
          </w:tcPr>
          <w:p>
            <w:pPr>
              <w:numPr>
                <w:ilvl w:val="0"/>
                <w:numId w:val="30"/>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Self-designed questionnaire was used, except DSM III.</w:t>
            </w:r>
          </w:p>
          <w:p>
            <w:pPr>
              <w:numPr>
                <w:ilvl w:val="0"/>
                <w:numId w:val="30"/>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Subjects recruited from single location. </w:t>
            </w:r>
          </w:p>
          <w:p>
            <w:pPr>
              <w:numPr>
                <w:ilvl w:val="0"/>
                <w:numId w:val="30"/>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Cross-sectional design of the study.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bCs/>
                <w:sz w:val="16"/>
                <w:szCs w:val="16"/>
                <w:lang w:val="en-US"/>
              </w:rPr>
              <w:t>Rao et al., 1997</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 = 118, all of whom were a cohort in a pre-existing epidemiological study of dementia who were community residents, 72%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b w:val="0"/>
                <w:bCs w:val="0"/>
                <w:sz w:val="16"/>
                <w:szCs w:val="16"/>
              </w:rPr>
            </w:pPr>
            <w:r>
              <w:rPr>
                <w:rFonts w:hint="default" w:ascii="Times New Roman" w:hAnsi="Times New Roman" w:eastAsia="Calibri"/>
                <w:b w:val="0"/>
                <w:bCs w:val="0"/>
                <w:sz w:val="16"/>
                <w:szCs w:val="16"/>
                <w:lang w:val="en-US"/>
              </w:rPr>
              <w:t>T</w:t>
            </w:r>
            <w:r>
              <w:rPr>
                <w:rFonts w:hint="default" w:ascii="Times New Roman" w:hAnsi="Times New Roman" w:eastAsia="Calibri"/>
                <w:b w:val="0"/>
                <w:bCs w:val="0"/>
                <w:sz w:val="16"/>
                <w:szCs w:val="16"/>
              </w:rPr>
              <w:t>o study the relationship between suicidal thinking and both cognitive impairment and</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depression.</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CAMDEX, GDS, SSI</w:t>
            </w:r>
          </w:p>
        </w:tc>
        <w:tc>
          <w:tcPr>
            <w:tcW w:w="3466" w:type="dxa"/>
            <w:tcBorders>
              <w:top w:val="single" w:color="666666" w:sz="4" w:space="0"/>
              <w:left w:val="nil"/>
              <w:bottom w:val="single" w:color="666666" w:sz="4" w:space="0"/>
              <w:right w:val="nil"/>
            </w:tcBorders>
          </w:tcPr>
          <w:p>
            <w:pPr>
              <w:numPr>
                <w:ilvl w:val="0"/>
                <w:numId w:val="31"/>
              </w:numPr>
              <w:spacing w:before="0" w:beforeAutospacing="0" w:after="0"/>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Those with suicidal thinking showed higher CAMDEX depression scores, weaker strength of the wish to go on living, higher rates of expressing wish to die and higher rates of depressive illness and mixed DAT/multi-infarct dementia as primary psychiatric diagnoses. </w:t>
            </w:r>
          </w:p>
          <w:p>
            <w:pPr>
              <w:numPr>
                <w:ilvl w:val="0"/>
                <w:numId w:val="31"/>
              </w:numPr>
              <w:spacing w:before="0" w:beforeAutospacing="0" w:after="0"/>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No signi®cant associations between suicidal thinking and GDS scores,</w:t>
            </w:r>
            <w:r>
              <w:rPr>
                <w:rFonts w:hint="default" w:ascii="Times New Roman" w:hAnsi="Times New Roman" w:eastAsia="Calibri"/>
                <w:b w:val="0"/>
                <w:bCs w:val="0"/>
                <w:sz w:val="16"/>
                <w:szCs w:val="16"/>
                <w:lang w:val="en-MY"/>
              </w:rPr>
              <w:t xml:space="preserve"> </w:t>
            </w:r>
            <w:r>
              <w:rPr>
                <w:rFonts w:hint="default" w:ascii="Times New Roman" w:hAnsi="Times New Roman" w:eastAsia="Calibri"/>
                <w:b w:val="0"/>
                <w:bCs w:val="0"/>
                <w:sz w:val="16"/>
                <w:szCs w:val="16"/>
                <w:lang w:val="en-US"/>
              </w:rPr>
              <w:t>Alzheimer-type dementia alone, awareness of memory difficulties or severity of dementia.</w:t>
            </w:r>
          </w:p>
        </w:tc>
        <w:tc>
          <w:tcPr>
            <w:tcW w:w="2215" w:type="dxa"/>
            <w:tcBorders>
              <w:top w:val="single" w:color="666666" w:sz="4" w:space="0"/>
              <w:left w:val="nil"/>
              <w:bottom w:val="single" w:color="666666" w:sz="4" w:space="0"/>
              <w:right w:val="nil"/>
            </w:tcBorders>
          </w:tcPr>
          <w:p>
            <w:pPr>
              <w:numPr>
                <w:ilvl w:val="0"/>
                <w:numId w:val="32"/>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Small sample size.</w:t>
            </w:r>
          </w:p>
          <w:p>
            <w:pPr>
              <w:numPr>
                <w:ilvl w:val="0"/>
                <w:numId w:val="32"/>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Cross-sectional design.</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Rubro et al., 2001</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Retrospective case-control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 = 28 elderly with completed suicide (case), 56 elderly who died naturally (control), age and gender</w:t>
            </w:r>
            <w:r>
              <w:rPr>
                <w:rFonts w:hint="default" w:ascii="Times New Roman" w:hAnsi="Times New Roman" w:eastAsia="Calibri"/>
                <w:b w:val="0"/>
                <w:bCs w:val="0"/>
                <w:sz w:val="16"/>
                <w:szCs w:val="16"/>
                <w:lang w:val="en-MY"/>
              </w:rPr>
              <w:t xml:space="preserve"> </w:t>
            </w:r>
            <w:r>
              <w:rPr>
                <w:rFonts w:hint="default" w:ascii="Times New Roman" w:hAnsi="Times New Roman" w:eastAsia="Calibri"/>
                <w:b w:val="0"/>
                <w:bCs w:val="0"/>
                <w:sz w:val="16"/>
                <w:szCs w:val="16"/>
                <w:lang w:val="en-US"/>
              </w:rPr>
              <w:t xml:space="preserve"> matched; 39.3%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b w:val="0"/>
                <w:bCs w:val="0"/>
                <w:sz w:val="16"/>
                <w:szCs w:val="16"/>
              </w:rPr>
            </w:pPr>
            <w:r>
              <w:rPr>
                <w:rFonts w:hint="default" w:ascii="Times New Roman" w:hAnsi="Times New Roman" w:eastAsia="Calibri"/>
                <w:b w:val="0"/>
                <w:bCs w:val="0"/>
                <w:sz w:val="16"/>
                <w:szCs w:val="16"/>
                <w:lang w:val="en-US"/>
              </w:rPr>
              <w:t>T</w:t>
            </w:r>
            <w:r>
              <w:rPr>
                <w:rFonts w:hint="default" w:ascii="Times New Roman" w:hAnsi="Times New Roman" w:eastAsia="Calibri"/>
                <w:b w:val="0"/>
                <w:bCs w:val="0"/>
                <w:sz w:val="16"/>
                <w:szCs w:val="16"/>
              </w:rPr>
              <w:t>o determine if Alzheimer’s disease changes are overrepresented</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in elderly people committing suicide.</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ascii="Times New Roman" w:hAnsi="Times New Roman" w:eastAsia="Calibri"/>
                <w:b w:val="0"/>
                <w:bCs w:val="0"/>
                <w:sz w:val="16"/>
                <w:szCs w:val="16"/>
              </w:rPr>
            </w:pPr>
            <w:r>
              <w:rPr>
                <w:rFonts w:hint="default" w:ascii="Times New Roman" w:hAnsi="Times New Roman" w:eastAsia="Calibri"/>
                <w:b w:val="0"/>
                <w:bCs w:val="0"/>
                <w:sz w:val="16"/>
                <w:szCs w:val="16"/>
                <w:lang w:val="en-US"/>
              </w:rPr>
              <w:t>A</w:t>
            </w:r>
            <w:r>
              <w:rPr>
                <w:rFonts w:hint="default" w:ascii="Times New Roman" w:hAnsi="Times New Roman" w:eastAsia="Calibri"/>
                <w:b w:val="0"/>
                <w:bCs w:val="0"/>
                <w:sz w:val="16"/>
                <w:szCs w:val="16"/>
              </w:rPr>
              <w:t xml:space="preserve"> modified Braak scoring system and semiquantitativeassessment of neurofibrillary tangles, amyloid deposition,</w:t>
            </w:r>
            <w:r>
              <w:rPr>
                <w:rFonts w:hint="default" w:ascii="Times New Roman" w:hAnsi="Times New Roman" w:eastAsia="Calibri"/>
                <w:b w:val="0"/>
                <w:bCs w:val="0"/>
                <w:sz w:val="16"/>
                <w:szCs w:val="16"/>
                <w:lang w:val="en-US"/>
              </w:rPr>
              <w:t xml:space="preserve"> </w:t>
            </w:r>
            <w:r>
              <w:rPr>
                <w:rFonts w:hint="default" w:ascii="Times New Roman" w:hAnsi="Times New Roman" w:eastAsia="Calibri"/>
                <w:b w:val="0"/>
                <w:bCs w:val="0"/>
                <w:sz w:val="16"/>
                <w:szCs w:val="16"/>
              </w:rPr>
              <w:t>Lewy bodies, and Lewy-associated neurites.</w:t>
            </w:r>
          </w:p>
        </w:tc>
        <w:tc>
          <w:tcPr>
            <w:tcW w:w="3466" w:type="dxa"/>
            <w:tcBorders>
              <w:top w:val="single" w:color="666666" w:sz="4" w:space="0"/>
              <w:left w:val="nil"/>
              <w:bottom w:val="single" w:color="666666" w:sz="4" w:space="0"/>
              <w:right w:val="nil"/>
            </w:tcBorders>
          </w:tcPr>
          <w:p>
            <w:pPr>
              <w:numPr>
                <w:ilvl w:val="0"/>
                <w:numId w:val="33"/>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The brains of individuals who committed suicide had higher modified Braak scores than those of matching control subjects. </w:t>
            </w:r>
          </w:p>
          <w:p>
            <w:pPr>
              <w:numPr>
                <w:ilvl w:val="0"/>
                <w:numId w:val="33"/>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The number of neurofibrillary tangles in CA1 was not an independent predictor of suicide status in the statistical analysis, although the distribution was more highly skewed among the cases. Hence, not indicative of dementia as cause of suicide. </w:t>
            </w:r>
          </w:p>
        </w:tc>
        <w:tc>
          <w:tcPr>
            <w:tcW w:w="2215" w:type="dxa"/>
            <w:tcBorders>
              <w:top w:val="single" w:color="666666" w:sz="4" w:space="0"/>
              <w:left w:val="nil"/>
              <w:bottom w:val="single" w:color="666666" w:sz="4" w:space="0"/>
              <w:right w:val="nil"/>
            </w:tcBorders>
          </w:tcPr>
          <w:p>
            <w:pPr>
              <w:numPr>
                <w:ilvl w:val="0"/>
                <w:numId w:val="34"/>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Small sample size.</w:t>
            </w:r>
          </w:p>
          <w:p>
            <w:pPr>
              <w:numPr>
                <w:ilvl w:val="0"/>
                <w:numId w:val="34"/>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Sample size of cases and controls not the same.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Draper et al., 2003</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b w:val="0"/>
                <w:bCs w:val="0"/>
                <w:sz w:val="16"/>
                <w:szCs w:val="16"/>
                <w:lang w:val="en-US"/>
              </w:rPr>
            </w:pPr>
            <w:r>
              <w:rPr>
                <w:rFonts w:ascii="Times New Roman" w:hAnsi="Times New Roman" w:eastAsia="Calibri"/>
                <w:b w:val="0"/>
                <w:bCs w:val="0"/>
                <w:sz w:val="16"/>
                <w:szCs w:val="16"/>
                <w:lang w:val="en-US"/>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ascii="Times New Roman" w:hAnsi="Times New Roman" w:eastAsia="Calibri"/>
                <w:b w:val="0"/>
                <w:bCs w:val="0"/>
                <w:sz w:val="16"/>
                <w:szCs w:val="16"/>
                <w:lang w:val="en-US"/>
              </w:rPr>
              <w:t>N = 593 residents in 10 nursing home</w:t>
            </w:r>
            <w:r>
              <w:rPr>
                <w:rFonts w:hint="default" w:ascii="Times New Roman" w:hAnsi="Times New Roman" w:eastAsia="Calibri"/>
                <w:b w:val="0"/>
                <w:bCs w:val="0"/>
                <w:sz w:val="16"/>
                <w:szCs w:val="16"/>
                <w:lang w:val="en-US"/>
              </w:rPr>
              <w:t>, 73.2%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b w:val="0"/>
                <w:bCs w:val="0"/>
                <w:sz w:val="16"/>
                <w:szCs w:val="16"/>
              </w:rPr>
            </w:pPr>
            <w:r>
              <w:rPr>
                <w:rFonts w:hint="default" w:ascii="Times New Roman" w:hAnsi="Times New Roman" w:eastAsia="Calibri"/>
                <w:b w:val="0"/>
                <w:bCs w:val="0"/>
                <w:sz w:val="16"/>
                <w:szCs w:val="16"/>
                <w:lang w:val="en-US"/>
              </w:rPr>
              <w:t>T</w:t>
            </w:r>
            <w:r>
              <w:rPr>
                <w:rFonts w:hint="default" w:ascii="Times New Roman" w:hAnsi="Times New Roman" w:eastAsia="Calibri"/>
                <w:b w:val="0"/>
                <w:bCs w:val="0"/>
                <w:sz w:val="16"/>
                <w:szCs w:val="16"/>
              </w:rPr>
              <w:t>o determine whether indirect self-destructive behaviors predict mortality in nursing home residents.</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ascii="Times New Roman" w:hAnsi="Times New Roman" w:eastAsia="Calibri"/>
                <w:b w:val="0"/>
                <w:bCs w:val="0"/>
                <w:sz w:val="16"/>
                <w:szCs w:val="16"/>
              </w:rPr>
            </w:pPr>
            <w:r>
              <w:rPr>
                <w:rFonts w:hint="default" w:ascii="Times New Roman" w:hAnsi="Times New Roman" w:eastAsia="Calibri"/>
                <w:b w:val="0"/>
                <w:bCs w:val="0"/>
                <w:sz w:val="16"/>
                <w:szCs w:val="16"/>
              </w:rPr>
              <w:t xml:space="preserve">HBS, BEHAVE-AD, </w:t>
            </w:r>
            <w:r>
              <w:rPr>
                <w:rFonts w:hint="default" w:ascii="Times New Roman" w:hAnsi="Times New Roman" w:eastAsia="Calibri"/>
                <w:b w:val="0"/>
                <w:bCs w:val="0"/>
                <w:sz w:val="16"/>
                <w:szCs w:val="16"/>
                <w:lang w:val="en-US"/>
              </w:rPr>
              <w:t>FASS</w:t>
            </w:r>
            <w:r>
              <w:rPr>
                <w:rFonts w:hint="default" w:ascii="Times New Roman" w:hAnsi="Times New Roman" w:eastAsia="Calibri"/>
                <w:b w:val="0"/>
                <w:bCs w:val="0"/>
                <w:sz w:val="16"/>
                <w:szCs w:val="16"/>
              </w:rPr>
              <w:t xml:space="preserve">, </w:t>
            </w:r>
            <w:r>
              <w:rPr>
                <w:rFonts w:hint="default" w:ascii="Times New Roman" w:hAnsi="Times New Roman" w:eastAsia="Calibri"/>
                <w:b w:val="0"/>
                <w:bCs w:val="0"/>
                <w:sz w:val="16"/>
                <w:szCs w:val="16"/>
                <w:lang w:val="en-US"/>
              </w:rPr>
              <w:t>RCI</w:t>
            </w:r>
            <w:r>
              <w:rPr>
                <w:rFonts w:hint="default" w:ascii="Times New Roman" w:hAnsi="Times New Roman" w:eastAsia="Calibri"/>
                <w:b w:val="0"/>
                <w:bCs w:val="0"/>
                <w:sz w:val="16"/>
                <w:szCs w:val="16"/>
              </w:rPr>
              <w:t xml:space="preserve">, </w:t>
            </w:r>
            <w:r>
              <w:rPr>
                <w:rFonts w:hint="default" w:ascii="Times New Roman" w:hAnsi="Times New Roman" w:eastAsia="Calibri"/>
                <w:b w:val="0"/>
                <w:bCs w:val="0"/>
                <w:sz w:val="16"/>
                <w:szCs w:val="16"/>
                <w:lang w:val="en-US"/>
              </w:rPr>
              <w:t>CIRS</w:t>
            </w:r>
            <w:r>
              <w:rPr>
                <w:rFonts w:hint="default" w:ascii="Times New Roman" w:hAnsi="Times New Roman" w:eastAsia="Calibri"/>
                <w:b w:val="0"/>
                <w:bCs w:val="0"/>
                <w:sz w:val="16"/>
                <w:szCs w:val="16"/>
              </w:rPr>
              <w:t xml:space="preserve">, </w:t>
            </w:r>
            <w:r>
              <w:rPr>
                <w:rFonts w:hint="default" w:ascii="Times New Roman" w:hAnsi="Times New Roman" w:eastAsia="Calibri"/>
                <w:b w:val="0"/>
                <w:bCs w:val="0"/>
                <w:sz w:val="16"/>
                <w:szCs w:val="16"/>
                <w:lang w:val="en-US"/>
              </w:rPr>
              <w:t>EBASD</w:t>
            </w:r>
            <w:r>
              <w:rPr>
                <w:rFonts w:hint="default" w:ascii="Times New Roman" w:hAnsi="Times New Roman" w:eastAsia="Calibri"/>
                <w:b w:val="0"/>
                <w:bCs w:val="0"/>
                <w:sz w:val="16"/>
                <w:szCs w:val="16"/>
              </w:rPr>
              <w:t xml:space="preserve">, and the suicide item from the </w:t>
            </w:r>
            <w:r>
              <w:rPr>
                <w:rFonts w:hint="default" w:ascii="Times New Roman" w:hAnsi="Times New Roman" w:eastAsia="Calibri"/>
                <w:b w:val="0"/>
                <w:bCs w:val="0"/>
                <w:sz w:val="16"/>
                <w:szCs w:val="16"/>
                <w:lang w:val="en-US"/>
              </w:rPr>
              <w:t>HRDS</w:t>
            </w:r>
            <w:r>
              <w:rPr>
                <w:rFonts w:hint="default" w:ascii="Times New Roman" w:hAnsi="Times New Roman" w:eastAsia="Calibri"/>
                <w:b w:val="0"/>
                <w:bCs w:val="0"/>
                <w:sz w:val="16"/>
                <w:szCs w:val="16"/>
              </w:rPr>
              <w:t>.</w:t>
            </w:r>
          </w:p>
        </w:tc>
        <w:tc>
          <w:tcPr>
            <w:tcW w:w="3466" w:type="dxa"/>
            <w:tcBorders>
              <w:top w:val="single" w:color="666666" w:sz="4" w:space="0"/>
              <w:left w:val="nil"/>
              <w:bottom w:val="single" w:color="666666" w:sz="4" w:space="0"/>
              <w:right w:val="nil"/>
            </w:tcBorders>
          </w:tcPr>
          <w:p>
            <w:pPr>
              <w:numPr>
                <w:ilvl w:val="0"/>
                <w:numId w:val="35"/>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 Mortality was predicted by older age, male gender, lower level of functioning, lower levels of behavioral disturbance on the BEHAVE-AD, and higher scores on the HBS “passive selfharm” factor-based subscale, which includes refusal to eat, drink, or take medication.</w:t>
            </w:r>
          </w:p>
          <w:p>
            <w:pPr>
              <w:numPr>
                <w:ilvl w:val="0"/>
                <w:numId w:val="35"/>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Risk taking, active self-harm, and passive self-harm were postively correlated with behavioral pathology in Alzheimer’s disease. </w:t>
            </w:r>
          </w:p>
        </w:tc>
        <w:tc>
          <w:tcPr>
            <w:tcW w:w="2215" w:type="dxa"/>
            <w:tcBorders>
              <w:top w:val="single" w:color="666666" w:sz="4" w:space="0"/>
              <w:left w:val="nil"/>
              <w:bottom w:val="single" w:color="666666" w:sz="4" w:space="0"/>
              <w:right w:val="nil"/>
            </w:tcBorders>
          </w:tcPr>
          <w:p>
            <w:pPr>
              <w:numPr>
                <w:ilvl w:val="0"/>
                <w:numId w:val="36"/>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Lack of direct observational data.</w:t>
            </w:r>
          </w:p>
          <w:p>
            <w:pPr>
              <w:numPr>
                <w:ilvl w:val="0"/>
                <w:numId w:val="36"/>
              </w:numPr>
              <w:spacing w:before="0" w:beforeAutospacing="0" w:after="0" w:line="271" w:lineRule="auto"/>
              <w:rPr>
                <w:rFonts w:hint="default" w:ascii="Times New Roman" w:hAnsi="Times New Roman" w:eastAsia="Calibri"/>
                <w:b w:val="0"/>
                <w:bCs w:val="0"/>
                <w:sz w:val="16"/>
                <w:szCs w:val="16"/>
                <w:lang w:val="en-US"/>
              </w:rPr>
            </w:pPr>
            <w:r>
              <w:rPr>
                <w:rFonts w:hint="default" w:ascii="Times New Roman" w:hAnsi="Times New Roman" w:eastAsia="Calibri"/>
                <w:b w:val="0"/>
                <w:bCs w:val="0"/>
                <w:sz w:val="16"/>
                <w:szCs w:val="16"/>
                <w:lang w:val="en-US"/>
              </w:rPr>
              <w:t xml:space="preserve">Cross-sectional design.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Heun et al., 2003</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C</w:t>
            </w:r>
            <w:r>
              <w:rPr>
                <w:rFonts w:hint="default" w:ascii="Times New Roman" w:hAnsi="Times New Roman" w:eastAsia="Calibri"/>
                <w:sz w:val="16"/>
                <w:szCs w:val="16"/>
                <w:lang w:val="en-US"/>
              </w:rPr>
              <w:t xml:space="preserve">ase-control </w:t>
            </w:r>
            <w:r>
              <w:rPr>
                <w:rFonts w:hint="default" w:ascii="Times New Roman" w:hAnsi="Times New Roman" w:eastAsia="Calibri"/>
                <w:sz w:val="16"/>
                <w:szCs w:val="16"/>
                <w:lang w:val="en-MY"/>
              </w:rPr>
              <w:t>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MY"/>
              </w:rPr>
              <w:t>N = 67 Alzheimer’s disease patients, 109 elderly from general population, and 189 siblings</w:t>
            </w:r>
            <w:r>
              <w:rPr>
                <w:rFonts w:hint="default" w:ascii="Times New Roman" w:hAnsi="Times New Roman" w:eastAsia="Calibri"/>
                <w:sz w:val="16"/>
                <w:szCs w:val="16"/>
                <w:lang w:val="en-US"/>
              </w:rPr>
              <w:t>; 62 - 82%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To compare the presence and symptomatology of depression between Alzheimer’s disease patient and age-matched non-demented subjects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MY"/>
              </w:rPr>
            </w:pPr>
            <w:r>
              <w:rPr>
                <w:rFonts w:hint="default" w:ascii="Times New Roman" w:hAnsi="Times New Roman" w:eastAsia="Calibri"/>
                <w:sz w:val="16"/>
                <w:szCs w:val="16"/>
              </w:rPr>
              <w:t>CIDI</w:t>
            </w:r>
            <w:r>
              <w:rPr>
                <w:rFonts w:hint="default" w:ascii="Times New Roman" w:hAnsi="Times New Roman" w:eastAsia="Calibri"/>
                <w:sz w:val="16"/>
                <w:szCs w:val="16"/>
                <w:lang w:val="en-MY"/>
              </w:rPr>
              <w:t>, MMSE</w:t>
            </w:r>
          </w:p>
        </w:tc>
        <w:tc>
          <w:tcPr>
            <w:tcW w:w="3466" w:type="dxa"/>
            <w:tcBorders>
              <w:top w:val="single" w:color="666666" w:sz="4" w:space="0"/>
              <w:left w:val="nil"/>
              <w:bottom w:val="single" w:color="666666" w:sz="4" w:space="0"/>
              <w:right w:val="nil"/>
            </w:tcBorders>
          </w:tcPr>
          <w:p>
            <w:pPr>
              <w:numPr>
                <w:ilvl w:val="0"/>
                <w:numId w:val="37"/>
              </w:numPr>
              <w:spacing w:before="0" w:beforeAutospacing="0" w:after="0" w:line="271" w:lineRule="auto"/>
              <w:ind w:leftChars="0"/>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Lifetime depressive symptoms were significantly more frequent in 76 AD patients than in 109 age-matched elderly from the general population. These 76 AD patients complained more about thinking and concentration disturbances, and less about depressed mood orappetite disturbance than the 298 non-demented participants matched for the lifetime presence of major depression (MD). </w:t>
            </w:r>
          </w:p>
          <w:p>
            <w:pPr>
              <w:numPr>
                <w:ilvl w:val="0"/>
                <w:numId w:val="37"/>
              </w:numPr>
              <w:spacing w:before="0" w:beforeAutospacing="0" w:after="0" w:line="271" w:lineRule="auto"/>
              <w:ind w:left="0" w:leftChars="0" w:firstLine="0" w:firstLineChars="0"/>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In agreement, the 29 patients comorbid for lifetime diagnoses of AD and MD reported less about depressed mood than the 114 age-matched elderly with MD only. </w:t>
            </w:r>
          </w:p>
          <w:p>
            <w:pPr>
              <w:numPr>
                <w:ilvl w:val="0"/>
                <w:numId w:val="37"/>
              </w:numPr>
              <w:spacing w:before="0" w:beforeAutospacing="0" w:after="0" w:line="271" w:lineRule="auto"/>
              <w:ind w:left="0" w:leftChars="0" w:firstLine="0" w:firstLineChars="0"/>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Feelings of worthlessness and suicidal ideas were related to the severity of cognitive decline. </w:t>
            </w:r>
          </w:p>
        </w:tc>
        <w:tc>
          <w:tcPr>
            <w:tcW w:w="2215" w:type="dxa"/>
            <w:tcBorders>
              <w:top w:val="single" w:color="666666" w:sz="4" w:space="0"/>
              <w:left w:val="nil"/>
              <w:bottom w:val="single" w:color="666666" w:sz="4" w:space="0"/>
              <w:right w:val="nil"/>
            </w:tcBorders>
          </w:tcPr>
          <w:p>
            <w:pPr>
              <w:numPr>
                <w:ilvl w:val="0"/>
                <w:numId w:val="38"/>
              </w:numPr>
              <w:spacing w:before="0" w:beforeAutospacing="0" w:after="0" w:line="271" w:lineRule="auto"/>
              <w:ind w:leftChars="0"/>
              <w:rPr>
                <w:rFonts w:hint="default" w:ascii="Times New Roman" w:hAnsi="Times New Roman" w:eastAsia="Calibri"/>
                <w:b w:val="0"/>
                <w:bCs w:val="0"/>
                <w:sz w:val="16"/>
                <w:szCs w:val="16"/>
                <w:lang w:val="en-MY"/>
              </w:rPr>
            </w:pPr>
            <w:r>
              <w:rPr>
                <w:rFonts w:hint="default" w:ascii="Times New Roman" w:hAnsi="Times New Roman" w:eastAsia="Calibri"/>
                <w:b w:val="0"/>
                <w:bCs w:val="0"/>
                <w:sz w:val="16"/>
                <w:szCs w:val="16"/>
                <w:lang w:val="en-MY"/>
              </w:rPr>
              <w:t>Since demented patients were recruited from a clinical population, there might be an overestimation of the prevalence of depressive symptoms compared to patients with AD in general population.</w:t>
            </w:r>
          </w:p>
          <w:p>
            <w:pPr>
              <w:numPr>
                <w:ilvl w:val="0"/>
                <w:numId w:val="38"/>
              </w:numPr>
              <w:spacing w:before="0" w:beforeAutospacing="0" w:after="0" w:line="271" w:lineRule="auto"/>
              <w:ind w:leftChars="0"/>
              <w:rPr>
                <w:rFonts w:hint="default" w:ascii="Times New Roman" w:hAnsi="Times New Roman" w:eastAsia="Calibri"/>
                <w:b/>
                <w:bCs/>
                <w:sz w:val="16"/>
                <w:szCs w:val="16"/>
                <w:lang w:val="en-MY"/>
              </w:rPr>
            </w:pPr>
            <w:r>
              <w:rPr>
                <w:rFonts w:hint="default" w:ascii="Times New Roman" w:hAnsi="Times New Roman" w:eastAsia="Calibri"/>
                <w:b w:val="0"/>
                <w:bCs w:val="0"/>
                <w:sz w:val="16"/>
                <w:szCs w:val="16"/>
                <w:lang w:val="en-MY"/>
              </w:rPr>
              <w:t>Analysis was based on retrospectively given information by demented and non-demented elderly.</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MY"/>
              </w:rPr>
              <w:t>P</w:t>
            </w:r>
            <w:r>
              <w:rPr>
                <w:rFonts w:hint="default" w:ascii="Times New Roman" w:hAnsi="Times New Roman" w:eastAsia="Calibri"/>
                <w:b/>
                <w:bCs/>
                <w:sz w:val="16"/>
                <w:szCs w:val="16"/>
                <w:lang w:val="en-US"/>
              </w:rPr>
              <w:t>eisah et al., 2006</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C</w:t>
            </w:r>
            <w:r>
              <w:rPr>
                <w:rFonts w:hint="default" w:ascii="Times New Roman" w:hAnsi="Times New Roman" w:eastAsia="Calibri"/>
                <w:sz w:val="16"/>
                <w:szCs w:val="16"/>
                <w:lang w:val="en-US"/>
              </w:rPr>
              <w:t xml:space="preserve">ase-control </w:t>
            </w:r>
            <w:r>
              <w:rPr>
                <w:rFonts w:hint="default" w:ascii="Times New Roman" w:hAnsi="Times New Roman" w:eastAsia="Calibri"/>
                <w:sz w:val="16"/>
                <w:szCs w:val="16"/>
                <w:lang w:val="en-MY"/>
              </w:rPr>
              <w:t>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MY"/>
              </w:rPr>
              <w:t>N = 143 community-dwelling suicide victims</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lang w:val="en-MY"/>
              </w:rPr>
              <w:t>aged 65 years or more and 59 motor vehicle accident victims autopsies</w:t>
            </w:r>
            <w:r>
              <w:rPr>
                <w:rFonts w:hint="default" w:ascii="Times New Roman" w:hAnsi="Times New Roman" w:eastAsia="Calibri"/>
                <w:sz w:val="16"/>
                <w:szCs w:val="16"/>
                <w:lang w:val="en-US"/>
              </w:rPr>
              <w:t>; 30.7%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rPr>
              <w:t>To investigate prevalence of</w:t>
            </w:r>
            <w:r>
              <w:rPr>
                <w:rFonts w:hint="default" w:ascii="Times New Roman" w:hAnsi="Times New Roman" w:eastAsia="Calibri"/>
                <w:sz w:val="16"/>
                <w:szCs w:val="16"/>
                <w:lang w:val="en-US"/>
              </w:rPr>
              <w:t xml:space="preserve"> AD</w:t>
            </w:r>
            <w:r>
              <w:rPr>
                <w:rFonts w:hint="default" w:ascii="Times New Roman" w:hAnsi="Times New Roman" w:eastAsia="Calibri"/>
                <w:sz w:val="16"/>
                <w:szCs w:val="16"/>
              </w:rPr>
              <w:t xml:space="preserve">-related </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pathology in older suicide victims.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MY"/>
              </w:rPr>
            </w:pPr>
            <w:r>
              <w:rPr>
                <w:rFonts w:hint="default" w:ascii="Times New Roman" w:hAnsi="Times New Roman" w:eastAsia="Calibri"/>
                <w:sz w:val="16"/>
                <w:szCs w:val="16"/>
                <w:lang w:val="en-MY"/>
              </w:rPr>
              <w:t>Sen</w:t>
            </w:r>
            <w:r>
              <w:rPr>
                <w:rFonts w:hint="default" w:ascii="Times New Roman" w:hAnsi="Times New Roman" w:eastAsia="Calibri"/>
                <w:sz w:val="16"/>
                <w:szCs w:val="16"/>
              </w:rPr>
              <w:t>ile plaques (diffuse and neuritic) a modified</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Bielschowsky (Garvey) silver technique</w:t>
            </w:r>
            <w:r>
              <w:rPr>
                <w:rFonts w:hint="default" w:ascii="Times New Roman" w:hAnsi="Times New Roman" w:eastAsia="Calibri"/>
                <w:sz w:val="16"/>
                <w:szCs w:val="16"/>
                <w:lang w:val="en-MY"/>
              </w:rPr>
              <w:t xml:space="preserve">,  modified Braak score, plaque density was rated using the CERAD criteria, neuropathological rating was performed blind to the subjects' clinical status. </w:t>
            </w:r>
          </w:p>
        </w:tc>
        <w:tc>
          <w:tcPr>
            <w:tcW w:w="3466" w:type="dxa"/>
            <w:tcBorders>
              <w:top w:val="single" w:color="666666" w:sz="4" w:space="0"/>
              <w:left w:val="nil"/>
              <w:bottom w:val="single" w:color="666666" w:sz="4" w:space="0"/>
              <w:right w:val="nil"/>
            </w:tcBorders>
          </w:tcPr>
          <w:p>
            <w:pPr>
              <w:numPr>
                <w:ilvl w:val="0"/>
                <w:numId w:val="39"/>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There were no significant differences in plaque score or neurofibrillary tangle staging between suicide and control groups.</w:t>
            </w:r>
          </w:p>
          <w:p>
            <w:pPr>
              <w:numPr>
                <w:ilvl w:val="0"/>
                <w:numId w:val="39"/>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None of the subjects with a history of dementia had neuropathologically confirmed AD.</w:t>
            </w:r>
          </w:p>
        </w:tc>
        <w:tc>
          <w:tcPr>
            <w:tcW w:w="2215" w:type="dxa"/>
            <w:tcBorders>
              <w:top w:val="single" w:color="666666" w:sz="4" w:space="0"/>
              <w:left w:val="nil"/>
              <w:bottom w:val="single" w:color="666666" w:sz="4" w:space="0"/>
              <w:right w:val="nil"/>
            </w:tcBorders>
          </w:tcPr>
          <w:p>
            <w:pPr>
              <w:numPr>
                <w:ilvl w:val="0"/>
                <w:numId w:val="40"/>
              </w:numPr>
              <w:spacing w:before="0" w:beforeAutospacing="0" w:after="0" w:line="271" w:lineRule="auto"/>
              <w:rPr>
                <w:rFonts w:hint="default" w:ascii="Times New Roman" w:hAnsi="Times New Roman" w:eastAsia="Calibri"/>
                <w:b/>
                <w:bCs/>
                <w:sz w:val="16"/>
                <w:szCs w:val="16"/>
                <w:lang w:val="en-MY"/>
              </w:rPr>
            </w:pPr>
            <w:r>
              <w:rPr>
                <w:rFonts w:hint="default" w:ascii="Times New Roman" w:hAnsi="Times New Roman" w:eastAsia="Calibri"/>
                <w:b w:val="0"/>
                <w:bCs w:val="0"/>
                <w:sz w:val="16"/>
                <w:szCs w:val="16"/>
                <w:lang w:val="en-MY"/>
              </w:rPr>
              <w:t xml:space="preserve">This retrospective study was limited, by the availability of tissue sections, to hippocampal and neocortical examination.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Erlangsen et al., 2008</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Dynamic cohort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MY"/>
              </w:rPr>
              <w:t>N =  2,474,767 (all individuals age 50+ years living in Denmark)</w:t>
            </w:r>
            <w:r>
              <w:rPr>
                <w:rFonts w:hint="default" w:ascii="Times New Roman" w:hAnsi="Times New Roman" w:eastAsia="Calibri"/>
                <w:sz w:val="16"/>
                <w:szCs w:val="16"/>
                <w:lang w:val="en-US"/>
              </w:rPr>
              <w:t>; 52.8%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rPr>
              <w:t xml:space="preserve"> </w:t>
            </w:r>
            <w:r>
              <w:rPr>
                <w:rFonts w:hint="default" w:ascii="Times New Roman" w:hAnsi="Times New Roman" w:eastAsia="Calibri"/>
                <w:sz w:val="16"/>
                <w:szCs w:val="16"/>
                <w:lang w:val="en-MY"/>
              </w:rPr>
              <w:t>T</w:t>
            </w:r>
            <w:r>
              <w:rPr>
                <w:rFonts w:hint="default" w:ascii="Times New Roman" w:hAnsi="Times New Roman" w:eastAsia="Calibri"/>
                <w:sz w:val="16"/>
                <w:szCs w:val="16"/>
              </w:rPr>
              <w:t>o examine the risk of suicide in persons diagnosed with</w:t>
            </w:r>
            <w:r>
              <w:rPr>
                <w:rFonts w:hint="default" w:ascii="Times New Roman" w:hAnsi="Times New Roman" w:eastAsia="Calibri"/>
                <w:sz w:val="16"/>
                <w:szCs w:val="16"/>
                <w:lang w:val="en-MY"/>
              </w:rPr>
              <w:t xml:space="preserve"> </w:t>
            </w:r>
            <w:r>
              <w:rPr>
                <w:rFonts w:hint="default" w:ascii="Times New Roman" w:hAnsi="Times New Roman" w:eastAsia="Calibri"/>
                <w:sz w:val="16"/>
                <w:szCs w:val="16"/>
              </w:rPr>
              <w:t>dementia during a hospitalization and its relationship to mood disorders.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ascii="Times New Roman" w:hAnsi="Times New Roman" w:eastAsia="Calibri"/>
                <w:sz w:val="16"/>
                <w:szCs w:val="16"/>
              </w:rPr>
            </w:pPr>
            <w:r>
              <w:rPr>
                <w:rFonts w:hint="default" w:ascii="Times New Roman" w:hAnsi="Times New Roman" w:eastAsia="Calibri"/>
                <w:sz w:val="16"/>
                <w:szCs w:val="16"/>
              </w:rPr>
              <w:t>Outcome of interest is suicide. Relative risks are calculated based on</w:t>
            </w:r>
            <w:r>
              <w:rPr>
                <w:rFonts w:hint="default" w:ascii="Times New Roman" w:hAnsi="Times New Roman" w:eastAsia="Calibri"/>
                <w:sz w:val="16"/>
                <w:szCs w:val="16"/>
                <w:lang w:val="en-MY"/>
              </w:rPr>
              <w:t xml:space="preserve"> </w:t>
            </w:r>
            <w:r>
              <w:rPr>
                <w:rFonts w:hint="default" w:ascii="Times New Roman" w:hAnsi="Times New Roman" w:eastAsia="Calibri"/>
                <w:sz w:val="16"/>
                <w:szCs w:val="16"/>
              </w:rPr>
              <w:t>person</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days spent in each stratum.</w:t>
            </w:r>
          </w:p>
        </w:tc>
        <w:tc>
          <w:tcPr>
            <w:tcW w:w="3466" w:type="dxa"/>
            <w:tcBorders>
              <w:top w:val="single" w:color="666666" w:sz="4" w:space="0"/>
              <w:left w:val="nil"/>
              <w:bottom w:val="single" w:color="666666" w:sz="4" w:space="0"/>
              <w:right w:val="nil"/>
            </w:tcBorders>
          </w:tcPr>
          <w:p>
            <w:pPr>
              <w:numPr>
                <w:ilvl w:val="0"/>
                <w:numId w:val="41"/>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136 persons who previously had been diagnosed with dementia died by suicide. </w:t>
            </w:r>
          </w:p>
          <w:p>
            <w:pPr>
              <w:numPr>
                <w:ilvl w:val="0"/>
                <w:numId w:val="41"/>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Men and women aged 50–69 years with hospital presentations of dementia have a relative suicide risk of 8.5 and 10.8, respectively. Those who are aged 70 or older with dementia have a threefold higher risk than persons with no dementia. </w:t>
            </w:r>
          </w:p>
          <w:p>
            <w:pPr>
              <w:numPr>
                <w:ilvl w:val="0"/>
                <w:numId w:val="41"/>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The time shortly after diagnosis is associated with an elevated suicide risk.</w:t>
            </w:r>
          </w:p>
          <w:p>
            <w:pPr>
              <w:numPr>
                <w:ilvl w:val="0"/>
                <w:numId w:val="41"/>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 The risk among persons with dementia remains significant when controlling for mood</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lang w:val="en-MY"/>
              </w:rPr>
              <w:t xml:space="preserve">disorders. </w:t>
            </w:r>
          </w:p>
          <w:p>
            <w:pPr>
              <w:numPr>
                <w:ilvl w:val="0"/>
                <w:numId w:val="41"/>
              </w:numPr>
              <w:spacing w:before="0" w:beforeAutospacing="0" w:after="0" w:line="271" w:lineRule="auto"/>
              <w:ind w:left="0" w:leftChars="0" w:firstLine="0" w:firstLineChars="0"/>
              <w:rPr>
                <w:rFonts w:hint="default" w:ascii="Times New Roman" w:hAnsi="Times New Roman" w:eastAsia="Calibri"/>
                <w:sz w:val="16"/>
                <w:szCs w:val="16"/>
                <w:lang w:val="en-MY"/>
              </w:rPr>
            </w:pPr>
            <w:r>
              <w:rPr>
                <w:rFonts w:hint="default" w:ascii="Times New Roman" w:hAnsi="Times New Roman" w:eastAsia="Calibri"/>
                <w:sz w:val="16"/>
                <w:szCs w:val="16"/>
                <w:lang w:val="en-MY"/>
              </w:rPr>
              <w:t>26% of the men and 14% of the women who died by suicide died within the</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lang w:val="en-MY"/>
              </w:rPr>
              <w:t>first 3 months after being diagnosed</w:t>
            </w:r>
            <w:r>
              <w:rPr>
                <w:rFonts w:hint="default" w:ascii="Times New Roman" w:hAnsi="Times New Roman" w:eastAsia="Calibri"/>
                <w:sz w:val="16"/>
                <w:szCs w:val="16"/>
                <w:lang w:val="en-US"/>
              </w:rPr>
              <w:t>,</w:t>
            </w:r>
            <w:r>
              <w:rPr>
                <w:rFonts w:hint="default" w:ascii="Times New Roman" w:hAnsi="Times New Roman" w:eastAsia="Calibri"/>
                <w:sz w:val="16"/>
                <w:szCs w:val="16"/>
                <w:lang w:val="en-MY"/>
              </w:rPr>
              <w:t xml:space="preserve"> whereas 38% of the men and 41% of the women died more than 3 years after initial dementia diagnosis.</w:t>
            </w:r>
          </w:p>
        </w:tc>
        <w:tc>
          <w:tcPr>
            <w:tcW w:w="2215" w:type="dxa"/>
            <w:tcBorders>
              <w:top w:val="single" w:color="666666" w:sz="4" w:space="0"/>
              <w:left w:val="nil"/>
              <w:bottom w:val="single" w:color="666666" w:sz="4" w:space="0"/>
              <w:right w:val="nil"/>
            </w:tcBorders>
          </w:tcPr>
          <w:p>
            <w:pPr>
              <w:numPr>
                <w:ilvl w:val="0"/>
                <w:numId w:val="42"/>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Study only restricted to subjects diagnose with dementia during hospitalization.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jc w:val="center"/>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Purandane et al., 2009</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sz w:val="16"/>
                <w:szCs w:val="16"/>
                <w:lang w:val="en-US"/>
              </w:rPr>
            </w:pPr>
            <w:r>
              <w:rPr>
                <w:rFonts w:hint="default" w:ascii="Times New Roman" w:hAnsi="Times New Roman"/>
                <w:sz w:val="16"/>
                <w:szCs w:val="16"/>
                <w:lang w:val="en-US"/>
              </w:rPr>
              <w:t>Retrospective case control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sz w:val="16"/>
                <w:szCs w:val="16"/>
                <w:lang w:val="en-US"/>
              </w:rPr>
            </w:pPr>
            <w:r>
              <w:rPr>
                <w:rFonts w:hint="default" w:ascii="Times New Roman" w:hAnsi="Times New Roman"/>
                <w:sz w:val="16"/>
                <w:szCs w:val="16"/>
                <w:lang w:val="en-MY"/>
              </w:rPr>
              <w:t>N = 118 dementia patients died by suicide compared with  N = 492 age and gender-matched non-dementia patients</w:t>
            </w:r>
            <w:r>
              <w:rPr>
                <w:rFonts w:hint="default" w:ascii="Times New Roman" w:hAnsi="Times New Roman"/>
                <w:sz w:val="16"/>
                <w:szCs w:val="16"/>
                <w:lang w:val="en-US"/>
              </w:rPr>
              <w:t>; 47%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sz w:val="16"/>
                <w:szCs w:val="16"/>
                <w:lang w:val="en-MY"/>
              </w:rPr>
            </w:pPr>
            <w:r>
              <w:rPr>
                <w:rFonts w:hint="default" w:ascii="Times New Roman" w:hAnsi="Times New Roman"/>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sz w:val="16"/>
                <w:szCs w:val="16"/>
                <w:lang w:val="en-MY"/>
              </w:rPr>
            </w:pPr>
            <w:r>
              <w:rPr>
                <w:rFonts w:hint="default" w:ascii="Times New Roman" w:hAnsi="Times New Roman"/>
                <w:sz w:val="16"/>
                <w:szCs w:val="16"/>
                <w:lang w:val="en-MY"/>
              </w:rPr>
              <w:t xml:space="preserve">No </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sz w:val="16"/>
                <w:szCs w:val="16"/>
              </w:rPr>
            </w:pPr>
            <w:r>
              <w:rPr>
                <w:rFonts w:hint="default" w:ascii="Times New Roman" w:hAnsi="Times New Roman"/>
                <w:sz w:val="16"/>
                <w:szCs w:val="16"/>
              </w:rPr>
              <w:t>To describe behavioural, clinical and care characteristics of</w:t>
            </w:r>
            <w:r>
              <w:rPr>
                <w:rFonts w:hint="default" w:ascii="Times New Roman" w:hAnsi="Times New Roman"/>
                <w:sz w:val="16"/>
                <w:szCs w:val="16"/>
                <w:lang w:val="en-MY"/>
              </w:rPr>
              <w:t xml:space="preserve"> </w:t>
            </w:r>
            <w:r>
              <w:rPr>
                <w:rFonts w:hint="default" w:ascii="Times New Roman" w:hAnsi="Times New Roman"/>
                <w:sz w:val="16"/>
                <w:szCs w:val="16"/>
              </w:rPr>
              <w:t>people with dementia who died by suicide.</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sz w:val="16"/>
                <w:szCs w:val="16"/>
                <w:lang w:val="en-MY"/>
              </w:rPr>
            </w:pPr>
            <w:r>
              <w:rPr>
                <w:rFonts w:hint="default" w:ascii="Times New Roman" w:hAnsi="Times New Roman"/>
                <w:sz w:val="16"/>
                <w:szCs w:val="16"/>
                <w:lang w:val="en-MY"/>
              </w:rPr>
              <w:t>ICD-10</w:t>
            </w:r>
          </w:p>
        </w:tc>
        <w:tc>
          <w:tcPr>
            <w:tcW w:w="3466" w:type="dxa"/>
            <w:tcBorders>
              <w:top w:val="single" w:color="666666" w:sz="4" w:space="0"/>
              <w:left w:val="nil"/>
              <w:bottom w:val="single" w:color="666666" w:sz="4" w:space="0"/>
              <w:right w:val="nil"/>
            </w:tcBorders>
          </w:tcPr>
          <w:p>
            <w:pPr>
              <w:numPr>
                <w:ilvl w:val="0"/>
                <w:numId w:val="43"/>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The most common method of suicide in patients with dementia was self-poisoning, followed by drowning and hanging, the latter being less frequent than in controls. </w:t>
            </w:r>
          </w:p>
          <w:p>
            <w:pPr>
              <w:numPr>
                <w:ilvl w:val="0"/>
                <w:numId w:val="43"/>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S</w:t>
            </w:r>
            <w:r>
              <w:rPr>
                <w:rFonts w:hint="default" w:ascii="Times New Roman" w:hAnsi="Times New Roman" w:eastAsia="Calibri"/>
                <w:sz w:val="16"/>
                <w:szCs w:val="16"/>
                <w:lang w:val="en-MY"/>
              </w:rPr>
              <w:t xml:space="preserve">ignificantly fewer suicides occurred within 1 year of diagnosis in patients with dementia. </w:t>
            </w:r>
          </w:p>
          <w:p>
            <w:pPr>
              <w:numPr>
                <w:ilvl w:val="0"/>
                <w:numId w:val="43"/>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Patients with dementia were also less likely to have a history of self-harm, psychiatric symptoms and previous psychiatric admissions.</w:t>
            </w:r>
          </w:p>
        </w:tc>
        <w:tc>
          <w:tcPr>
            <w:tcW w:w="2215" w:type="dxa"/>
            <w:tcBorders>
              <w:top w:val="single" w:color="666666" w:sz="4" w:space="0"/>
              <w:left w:val="nil"/>
              <w:bottom w:val="single" w:color="666666" w:sz="4" w:space="0"/>
              <w:right w:val="nil"/>
            </w:tcBorders>
          </w:tcPr>
          <w:p>
            <w:pPr>
              <w:numPr>
                <w:ilvl w:val="0"/>
                <w:numId w:val="44"/>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This study is a survey of the clinical circumstances preceding suicide and unable to make causal inferences.</w:t>
            </w:r>
          </w:p>
          <w:p>
            <w:pPr>
              <w:numPr>
                <w:ilvl w:val="0"/>
                <w:numId w:val="44"/>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T</w:t>
            </w:r>
            <w:r>
              <w:rPr>
                <w:rFonts w:hint="default" w:ascii="Times New Roman" w:hAnsi="Times New Roman" w:eastAsia="Calibri"/>
                <w:sz w:val="16"/>
                <w:szCs w:val="16"/>
                <w:lang w:val="en-MY"/>
              </w:rPr>
              <w:t>he generalisability of  findings is limited to patients with dementia in contact with mental health services, most likely patients with dementia with sign</w:t>
            </w:r>
            <w:r>
              <w:rPr>
                <w:rFonts w:hint="default" w:ascii="Times New Roman" w:hAnsi="Times New Roman" w:eastAsia="Calibri"/>
                <w:sz w:val="16"/>
                <w:szCs w:val="16"/>
                <w:lang w:val="en-US"/>
              </w:rPr>
              <w:t>ificant BPSD</w:t>
            </w:r>
            <w:r>
              <w:rPr>
                <w:rFonts w:hint="default" w:ascii="Times New Roman" w:hAnsi="Times New Roman" w:eastAsia="Calibri"/>
                <w:sz w:val="16"/>
                <w:szCs w:val="16"/>
                <w:lang w:val="en-MY"/>
              </w:rPr>
              <w:t xml:space="preserve">. </w:t>
            </w:r>
          </w:p>
          <w:p>
            <w:pPr>
              <w:numPr>
                <w:ilvl w:val="0"/>
                <w:numId w:val="44"/>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The clinicians who provided the information were not masked to patient outcome and this may have affected their response to certain questions.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Height w:val="292" w:hRule="atLeas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Qin, 2011</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Case-control</w:t>
            </w:r>
            <w:r>
              <w:rPr>
                <w:rFonts w:hint="default" w:ascii="Times New Roman" w:hAnsi="Times New Roman" w:eastAsia="Calibri"/>
                <w:sz w:val="16"/>
                <w:szCs w:val="16"/>
                <w:lang w:val="en-MY"/>
              </w:rPr>
              <w:t xml:space="preser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MY"/>
              </w:rPr>
              <w:t>N = 21,169 suicides in Denmark over a 17-year period with sex-age-time-matched population controls</w:t>
            </w:r>
            <w:r>
              <w:rPr>
                <w:rFonts w:hint="default" w:ascii="Times New Roman" w:hAnsi="Times New Roman" w:eastAsia="Calibri"/>
                <w:sz w:val="16"/>
                <w:szCs w:val="16"/>
                <w:lang w:val="en-US"/>
              </w:rPr>
              <w:t>; 57%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before="0" w:beforeAutospacing="0" w:after="200" w:line="271" w:lineRule="auto"/>
              <w:rPr>
                <w:rFonts w:ascii="Times New Roman" w:hAnsi="Times New Roman" w:eastAsia="Calibri"/>
                <w:sz w:val="16"/>
                <w:szCs w:val="16"/>
              </w:rPr>
            </w:pPr>
            <w:r>
              <w:rPr>
                <w:rFonts w:hint="default" w:ascii="Times New Roman" w:hAnsi="Times New Roman" w:eastAsia="Calibri"/>
                <w:sz w:val="16"/>
                <w:szCs w:val="16"/>
                <w:lang w:val="en-MY"/>
              </w:rPr>
              <w:t>To a</w:t>
            </w:r>
            <w:r>
              <w:rPr>
                <w:rFonts w:hint="default" w:ascii="Times New Roman" w:hAnsi="Times New Roman" w:eastAsia="Calibri"/>
                <w:sz w:val="16"/>
                <w:szCs w:val="16"/>
              </w:rPr>
              <w:t>sses</w:t>
            </w:r>
            <w:r>
              <w:rPr>
                <w:rFonts w:hint="default" w:ascii="Times New Roman" w:hAnsi="Times New Roman" w:eastAsia="Calibri"/>
                <w:sz w:val="16"/>
                <w:szCs w:val="16"/>
                <w:lang w:val="en-MY"/>
              </w:rPr>
              <w:t>s</w:t>
            </w:r>
            <w:r>
              <w:rPr>
                <w:rFonts w:hint="default" w:ascii="Times New Roman" w:hAnsi="Times New Roman" w:eastAsia="Calibri"/>
                <w:sz w:val="16"/>
                <w:szCs w:val="16"/>
              </w:rPr>
              <w:t xml:space="preserve"> suicide incidence rate ratio (IRR) and population attributable risk (PAR) associated with various psychiatric disorders</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ICD-10</w:t>
            </w:r>
          </w:p>
        </w:tc>
        <w:tc>
          <w:tcPr>
            <w:tcW w:w="3466" w:type="dxa"/>
            <w:tcBorders>
              <w:top w:val="single" w:color="666666" w:sz="4" w:space="0"/>
              <w:left w:val="nil"/>
              <w:bottom w:val="single" w:color="666666" w:sz="4" w:space="0"/>
              <w:right w:val="nil"/>
            </w:tcBorders>
          </w:tcPr>
          <w:p>
            <w:pPr>
              <w:numPr>
                <w:ilvl w:val="0"/>
                <w:numId w:val="45"/>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Suicide risk </w:t>
            </w:r>
            <w:r>
              <w:rPr>
                <w:rFonts w:hint="default" w:ascii="Times New Roman" w:hAnsi="Times New Roman" w:eastAsia="Calibri"/>
                <w:sz w:val="16"/>
                <w:szCs w:val="16"/>
                <w:lang w:val="en-US"/>
              </w:rPr>
              <w:t xml:space="preserve"> was</w:t>
            </w:r>
            <w:r>
              <w:rPr>
                <w:rFonts w:hint="default" w:ascii="Times New Roman" w:hAnsi="Times New Roman" w:eastAsia="Calibri"/>
                <w:sz w:val="16"/>
                <w:szCs w:val="16"/>
                <w:lang w:val="en-MY"/>
              </w:rPr>
              <w:t xml:space="preserve"> significantly increased for persons with a hospitalized psychiatric disorder and the associated risk varies significantly by diagnosis and by sex and age of subjects. Recurrent depression and borderline personality disorder increase suicide risk the strongest while dementia increases the risk the least for both males and females. </w:t>
            </w:r>
          </w:p>
        </w:tc>
        <w:tc>
          <w:tcPr>
            <w:tcW w:w="2215" w:type="dxa"/>
            <w:tcBorders>
              <w:top w:val="single" w:color="666666" w:sz="4" w:space="0"/>
              <w:left w:val="nil"/>
              <w:bottom w:val="single" w:color="666666" w:sz="4" w:space="0"/>
              <w:right w:val="nil"/>
            </w:tcBorders>
          </w:tcPr>
          <w:p>
            <w:pPr>
              <w:numPr>
                <w:ilvl w:val="0"/>
                <w:numId w:val="46"/>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Cross sectional design.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McCarthy et al., 2012</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 xml:space="preserve">Retrospective cross-sectional </w:t>
            </w:r>
            <w:r>
              <w:rPr>
                <w:rFonts w:hint="default" w:ascii="Times New Roman" w:hAnsi="Times New Roman" w:eastAsia="Calibri"/>
                <w:sz w:val="16"/>
                <w:szCs w:val="16"/>
                <w:lang w:val="en-MY"/>
              </w:rPr>
              <w:t>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MY"/>
              </w:rPr>
              <w:t>N = 281066 from 137 nursing homes</w:t>
            </w:r>
            <w:r>
              <w:rPr>
                <w:rFonts w:hint="default" w:ascii="Times New Roman" w:hAnsi="Times New Roman" w:eastAsia="Calibri"/>
                <w:sz w:val="16"/>
                <w:szCs w:val="16"/>
                <w:lang w:val="en-US"/>
              </w:rPr>
              <w:t xml:space="preserve">; 3.1% females </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lang w:val="en-MY"/>
              </w:rPr>
              <w:t>To assess</w:t>
            </w:r>
            <w:r>
              <w:rPr>
                <w:rFonts w:hint="default" w:ascii="Times New Roman" w:hAnsi="Times New Roman" w:eastAsia="Calibri"/>
                <w:sz w:val="16"/>
                <w:szCs w:val="16"/>
              </w:rPr>
              <w:t xml:space="preserve"> suicide rates up to 6 months following dischargefrom US Department of Veterans Affairs (VA) nursing homes.</w:t>
            </w:r>
          </w:p>
        </w:tc>
        <w:tc>
          <w:tcPr>
            <w:tcW w:w="1497"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ICD-10 Revised</w:t>
            </w:r>
          </w:p>
        </w:tc>
        <w:tc>
          <w:tcPr>
            <w:tcW w:w="3466" w:type="dxa"/>
            <w:tcBorders>
              <w:top w:val="single" w:color="666666" w:sz="4" w:space="0"/>
              <w:left w:val="nil"/>
              <w:bottom w:val="single" w:color="666666" w:sz="4" w:space="0"/>
              <w:right w:val="nil"/>
            </w:tcBorders>
          </w:tcPr>
          <w:p>
            <w:pPr>
              <w:numPr>
                <w:ilvl w:val="0"/>
                <w:numId w:val="47"/>
              </w:numPr>
              <w:spacing w:before="0" w:beforeAutospacing="0" w:after="0"/>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Suicide rates within 6 months of discharge were 88.0 per 100 000 person-years for men and 89.4 overall. </w:t>
            </w:r>
          </w:p>
          <w:p>
            <w:pPr>
              <w:numPr>
                <w:ilvl w:val="0"/>
                <w:numId w:val="47"/>
              </w:numPr>
              <w:spacing w:before="0" w:beforeAutospacing="0" w:after="0"/>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Dementia not associated with increase hazard ratio of suicide. </w:t>
            </w:r>
          </w:p>
        </w:tc>
        <w:tc>
          <w:tcPr>
            <w:tcW w:w="2215" w:type="dxa"/>
            <w:tcBorders>
              <w:top w:val="single" w:color="666666" w:sz="4" w:space="0"/>
              <w:left w:val="nil"/>
              <w:bottom w:val="single" w:color="666666" w:sz="4" w:space="0"/>
              <w:right w:val="nil"/>
            </w:tcBorders>
          </w:tcPr>
          <w:p>
            <w:pPr>
              <w:numPr>
                <w:ilvl w:val="0"/>
                <w:numId w:val="48"/>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Findings were derived from VA data and apply only to veterans who receive care from the VA health system.</w:t>
            </w:r>
          </w:p>
          <w:p>
            <w:pPr>
              <w:numPr>
                <w:ilvl w:val="0"/>
                <w:numId w:val="48"/>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Low proportion of women discharged from VA nursing home.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Borges et al., 2014</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Cross-sectional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MY"/>
              </w:rPr>
              <w:t>N = 1992</w:t>
            </w:r>
            <w:r>
              <w:rPr>
                <w:rFonts w:hint="default" w:ascii="Times New Roman" w:hAnsi="Times New Roman" w:eastAsia="Calibri"/>
                <w:sz w:val="16"/>
                <w:szCs w:val="16"/>
                <w:lang w:val="en-US"/>
              </w:rPr>
              <w:t xml:space="preserve">, </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rPr>
              <w:t>To estimate if dementia and other mental disorders are associated with suicide ideation among the older people controlling for demographic and other suspected risk factors.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DSM-IV, ICD-10,  </w:t>
            </w:r>
            <w:r>
              <w:rPr>
                <w:rFonts w:hint="default" w:ascii="Times New Roman" w:hAnsi="Times New Roman" w:eastAsia="Calibri"/>
                <w:sz w:val="16"/>
                <w:szCs w:val="16"/>
                <w:lang w:val="en-US"/>
              </w:rPr>
              <w:t>CDRS</w:t>
            </w:r>
            <w:r>
              <w:rPr>
                <w:rFonts w:hint="default" w:ascii="Times New Roman" w:hAnsi="Times New Roman" w:eastAsia="Calibri"/>
                <w:sz w:val="16"/>
                <w:szCs w:val="16"/>
                <w:lang w:val="en-MY"/>
              </w:rPr>
              <w:t>,  GMS–AGECAT</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lang w:val="en-MY"/>
              </w:rPr>
              <w:t>Package</w:t>
            </w:r>
          </w:p>
        </w:tc>
        <w:tc>
          <w:tcPr>
            <w:tcW w:w="3466" w:type="dxa"/>
            <w:tcBorders>
              <w:top w:val="single" w:color="666666" w:sz="4" w:space="0"/>
              <w:left w:val="nil"/>
              <w:bottom w:val="single" w:color="666666" w:sz="4" w:space="0"/>
              <w:right w:val="nil"/>
            </w:tcBorders>
          </w:tcPr>
          <w:p>
            <w:pPr>
              <w:numPr>
                <w:ilvl w:val="0"/>
                <w:numId w:val="49"/>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Lifetime prevalence of suicide ideation of 13.5% and a 2-week prevalence of 4.2%. </w:t>
            </w:r>
          </w:p>
          <w:p>
            <w:pPr>
              <w:numPr>
                <w:ilvl w:val="0"/>
                <w:numId w:val="49"/>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Dementia plays a minor role on suicide ideation after the other variables were taken into account and its effect, if any, could be concentrated among those elders with lower severity scores of dementia.</w:t>
            </w:r>
          </w:p>
        </w:tc>
        <w:tc>
          <w:tcPr>
            <w:tcW w:w="2215" w:type="dxa"/>
            <w:tcBorders>
              <w:top w:val="single" w:color="666666" w:sz="4" w:space="0"/>
              <w:left w:val="nil"/>
              <w:bottom w:val="single" w:color="666666" w:sz="4" w:space="0"/>
              <w:right w:val="nil"/>
            </w:tcBorders>
          </w:tcPr>
          <w:p>
            <w:pPr>
              <w:numPr>
                <w:ilvl w:val="0"/>
                <w:numId w:val="50"/>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Cross-sectional design.</w:t>
            </w:r>
          </w:p>
          <w:p>
            <w:pPr>
              <w:numPr>
                <w:ilvl w:val="0"/>
                <w:numId w:val="50"/>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Limited set of variables to characterize suicide ideation and no information on the severity and persistency of suicide ideation.</w:t>
            </w:r>
          </w:p>
          <w:p>
            <w:pPr>
              <w:numPr>
                <w:ilvl w:val="0"/>
                <w:numId w:val="50"/>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Study cannot differentiate among types of dementia.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b/>
                <w:bCs/>
                <w:sz w:val="16"/>
                <w:szCs w:val="16"/>
                <w:lang w:val="en-US"/>
              </w:rPr>
              <w:t>Randall et al., 2014</w:t>
            </w:r>
          </w:p>
        </w:tc>
        <w:tc>
          <w:tcPr>
            <w:tcW w:w="1117"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rPr>
              <w:t xml:space="preserve">Population-based, </w:t>
            </w:r>
            <w:r>
              <w:rPr>
                <w:rFonts w:hint="default" w:ascii="Times New Roman" w:hAnsi="Times New Roman" w:eastAsia="Calibri"/>
                <w:sz w:val="16"/>
                <w:szCs w:val="16"/>
                <w:lang w:val="en-US"/>
              </w:rPr>
              <w:t>p</w:t>
            </w:r>
            <w:r>
              <w:rPr>
                <w:rFonts w:hint="default" w:ascii="Times New Roman" w:hAnsi="Times New Roman" w:eastAsia="Calibri"/>
                <w:sz w:val="16"/>
                <w:szCs w:val="16"/>
              </w:rPr>
              <w:t>ropensity score–matched analysis</w:t>
            </w:r>
          </w:p>
        </w:tc>
        <w:tc>
          <w:tcPr>
            <w:tcW w:w="1516"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N =  2100 suicide deaths and 8641 attempted suicides. Three control subjects were identified for every case and matched on age, sex, income decile, region of residence, and marital status; 50.7%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rPr>
              <w:t>To determine the degree of risk during the first year after diagnosis with a mental illness.</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rPr>
              <w:t xml:space="preserve">The Vital Statistics registry of the province was used to determine cases of suicide. Suicide attempts were determined through analysis of physician claims and </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hospital admission records.</w:t>
            </w:r>
            <w:r>
              <w:rPr>
                <w:rFonts w:hint="default" w:ascii="Times New Roman" w:hAnsi="Times New Roman" w:eastAsia="Calibri"/>
                <w:sz w:val="16"/>
                <w:szCs w:val="16"/>
                <w:lang w:val="en-US"/>
              </w:rPr>
              <w:t xml:space="preserve"> The presence of physician-diagnosed depression, anxiety disorders, substance use, schizophrenia, dementia, and other psychosocial disorders was determined using Manitoba RHA Indicators Atlas 2009. </w:t>
            </w:r>
          </w:p>
        </w:tc>
        <w:tc>
          <w:tcPr>
            <w:tcW w:w="3466" w:type="dxa"/>
            <w:tcBorders>
              <w:top w:val="single" w:color="666666" w:sz="4" w:space="0"/>
              <w:left w:val="nil"/>
              <w:bottom w:val="single" w:color="666666" w:sz="4" w:space="0"/>
              <w:right w:val="nil"/>
            </w:tcBorders>
          </w:tcPr>
          <w:p>
            <w:pPr>
              <w:numPr>
                <w:ilvl w:val="0"/>
                <w:numId w:val="51"/>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 All disorders, except dementia, were independently related to death. All disorders were related to suicide attempts. </w:t>
            </w:r>
          </w:p>
          <w:p>
            <w:pPr>
              <w:numPr>
                <w:ilvl w:val="0"/>
                <w:numId w:val="0"/>
              </w:numPr>
              <w:spacing w:before="0" w:beforeAutospacing="0" w:after="0" w:line="271" w:lineRule="auto"/>
              <w:ind w:leftChars="0"/>
              <w:rPr>
                <w:rFonts w:hint="default" w:ascii="Times New Roman" w:hAnsi="Times New Roman" w:eastAsia="Calibri"/>
                <w:sz w:val="16"/>
                <w:szCs w:val="16"/>
                <w:lang w:val="en-US"/>
              </w:rPr>
            </w:pPr>
          </w:p>
        </w:tc>
        <w:tc>
          <w:tcPr>
            <w:tcW w:w="2215" w:type="dxa"/>
            <w:tcBorders>
              <w:top w:val="single" w:color="666666" w:sz="4" w:space="0"/>
              <w:left w:val="nil"/>
              <w:bottom w:val="single" w:color="666666" w:sz="4" w:space="0"/>
              <w:right w:val="nil"/>
            </w:tcBorders>
          </w:tcPr>
          <w:p>
            <w:pPr>
              <w:numPr>
                <w:ilvl w:val="0"/>
                <w:numId w:val="52"/>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Limited by the diagnostic coding used by physicians and hospitals, such as coding major depressive disorder and bipolar disorder under the same code. </w:t>
            </w:r>
          </w:p>
          <w:p>
            <w:pPr>
              <w:numPr>
                <w:ilvl w:val="0"/>
                <w:numId w:val="52"/>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Inability to adjust for factors that are not covered in the administrative data, such as stressful life events, childhood adversity, and similar nonmedical factors could not be measured and adjusted for in the analysis. </w:t>
            </w:r>
          </w:p>
          <w:p>
            <w:pPr>
              <w:numPr>
                <w:ilvl w:val="0"/>
                <w:numId w:val="52"/>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Inability to adjust for the severity of the disorder, the treatments used by the patients, and whether patients adhered to the treatments they were prescribed by their physicians.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Nishida et al., 2015</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Retrospective case-control</w:t>
            </w:r>
            <w:r>
              <w:rPr>
                <w:rFonts w:hint="default" w:ascii="Times New Roman" w:hAnsi="Times New Roman" w:eastAsia="Calibri"/>
                <w:sz w:val="16"/>
                <w:szCs w:val="16"/>
                <w:lang w:val="en-MY"/>
              </w:rPr>
              <w:t xml:space="preserv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MY"/>
              </w:rPr>
              <w:t>N = 24 posttroke depression deceased subjects, 11 of these had committed suicide, and the other 13 had not</w:t>
            </w:r>
            <w:r>
              <w:rPr>
                <w:rFonts w:hint="default" w:ascii="Times New Roman" w:hAnsi="Times New Roman" w:eastAsia="Calibri"/>
                <w:sz w:val="16"/>
                <w:szCs w:val="16"/>
                <w:lang w:val="en-US"/>
              </w:rPr>
              <w:t>; 70.1%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tcPr>
          <w:p>
            <w:pPr>
              <w:spacing w:after="0" w:line="271" w:lineRule="auto"/>
              <w:rPr>
                <w:rFonts w:ascii="Times New Roman" w:hAnsi="Times New Roman" w:eastAsia="Calibri"/>
                <w:sz w:val="16"/>
                <w:szCs w:val="16"/>
              </w:rPr>
            </w:pPr>
            <w:r>
              <w:rPr>
                <w:rFonts w:hint="default" w:ascii="Times New Roman" w:hAnsi="Times New Roman" w:eastAsia="Calibri"/>
                <w:sz w:val="16"/>
                <w:szCs w:val="16"/>
              </w:rPr>
              <w:t>To investigate the neuropathologic characteristics of poststroke</w:t>
            </w:r>
            <w:r>
              <w:rPr>
                <w:rFonts w:hint="default" w:ascii="Times New Roman" w:hAnsi="Times New Roman" w:eastAsia="Calibri"/>
                <w:sz w:val="16"/>
                <w:szCs w:val="16"/>
                <w:lang w:val="en-MY"/>
              </w:rPr>
              <w:t xml:space="preserve"> </w:t>
            </w:r>
            <w:r>
              <w:rPr>
                <w:rFonts w:hint="default" w:ascii="Times New Roman" w:hAnsi="Times New Roman" w:eastAsia="Calibri"/>
                <w:sz w:val="16"/>
                <w:szCs w:val="16"/>
              </w:rPr>
              <w:t>depression (PSD) leading to suicide</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MY"/>
              </w:rPr>
            </w:pPr>
            <w:r>
              <w:rPr>
                <w:rFonts w:hint="default" w:ascii="Times New Roman" w:hAnsi="Times New Roman" w:eastAsia="Calibri"/>
                <w:sz w:val="16"/>
                <w:szCs w:val="16"/>
                <w:lang w:val="en-MY"/>
              </w:rPr>
              <w:t>DSM-4, ICD-10 Revision, C</w:t>
            </w:r>
            <w:r>
              <w:rPr>
                <w:rFonts w:hint="default" w:ascii="Times New Roman" w:hAnsi="Times New Roman" w:eastAsia="Calibri"/>
                <w:sz w:val="16"/>
                <w:szCs w:val="16"/>
                <w:lang w:val="en-US"/>
              </w:rPr>
              <w:t>DRS</w:t>
            </w:r>
            <w:r>
              <w:rPr>
                <w:rFonts w:hint="default" w:ascii="Times New Roman" w:hAnsi="Times New Roman" w:eastAsia="Calibri"/>
                <w:sz w:val="16"/>
                <w:szCs w:val="16"/>
                <w:lang w:val="en-MY"/>
              </w:rPr>
              <w:t>, immunohistochemistry using antibodies to phosphorylated tau, phosphorylated synuclein, A-amyloid, and  B-crystallin</w:t>
            </w:r>
          </w:p>
        </w:tc>
        <w:tc>
          <w:tcPr>
            <w:tcW w:w="3466" w:type="dxa"/>
            <w:tcBorders>
              <w:top w:val="single" w:color="666666" w:sz="4" w:space="0"/>
              <w:left w:val="nil"/>
              <w:bottom w:val="single" w:color="666666" w:sz="4" w:space="0"/>
              <w:right w:val="nil"/>
            </w:tcBorders>
          </w:tcPr>
          <w:p>
            <w:pPr>
              <w:numPr>
                <w:ilvl w:val="0"/>
                <w:numId w:val="53"/>
              </w:numPr>
              <w:spacing w:before="0" w:beforeAutospacing="0" w:after="0" w:line="271" w:lineRule="auto"/>
              <w:ind w:left="0" w:leftChars="0"/>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 Lesion type, size of stroke, and location of stroke were variable but did not differ significantly between the groups. </w:t>
            </w:r>
          </w:p>
          <w:p>
            <w:pPr>
              <w:numPr>
                <w:ilvl w:val="0"/>
                <w:numId w:val="53"/>
              </w:numPr>
              <w:spacing w:before="0" w:beforeAutospacing="0" w:after="0" w:line="271" w:lineRule="auto"/>
              <w:ind w:left="0" w:leftChars="0"/>
              <w:rPr>
                <w:rFonts w:hint="default" w:ascii="Times New Roman" w:hAnsi="Times New Roman" w:eastAsia="Calibri"/>
                <w:sz w:val="16"/>
                <w:szCs w:val="16"/>
                <w:lang w:val="en-MY"/>
              </w:rPr>
            </w:pPr>
            <w:r>
              <w:rPr>
                <w:rFonts w:hint="default" w:ascii="Times New Roman" w:hAnsi="Times New Roman" w:eastAsia="Calibri"/>
                <w:sz w:val="16"/>
                <w:szCs w:val="16"/>
                <w:lang w:val="en-MY"/>
              </w:rPr>
              <w:t>Alzheimer disease related pathology stages also did not differ between the groups.</w:t>
            </w:r>
          </w:p>
        </w:tc>
        <w:tc>
          <w:tcPr>
            <w:tcW w:w="2215" w:type="dxa"/>
            <w:tcBorders>
              <w:top w:val="single" w:color="666666" w:sz="4" w:space="0"/>
              <w:left w:val="nil"/>
              <w:bottom w:val="single" w:color="666666" w:sz="4" w:space="0"/>
              <w:right w:val="nil"/>
            </w:tcBorders>
          </w:tcPr>
          <w:p>
            <w:pPr>
              <w:numPr>
                <w:ilvl w:val="0"/>
                <w:numId w:val="54"/>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S</w:t>
            </w:r>
            <w:r>
              <w:rPr>
                <w:rFonts w:hint="default" w:ascii="Times New Roman" w:hAnsi="Times New Roman" w:eastAsia="Calibri"/>
                <w:sz w:val="16"/>
                <w:szCs w:val="16"/>
                <w:lang w:val="en-MY"/>
              </w:rPr>
              <w:t>mall sample of patients with PSD, including those who had committed suicide.</w:t>
            </w:r>
          </w:p>
          <w:p>
            <w:pPr>
              <w:numPr>
                <w:ilvl w:val="0"/>
                <w:numId w:val="54"/>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Diagnosis and treatment of</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lang w:val="en-MY"/>
              </w:rPr>
              <w:t>cases were provided by different neurologists and psychologists at different hospitals.</w:t>
            </w:r>
          </w:p>
          <w:p>
            <w:pPr>
              <w:numPr>
                <w:ilvl w:val="0"/>
                <w:numId w:val="54"/>
              </w:numPr>
              <w:spacing w:before="0" w:beforeAutospacing="0" w:after="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Unable to evaluate the subjects’ education level, which is a known influence risk for PSD, or other psychobiologic factors such as physical disability, ineffective coping skills, and lack of social resources.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Matschke et al., 2018</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Retrospective case-control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autopsies of 167 suicide dementia cases compared with age- and sex-matched controls who died of other cause. Each suicide was matched to one control according to sex and age within a range of 3 years; 33.3%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To investigate the </w:t>
            </w:r>
            <w:r>
              <w:rPr>
                <w:rFonts w:hint="default" w:ascii="Times New Roman" w:hAnsi="Times New Roman" w:eastAsia="Calibri"/>
                <w:sz w:val="16"/>
                <w:szCs w:val="16"/>
              </w:rPr>
              <w:t>prevalence of neurodegenerative changes in the brains of suicides of all ages in comparison with age- and sex-matched controls</w:t>
            </w:r>
            <w:r>
              <w:rPr>
                <w:rFonts w:hint="default" w:ascii="Times New Roman" w:hAnsi="Times New Roman" w:eastAsia="Calibri"/>
                <w:sz w:val="16"/>
                <w:szCs w:val="16"/>
                <w:lang w:val="en-US"/>
              </w:rPr>
              <w:t xml:space="preserve">. </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ascii="Times New Roman" w:hAnsi="Times New Roman" w:eastAsia="Calibri"/>
                <w:sz w:val="16"/>
                <w:szCs w:val="16"/>
              </w:rPr>
            </w:pPr>
            <w:r>
              <w:rPr>
                <w:rFonts w:hint="default" w:ascii="Times New Roman" w:hAnsi="Times New Roman" w:eastAsia="Calibri"/>
                <w:sz w:val="16"/>
                <w:szCs w:val="16"/>
                <w:lang w:val="en-US"/>
              </w:rPr>
              <w:t>S</w:t>
            </w:r>
            <w:r>
              <w:rPr>
                <w:rFonts w:hint="default" w:ascii="Times New Roman" w:hAnsi="Times New Roman" w:eastAsia="Calibri"/>
                <w:sz w:val="16"/>
                <w:szCs w:val="16"/>
              </w:rPr>
              <w:t xml:space="preserve">emiquantitative analysis of neuritic plaques and neurofibrillary tangles visualized with silver stains;  quantitative immunohistochemical analysis of β-amyloid load and counts of tau-positive neurofibrillary tangles and neuropil threads </w:t>
            </w:r>
          </w:p>
        </w:tc>
        <w:tc>
          <w:tcPr>
            <w:tcW w:w="3466" w:type="dxa"/>
            <w:tcBorders>
              <w:top w:val="single" w:color="666666" w:sz="4" w:space="0"/>
              <w:left w:val="nil"/>
              <w:bottom w:val="single" w:color="666666" w:sz="4" w:space="0"/>
              <w:right w:val="nil"/>
            </w:tcBorders>
          </w:tcPr>
          <w:p>
            <w:pPr>
              <w:numPr>
                <w:ilvl w:val="0"/>
                <w:numId w:val="5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No effect of any parameter associated with the odds of committing suicide. On the contrary, after stratification for age, older suicide victims (over 48 years) showed lower β-amyloid loads when compared to controls in the univariate analysis. </w:t>
            </w:r>
          </w:p>
          <w:p>
            <w:pPr>
              <w:numPr>
                <w:ilvl w:val="0"/>
                <w:numId w:val="5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In conclusion, neuropathological characteristics of Alzheimer’s disease and common tauopathies associated with age seem to be of limited relevance for suicides. </w:t>
            </w:r>
          </w:p>
          <w:p>
            <w:pPr>
              <w:numPr>
                <w:ilvl w:val="0"/>
                <w:numId w:val="55"/>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However, intact cognition when planning and carrying out complex acts may be of importance in the context of suicide.</w:t>
            </w:r>
          </w:p>
        </w:tc>
        <w:tc>
          <w:tcPr>
            <w:tcW w:w="2215" w:type="dxa"/>
            <w:tcBorders>
              <w:top w:val="single" w:color="666666" w:sz="4" w:space="0"/>
              <w:left w:val="nil"/>
              <w:bottom w:val="single" w:color="666666" w:sz="4" w:space="0"/>
              <w:right w:val="nil"/>
            </w:tcBorders>
          </w:tcPr>
          <w:p>
            <w:pPr>
              <w:numPr>
                <w:ilvl w:val="0"/>
                <w:numId w:val="5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No access to any detailed clinical data, especially on the presence of depression, neuropsychiatric illness, or concerning antidepressant medications.</w:t>
            </w:r>
          </w:p>
          <w:p>
            <w:pPr>
              <w:numPr>
                <w:ilvl w:val="0"/>
                <w:numId w:val="56"/>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No opportunity to investigate the whole brain but only a defined subset of sections.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b/>
                <w:bCs/>
                <w:sz w:val="16"/>
                <w:szCs w:val="16"/>
                <w:lang w:val="en-US"/>
              </w:rPr>
            </w:pPr>
            <w:r>
              <w:rPr>
                <w:rFonts w:hint="default" w:ascii="Times New Roman" w:hAnsi="Times New Roman" w:eastAsia="Calibri"/>
                <w:b/>
                <w:bCs/>
                <w:sz w:val="16"/>
                <w:szCs w:val="16"/>
                <w:lang w:val="en-US"/>
              </w:rPr>
              <w:t>Morgan et al., 2018</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Multiphase study</w:t>
            </w:r>
          </w:p>
        </w:tc>
        <w:tc>
          <w:tcPr>
            <w:tcW w:w="1516"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N = 4124 adults aged 65 years and older with a self-harm episode; 53%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lang w:val="en-US"/>
              </w:rPr>
              <w:t>T</w:t>
            </w:r>
            <w:r>
              <w:rPr>
                <w:rFonts w:hint="default" w:ascii="Times New Roman" w:hAnsi="Times New Roman" w:eastAsia="Calibri"/>
                <w:sz w:val="16"/>
                <w:szCs w:val="16"/>
              </w:rPr>
              <w:t>o investigate the incidence of self-harm, subsequent clinical management, prevalence of mental and physical diagnoses, and unnatural-cause mortality risk, including suicide.</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rPr>
              <w:t>NICE Clinical Guideline CG16</w:t>
            </w:r>
            <w:r>
              <w:rPr>
                <w:rFonts w:hint="default" w:ascii="Times New Roman" w:hAnsi="Times New Roman" w:eastAsia="Calibri"/>
                <w:sz w:val="16"/>
                <w:szCs w:val="16"/>
                <w:lang w:val="en-US"/>
              </w:rPr>
              <w:t>, ICD-10</w:t>
            </w:r>
          </w:p>
        </w:tc>
        <w:tc>
          <w:tcPr>
            <w:tcW w:w="3466" w:type="dxa"/>
            <w:tcBorders>
              <w:top w:val="single" w:color="666666" w:sz="4" w:space="0"/>
              <w:left w:val="nil"/>
              <w:bottom w:val="single" w:color="666666" w:sz="4" w:space="0"/>
              <w:right w:val="nil"/>
            </w:tcBorders>
          </w:tcPr>
          <w:p>
            <w:pPr>
              <w:numPr>
                <w:ilvl w:val="0"/>
                <w:numId w:val="5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Overall incidence of self-harm in older adults aged 65 years and older was 4·1 per 10 000 person-years with stable gender-specific rates observed over the 13-year period. </w:t>
            </w:r>
          </w:p>
          <w:p>
            <w:pPr>
              <w:numPr>
                <w:ilvl w:val="0"/>
                <w:numId w:val="57"/>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Prevalence  ratio of dementia in self-harm group to controls subsequently after index date not increased. </w:t>
            </w:r>
          </w:p>
        </w:tc>
        <w:tc>
          <w:tcPr>
            <w:tcW w:w="2215" w:type="dxa"/>
            <w:tcBorders>
              <w:top w:val="single" w:color="666666" w:sz="4" w:space="0"/>
              <w:left w:val="nil"/>
              <w:bottom w:val="single" w:color="666666" w:sz="4" w:space="0"/>
              <w:right w:val="nil"/>
            </w:tcBorders>
          </w:tcPr>
          <w:p>
            <w:pPr>
              <w:numPr>
                <w:ilvl w:val="0"/>
                <w:numId w:val="5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Some hospital-treated cases of selfharm will not have been reported to an individual’s GP and, therefore, will not have been captured.</w:t>
            </w:r>
          </w:p>
          <w:p>
            <w:pPr>
              <w:numPr>
                <w:ilvl w:val="0"/>
                <w:numId w:val="58"/>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Studies investigating suicide tend to underestimate because coroners might be reluctant to return a verdict of suicide more frequently in unnatural deaths of older people who might have strong religious affiliations, and levels of stigma surrounding suicide among this age group.</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tcPr>
          <w:p>
            <w:pPr>
              <w:spacing w:before="0" w:beforeAutospacing="0" w:after="0" w:line="271" w:lineRule="auto"/>
              <w:rPr>
                <w:rFonts w:hint="default" w:ascii="Times New Roman" w:hAnsi="Times New Roman" w:eastAsia="Calibri"/>
                <w:b/>
                <w:bCs/>
                <w:sz w:val="16"/>
                <w:szCs w:val="16"/>
                <w:lang w:val="en-MY"/>
              </w:rPr>
            </w:pPr>
            <w:r>
              <w:rPr>
                <w:rFonts w:hint="default" w:ascii="Times New Roman" w:hAnsi="Times New Roman" w:eastAsia="Calibri"/>
                <w:b/>
                <w:bCs/>
                <w:sz w:val="16"/>
                <w:szCs w:val="16"/>
                <w:lang w:val="en-US"/>
              </w:rPr>
              <w:t>Zucca et al., 20</w:t>
            </w:r>
            <w:r>
              <w:rPr>
                <w:rFonts w:hint="default" w:ascii="Times New Roman" w:hAnsi="Times New Roman" w:eastAsia="Calibri"/>
                <w:b/>
                <w:bCs/>
                <w:sz w:val="16"/>
                <w:szCs w:val="16"/>
                <w:lang w:val="en-MY"/>
              </w:rPr>
              <w:t>19</w:t>
            </w:r>
          </w:p>
        </w:tc>
        <w:tc>
          <w:tcPr>
            <w:tcW w:w="1117" w:type="dxa"/>
            <w:tcBorders>
              <w:top w:val="single" w:color="666666" w:sz="4" w:space="0"/>
              <w:left w:val="nil"/>
              <w:bottom w:val="single" w:color="666666" w:sz="4" w:space="0"/>
              <w:right w:val="nil"/>
            </w:tcBorders>
          </w:tcPr>
          <w:p>
            <w:p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Retrospective case-control study</w:t>
            </w:r>
          </w:p>
        </w:tc>
        <w:tc>
          <w:tcPr>
            <w:tcW w:w="1516"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35 bvFTD patients and 25 controls; 56.7% females</w:t>
            </w:r>
          </w:p>
        </w:tc>
        <w:tc>
          <w:tcPr>
            <w:tcW w:w="1112"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tcPr>
          <w:p>
            <w:pPr>
              <w:spacing w:before="0" w:beforeAutospacing="0" w:after="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tcPr>
          <w:p>
            <w:pPr>
              <w:spacing w:before="0" w:beforeAutospacing="0" w:after="0" w:line="271" w:lineRule="auto"/>
              <w:rPr>
                <w:rFonts w:ascii="Times New Roman" w:hAnsi="Times New Roman" w:eastAsia="Calibri"/>
                <w:sz w:val="16"/>
                <w:szCs w:val="16"/>
              </w:rPr>
            </w:pPr>
            <w:r>
              <w:rPr>
                <w:rFonts w:hint="default" w:ascii="Times New Roman" w:hAnsi="Times New Roman" w:eastAsia="Calibri"/>
                <w:sz w:val="16"/>
                <w:szCs w:val="16"/>
                <w:lang w:val="en-US"/>
              </w:rPr>
              <w:t>T</w:t>
            </w:r>
            <w:r>
              <w:rPr>
                <w:rFonts w:hint="default" w:ascii="Times New Roman" w:hAnsi="Times New Roman" w:eastAsia="Calibri"/>
                <w:sz w:val="16"/>
                <w:szCs w:val="16"/>
              </w:rPr>
              <w:t>o determine the prevalence of suicidal ideation and attempts in bvFTD patients, evaluating possible risk factors for suicidality.</w:t>
            </w:r>
          </w:p>
        </w:tc>
        <w:tc>
          <w:tcPr>
            <w:tcW w:w="1497" w:type="dxa"/>
            <w:tcBorders>
              <w:top w:val="single" w:color="666666" w:sz="4" w:space="0"/>
              <w:left w:val="nil"/>
              <w:bottom w:val="single" w:color="666666" w:sz="4" w:space="0"/>
              <w:right w:val="nil"/>
            </w:tcBorders>
          </w:tcPr>
          <w:p>
            <w:pPr>
              <w:spacing w:before="0" w:beforeAutospacing="0" w:after="0" w:line="271" w:lineRule="auto"/>
              <w:jc w:val="left"/>
              <w:rPr>
                <w:rFonts w:hint="default" w:ascii="Times New Roman" w:hAnsi="Times New Roman" w:eastAsia="Calibri"/>
                <w:sz w:val="16"/>
                <w:szCs w:val="16"/>
                <w:lang w:val="en-US"/>
              </w:rPr>
            </w:pPr>
            <w:r>
              <w:rPr>
                <w:rFonts w:hint="default" w:ascii="Times New Roman" w:hAnsi="Times New Roman" w:eastAsia="Calibri"/>
                <w:sz w:val="16"/>
                <w:szCs w:val="16"/>
                <w:lang w:val="en-US"/>
              </w:rPr>
              <w:t>SSI, MMSE, CDR, FAB, AES-C, HDRS, HARS, PSS, BIS-11, BHS, neuroimaging investigations (brain MRI and 18-FDG PET)</w:t>
            </w:r>
          </w:p>
        </w:tc>
        <w:tc>
          <w:tcPr>
            <w:tcW w:w="3466" w:type="dxa"/>
            <w:tcBorders>
              <w:top w:val="single" w:color="666666" w:sz="4" w:space="0"/>
              <w:left w:val="nil"/>
              <w:bottom w:val="single" w:color="666666" w:sz="4" w:space="0"/>
              <w:right w:val="nil"/>
            </w:tcBorders>
          </w:tcPr>
          <w:p>
            <w:pPr>
              <w:numPr>
                <w:ilvl w:val="0"/>
                <w:numId w:val="59"/>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40% of bvFTD patients had suicidal ideation in comparison to 8% of controls (p=.009). Four bvFTD patients have attempted suicide versus none control (p=.006). </w:t>
            </w:r>
          </w:p>
          <w:p>
            <w:pPr>
              <w:numPr>
                <w:ilvl w:val="0"/>
                <w:numId w:val="59"/>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BvFTD patients with suicide risk showed higher levels of anxiety, depression, stress and hopelessness than patients without suicide risk (p&lt;.001). </w:t>
            </w:r>
          </w:p>
          <w:p>
            <w:pPr>
              <w:numPr>
                <w:ilvl w:val="0"/>
                <w:numId w:val="59"/>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Patients who attempted suicide were younger, and had a longer disease duration than those with only suicide ideation. </w:t>
            </w:r>
          </w:p>
          <w:p>
            <w:pPr>
              <w:numPr>
                <w:ilvl w:val="0"/>
                <w:numId w:val="59"/>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40% of patients with parkinsonism presented high level of suicide ideation.</w:t>
            </w:r>
          </w:p>
        </w:tc>
        <w:tc>
          <w:tcPr>
            <w:tcW w:w="2215" w:type="dxa"/>
            <w:tcBorders>
              <w:top w:val="single" w:color="666666" w:sz="4" w:space="0"/>
              <w:left w:val="nil"/>
              <w:bottom w:val="single" w:color="666666" w:sz="4" w:space="0"/>
              <w:right w:val="nil"/>
            </w:tcBorders>
          </w:tcPr>
          <w:p>
            <w:pPr>
              <w:numPr>
                <w:ilvl w:val="0"/>
                <w:numId w:val="60"/>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Small sample size.</w:t>
            </w:r>
          </w:p>
          <w:p>
            <w:pPr>
              <w:numPr>
                <w:ilvl w:val="0"/>
                <w:numId w:val="60"/>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Only study on bvFTD, not other types of FTD. </w:t>
            </w:r>
          </w:p>
          <w:p>
            <w:pPr>
              <w:numPr>
                <w:ilvl w:val="0"/>
                <w:numId w:val="60"/>
              </w:numPr>
              <w:spacing w:before="0" w:beforeAutospacing="0" w:after="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bvFTD patients present a lower level of education in respect to controls.</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bCs/>
                <w:sz w:val="16"/>
                <w:szCs w:val="16"/>
                <w:lang w:val="en-US"/>
              </w:rPr>
            </w:pPr>
            <w:r>
              <w:rPr>
                <w:rFonts w:hint="default" w:ascii="Times New Roman" w:hAnsi="Times New Roman" w:eastAsia="Calibri"/>
                <w:b/>
                <w:sz w:val="16"/>
                <w:szCs w:val="16"/>
                <w:lang w:val="en-US"/>
              </w:rPr>
              <w:t>Ng et al., 2020</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Retrospective case-control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183 ADAD at-risk individuals (91 mutation carriers and 92 non-carriers); 61.2% females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rPr>
              <w:t>To study the frequency of suicidal ideation and its association with clinical and neurobiological correlates among cognitively intact</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ADAD at-risk individuals.</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w:t>
            </w:r>
            <w:r>
              <w:rPr>
                <w:rFonts w:hint="default" w:ascii="Times New Roman" w:hAnsi="Times New Roman" w:eastAsia="Calibri"/>
                <w:sz w:val="16"/>
                <w:szCs w:val="16"/>
              </w:rPr>
              <w:t>uicide question from t</w:t>
            </w:r>
            <w:r>
              <w:rPr>
                <w:rFonts w:hint="default" w:ascii="Times New Roman" w:hAnsi="Times New Roman" w:eastAsia="Calibri"/>
                <w:sz w:val="16"/>
                <w:szCs w:val="16"/>
                <w:lang w:val="en-US"/>
              </w:rPr>
              <w:t xml:space="preserve">he </w:t>
            </w:r>
            <w:r>
              <w:rPr>
                <w:rFonts w:hint="default" w:ascii="Times New Roman" w:hAnsi="Times New Roman" w:eastAsia="Calibri"/>
                <w:sz w:val="16"/>
                <w:szCs w:val="16"/>
              </w:rPr>
              <w:t>UDS B6, GDS,</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informant-based NPI-Q,</w:t>
            </w:r>
            <w:r>
              <w:rPr>
                <w:rFonts w:hint="default" w:ascii="Times New Roman" w:hAnsi="Times New Roman" w:eastAsia="Calibri"/>
                <w:sz w:val="16"/>
                <w:szCs w:val="16"/>
                <w:lang w:val="en-US"/>
              </w:rPr>
              <w:t xml:space="preserve"> </w:t>
            </w:r>
            <w:r>
              <w:rPr>
                <w:rFonts w:hint="default" w:ascii="Times New Roman" w:hAnsi="Times New Roman" w:eastAsia="Calibri"/>
                <w:sz w:val="16"/>
                <w:szCs w:val="16"/>
              </w:rPr>
              <w:t>awareness of mutation status, neuropsychological assessments, and biological factors (genetic and cerebrospinal fluid</w:t>
            </w:r>
            <w:r>
              <w:rPr>
                <w:rFonts w:hint="default" w:ascii="Times New Roman" w:hAnsi="Times New Roman" w:eastAsia="Calibri"/>
                <w:sz w:val="16"/>
                <w:szCs w:val="16"/>
                <w:lang w:val="en-US"/>
              </w:rPr>
              <w:t>)</w:t>
            </w:r>
          </w:p>
        </w:tc>
        <w:tc>
          <w:tcPr>
            <w:tcW w:w="3466" w:type="dxa"/>
            <w:tcBorders>
              <w:top w:val="single" w:color="666666" w:sz="4" w:space="0"/>
              <w:left w:val="nil"/>
              <w:bottom w:val="single" w:color="666666" w:sz="4" w:space="0"/>
              <w:right w:val="nil"/>
            </w:tcBorders>
            <w:vAlign w:val="top"/>
          </w:tcPr>
          <w:p>
            <w:pPr>
              <w:numPr>
                <w:ilvl w:val="0"/>
                <w:numId w:val="6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Twenty-six (14.20%) ADAD at-risk individuals (13 [14.28%] carriers and 13 [14.13%] non-carriers) had suicidal ideation. </w:t>
            </w:r>
          </w:p>
          <w:p>
            <w:pPr>
              <w:numPr>
                <w:ilvl w:val="0"/>
                <w:numId w:val="6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 frequency of suicidal ideation did not differ between carriers and non-carriers. </w:t>
            </w:r>
          </w:p>
          <w:p>
            <w:pPr>
              <w:numPr>
                <w:ilvl w:val="0"/>
                <w:numId w:val="6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Suicidal ideation was associated with higher GDS among all ADAD atrisk individuals. When stratified into mutation carrier status, non-carriers with suicidal ideation had higher GDS than carriers. </w:t>
            </w:r>
          </w:p>
          <w:p>
            <w:pPr>
              <w:numPr>
                <w:ilvl w:val="0"/>
                <w:numId w:val="6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There was no statistically significant association between suicidal ideation and NPI-Q among ADAD at-risk individuals. </w:t>
            </w:r>
          </w:p>
          <w:p>
            <w:pPr>
              <w:numPr>
                <w:ilvl w:val="0"/>
                <w:numId w:val="6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Awareness of mutation status, neuropsychological performances, and cerebrospinal fluid AD biomarkers were not associated with suicidal ideation among carriers and noncarriers.</w:t>
            </w:r>
          </w:p>
        </w:tc>
        <w:tc>
          <w:tcPr>
            <w:tcW w:w="2215" w:type="dxa"/>
            <w:tcBorders>
              <w:top w:val="single" w:color="666666" w:sz="4" w:space="0"/>
              <w:left w:val="nil"/>
              <w:bottom w:val="single" w:color="666666" w:sz="4" w:space="0"/>
              <w:right w:val="nil"/>
            </w:tcBorders>
            <w:vAlign w:val="top"/>
          </w:tcPr>
          <w:p>
            <w:pPr>
              <w:numPr>
                <w:ilvl w:val="0"/>
                <w:numId w:val="62"/>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The single suicide question encompasses three components, which assess different levels of suicidal ideation. This may reduce the specificity in detecting the specific suicidal thought that may lead to an attempt.</w:t>
            </w:r>
          </w:p>
          <w:p>
            <w:pPr>
              <w:numPr>
                <w:ilvl w:val="0"/>
                <w:numId w:val="62"/>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GDS is originally designed to detect depressive symptoms among elderly individuals and may thus not be suitable for the younger participants in the DIAN cohort.</w:t>
            </w:r>
          </w:p>
          <w:p>
            <w:pPr>
              <w:numPr>
                <w:ilvl w:val="0"/>
                <w:numId w:val="62"/>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design.</w:t>
            </w:r>
          </w:p>
          <w:p>
            <w:pPr>
              <w:numPr>
                <w:ilvl w:val="0"/>
                <w:numId w:val="62"/>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 inclusion of a comparator group, ideally of family members of individuals with sporadic AD, will be ideal to control for stress and caregiver burden, these data are unavailable for this study.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MY"/>
              </w:rPr>
            </w:pPr>
            <w:r>
              <w:rPr>
                <w:rFonts w:hint="default" w:ascii="Times New Roman" w:hAnsi="Times New Roman" w:eastAsia="Calibri"/>
                <w:b/>
                <w:sz w:val="16"/>
                <w:szCs w:val="16"/>
                <w:lang w:val="en-MY"/>
              </w:rPr>
              <w:t>Ortner et al., 2021</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Retrospective</w:t>
            </w:r>
            <w:r>
              <w:rPr>
                <w:rFonts w:hint="default" w:ascii="Times New Roman" w:hAnsi="Times New Roman" w:eastAsia="Calibri"/>
                <w:sz w:val="16"/>
                <w:szCs w:val="16"/>
                <w:lang w:val="en-US"/>
              </w:rPr>
              <w:t xml:space="preserve"> cross-sectional</w:t>
            </w:r>
            <w:r>
              <w:rPr>
                <w:rFonts w:hint="default" w:ascii="Times New Roman" w:hAnsi="Times New Roman" w:eastAsia="Calibri"/>
                <w:sz w:val="16"/>
                <w:szCs w:val="16"/>
                <w:lang w:val="en-MY"/>
              </w:rPr>
              <w:t xml:space="preserve">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 = 157 dementia patients, 55.4% females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rPr>
              <w:t>To evaluate the prevalence of death wishes, suicidal ideation, and suicidal behavior of young and late onset dementia  and to identify risk factors for suicidal ideation and behavior.</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C</w:t>
            </w:r>
            <w:r>
              <w:rPr>
                <w:rFonts w:hint="default" w:ascii="Times New Roman" w:hAnsi="Times New Roman" w:eastAsia="Calibri"/>
                <w:sz w:val="16"/>
                <w:szCs w:val="16"/>
                <w:lang w:val="en-MY"/>
              </w:rPr>
              <w:t>SSRS before diagnosis of dementia, immediately after diagnosis of dementia, and 30 days prior to interview</w:t>
            </w:r>
          </w:p>
        </w:tc>
        <w:tc>
          <w:tcPr>
            <w:tcW w:w="3466" w:type="dxa"/>
            <w:tcBorders>
              <w:top w:val="single" w:color="666666" w:sz="4" w:space="0"/>
              <w:left w:val="nil"/>
              <w:bottom w:val="single" w:color="666666" w:sz="4" w:space="0"/>
              <w:right w:val="nil"/>
            </w:tcBorders>
            <w:vAlign w:val="top"/>
          </w:tcPr>
          <w:p>
            <w:pPr>
              <w:numPr>
                <w:ilvl w:val="0"/>
                <w:numId w:val="63"/>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28% of the patients expressed suicidal ideation or behavior at some time after the onset of symptoms, and 9% of these within the month prior to the assessment. Two patients had attempted suicide after the onset of dementia. </w:t>
            </w:r>
          </w:p>
          <w:p>
            <w:pPr>
              <w:numPr>
                <w:ilvl w:val="0"/>
                <w:numId w:val="63"/>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There were no statistically significant differences between patients with and without suicidal ideations or behavior with regards to demographics or age at onset of dementia. </w:t>
            </w:r>
          </w:p>
          <w:p>
            <w:pPr>
              <w:numPr>
                <w:ilvl w:val="0"/>
                <w:numId w:val="63"/>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In patients with advanced dementia, Alzheimer's disease (rather than frontotemporal lobar degeneration), better cognitive function, more severe psychological, behavioral, and physical symptoms, and a reduced quality of life were associated with the expression of suicidal ideation.</w:t>
            </w:r>
          </w:p>
          <w:p>
            <w:pPr>
              <w:numPr>
                <w:ilvl w:val="0"/>
                <w:numId w:val="63"/>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Patients with suicidal ideations in early stage of dementia stop to express them at advanced stages. </w:t>
            </w:r>
          </w:p>
        </w:tc>
        <w:tc>
          <w:tcPr>
            <w:tcW w:w="2215" w:type="dxa"/>
            <w:tcBorders>
              <w:top w:val="single" w:color="666666" w:sz="4" w:space="0"/>
              <w:left w:val="nil"/>
              <w:bottom w:val="single" w:color="666666" w:sz="4" w:space="0"/>
              <w:right w:val="nil"/>
            </w:tcBorders>
            <w:vAlign w:val="top"/>
          </w:tcPr>
          <w:p>
            <w:pPr>
              <w:numPr>
                <w:ilvl w:val="0"/>
                <w:numId w:val="64"/>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Retrospective history from caregivers may lead to recall bias. </w:t>
            </w:r>
          </w:p>
          <w:p>
            <w:pPr>
              <w:numPr>
                <w:ilvl w:val="0"/>
                <w:numId w:val="64"/>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Small sample size. </w:t>
            </w:r>
          </w:p>
          <w:p>
            <w:pPr>
              <w:numPr>
                <w:ilvl w:val="0"/>
                <w:numId w:val="64"/>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Caregivers were asked to report on sucidal behavior of dementia patients, rather than the patients themselves which may lead to respondent bias.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MY"/>
              </w:rPr>
            </w:pPr>
            <w:r>
              <w:rPr>
                <w:rFonts w:hint="default" w:ascii="Times New Roman" w:hAnsi="Times New Roman" w:eastAsia="Calibri"/>
                <w:b/>
                <w:sz w:val="16"/>
                <w:szCs w:val="16"/>
                <w:lang w:val="en-MY"/>
              </w:rPr>
              <w:t>Alothman et al., 2022</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population-based case-control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 = 594 674 patients with 580 159 (97.6%) were controls, 40 live control participants per suicide case were randomly matched on primary care practice and suicide date.</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rPr>
              <w:t>To examine the association between a dementia diagnosis and suicide risk in the general population and to identify high-risk subgroups.</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US"/>
              </w:rPr>
              <w:t>multiple linked electronic records from primary care, secondary care, and the Office for National Statistics</w:t>
            </w:r>
            <w:r>
              <w:rPr>
                <w:rFonts w:hint="default" w:ascii="Times New Roman" w:hAnsi="Times New Roman" w:eastAsia="Calibri"/>
                <w:sz w:val="16"/>
                <w:szCs w:val="16"/>
                <w:lang w:val="en-MY"/>
              </w:rPr>
              <w:t xml:space="preserve"> in England from 2001 to 2019. </w:t>
            </w:r>
          </w:p>
        </w:tc>
        <w:tc>
          <w:tcPr>
            <w:tcW w:w="3466" w:type="dxa"/>
            <w:tcBorders>
              <w:top w:val="single" w:color="666666" w:sz="4" w:space="0"/>
              <w:left w:val="nil"/>
              <w:bottom w:val="single" w:color="666666" w:sz="4" w:space="0"/>
              <w:right w:val="nil"/>
            </w:tcBorders>
            <w:vAlign w:val="top"/>
          </w:tcPr>
          <w:p>
            <w:pPr>
              <w:numPr>
                <w:ilvl w:val="0"/>
                <w:numId w:val="65"/>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Among those who died by suicide, 1.9% had a recorded dementia diagnosis.</w:t>
            </w:r>
          </w:p>
          <w:p>
            <w:pPr>
              <w:numPr>
                <w:ilvl w:val="0"/>
                <w:numId w:val="65"/>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There was no overall significant association between a dementia diagnosis and suicide risk.</w:t>
            </w:r>
          </w:p>
          <w:p>
            <w:pPr>
              <w:numPr>
                <w:ilvl w:val="0"/>
                <w:numId w:val="65"/>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However, suicide risk was significantly increased in patients diagnosed with dementia before age 65 years, in the first 3 months after diagnosis, and in patients with dementia and psychiatric comorbidity. </w:t>
            </w:r>
          </w:p>
          <w:p>
            <w:pPr>
              <w:numPr>
                <w:ilvl w:val="0"/>
                <w:numId w:val="65"/>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In patients younger than 65 years and within 3 months of diagnosis, suicide risk was 6.69 times higher than in patients without dementia.</w:t>
            </w:r>
          </w:p>
        </w:tc>
        <w:tc>
          <w:tcPr>
            <w:tcW w:w="2215" w:type="dxa"/>
            <w:tcBorders>
              <w:top w:val="single" w:color="666666" w:sz="4" w:space="0"/>
              <w:left w:val="nil"/>
              <w:bottom w:val="single" w:color="666666" w:sz="4" w:space="0"/>
              <w:right w:val="nil"/>
            </w:tcBorders>
            <w:vAlign w:val="top"/>
          </w:tcPr>
          <w:p>
            <w:pPr>
              <w:numPr>
                <w:ilvl w:val="0"/>
                <w:numId w:val="66"/>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Diagnosis of dementia not confirmed clinically.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MY"/>
              </w:rPr>
            </w:pPr>
            <w:r>
              <w:rPr>
                <w:rFonts w:hint="default" w:ascii="Times New Roman" w:hAnsi="Times New Roman" w:eastAsia="Calibri"/>
                <w:b/>
                <w:sz w:val="16"/>
                <w:szCs w:val="16"/>
                <w:lang w:val="en-MY"/>
              </w:rPr>
              <w:t>Barak et al., 2002</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Retrospective case-control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 = 1551 admission from 1991 to 2000 &gt; 60 years old, divide into suicidal and non-suicidal patients (as controls)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MY"/>
              </w:rPr>
            </w:pPr>
            <w:r>
              <w:rPr>
                <w:rFonts w:hint="default" w:ascii="Times New Roman" w:hAnsi="Times New Roman" w:eastAsia="Calibri"/>
                <w:sz w:val="16"/>
                <w:szCs w:val="16"/>
                <w:lang w:val="en-MY"/>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To examine the association between dementia  and suicidal attempts. </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DSM-4</w:t>
            </w:r>
          </w:p>
        </w:tc>
        <w:tc>
          <w:tcPr>
            <w:tcW w:w="3466" w:type="dxa"/>
            <w:tcBorders>
              <w:top w:val="single" w:color="666666" w:sz="4" w:space="0"/>
              <w:left w:val="nil"/>
              <w:bottom w:val="single" w:color="666666" w:sz="4" w:space="0"/>
              <w:right w:val="nil"/>
            </w:tcBorders>
            <w:vAlign w:val="top"/>
          </w:tcPr>
          <w:p>
            <w:pPr>
              <w:numPr>
                <w:ilvl w:val="0"/>
                <w:numId w:val="67"/>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22% diagnosed with dementia.</w:t>
            </w:r>
          </w:p>
          <w:p>
            <w:pPr>
              <w:numPr>
                <w:ilvl w:val="0"/>
                <w:numId w:val="67"/>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7.4% of all AD patients were admitted immediately following a suicide attempt..</w:t>
            </w:r>
          </w:p>
          <w:p>
            <w:pPr>
              <w:numPr>
                <w:ilvl w:val="0"/>
                <w:numId w:val="67"/>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 The index group (suicidal patients) differed from controls in Clinical Dementia Rating scores (p = 0.017) and higher frequency of previous suicide attempts (p = 0.022). </w:t>
            </w:r>
          </w:p>
          <w:p>
            <w:pPr>
              <w:numPr>
                <w:ilvl w:val="0"/>
                <w:numId w:val="67"/>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Lifetime psychopathology was not associated with higher rates of suicide attempts (p = 0.068). </w:t>
            </w:r>
          </w:p>
          <w:p>
            <w:pPr>
              <w:numPr>
                <w:ilvl w:val="0"/>
                <w:numId w:val="67"/>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color w:val="000000" w:themeColor="text1"/>
                <w:sz w:val="16"/>
                <w:szCs w:val="16"/>
                <w:lang w:val="en-MY"/>
                <w14:textFill>
                  <w14:solidFill>
                    <w14:schemeClr w14:val="tx1"/>
                  </w14:solidFill>
                </w14:textFill>
              </w:rPr>
              <w:t>Higher level of daily functioning and previous suicide attempts are associated with increased suicidal risk.</w:t>
            </w:r>
          </w:p>
        </w:tc>
        <w:tc>
          <w:tcPr>
            <w:tcW w:w="2215" w:type="dxa"/>
            <w:tcBorders>
              <w:top w:val="single" w:color="666666" w:sz="4" w:space="0"/>
              <w:left w:val="nil"/>
              <w:bottom w:val="single" w:color="666666" w:sz="4" w:space="0"/>
              <w:right w:val="nil"/>
            </w:tcBorders>
            <w:vAlign w:val="top"/>
          </w:tcPr>
          <w:p>
            <w:pPr>
              <w:numPr>
                <w:ilvl w:val="0"/>
                <w:numId w:val="68"/>
              </w:numPr>
              <w:spacing w:before="0" w:beforeLines="0" w:beforeAutospacing="0" w:after="0" w:afterLines="0" w:line="271" w:lineRule="auto"/>
              <w:rPr>
                <w:rFonts w:hint="default" w:ascii="Times New Roman" w:hAnsi="Times New Roman" w:eastAsia="Calibri"/>
                <w:sz w:val="16"/>
                <w:szCs w:val="16"/>
                <w:lang w:val="en-MY"/>
              </w:rPr>
            </w:pPr>
            <w:r>
              <w:rPr>
                <w:rFonts w:hint="default" w:ascii="Times New Roman" w:hAnsi="Times New Roman" w:eastAsia="Calibri"/>
                <w:sz w:val="16"/>
                <w:szCs w:val="16"/>
                <w:lang w:val="en-MY"/>
              </w:rPr>
              <w:t xml:space="preserve">Recruitment from only one center. Hence, findings not representative of dementia.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MY"/>
              </w:rPr>
            </w:pPr>
            <w:r>
              <w:rPr>
                <w:rFonts w:hint="default" w:ascii="Times New Roman" w:hAnsi="Times New Roman" w:eastAsia="Calibri"/>
                <w:b/>
                <w:sz w:val="16"/>
                <w:szCs w:val="16"/>
                <w:lang w:val="en-MY"/>
              </w:rPr>
              <w:t>Seyfried</w:t>
            </w:r>
            <w:r>
              <w:rPr>
                <w:rFonts w:hint="default" w:ascii="Times New Roman" w:hAnsi="Times New Roman" w:eastAsia="Calibri"/>
                <w:b/>
                <w:sz w:val="16"/>
                <w:szCs w:val="16"/>
                <w:lang w:val="en-US"/>
              </w:rPr>
              <w:t xml:space="preserve"> et al., 20</w:t>
            </w:r>
            <w:r>
              <w:rPr>
                <w:rFonts w:hint="default" w:ascii="Times New Roman" w:hAnsi="Times New Roman" w:eastAsia="Calibri"/>
                <w:b/>
                <w:sz w:val="16"/>
                <w:szCs w:val="16"/>
                <w:lang w:val="en-MY"/>
              </w:rPr>
              <w:t>11</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Case-control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294,952 dementia patients registered in Department of Veterans Affairs (VA) National Care Patient Database, 2.8% females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lang w:val="en-US"/>
              </w:rPr>
              <w:t xml:space="preserve">To </w:t>
            </w:r>
            <w:r>
              <w:rPr>
                <w:rFonts w:hint="default" w:ascii="Times New Roman" w:hAnsi="Times New Roman" w:eastAsia="Calibri"/>
                <w:sz w:val="16"/>
                <w:szCs w:val="16"/>
              </w:rPr>
              <w:t xml:space="preserve">compare VA patients with dementia who committed suicide during the study period vs. those who did not by demographic characteristics, medical comorbidity, health care utilization and medication use variables. In addition, </w:t>
            </w:r>
            <w:r>
              <w:rPr>
                <w:rFonts w:hint="default" w:ascii="Times New Roman" w:hAnsi="Times New Roman" w:eastAsia="Calibri"/>
                <w:sz w:val="16"/>
                <w:szCs w:val="16"/>
                <w:lang w:val="en-US"/>
              </w:rPr>
              <w:t xml:space="preserve">to </w:t>
            </w:r>
            <w:r>
              <w:rPr>
                <w:rFonts w:hint="default" w:ascii="Times New Roman" w:hAnsi="Times New Roman" w:eastAsia="Calibri"/>
                <w:sz w:val="16"/>
                <w:szCs w:val="16"/>
              </w:rPr>
              <w:t>examine the relationship between dementia severity and suicide and the methods used by those who killed themselves.</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ICD-9 and ICD-10</w:t>
            </w:r>
          </w:p>
        </w:tc>
        <w:tc>
          <w:tcPr>
            <w:tcW w:w="3466" w:type="dxa"/>
            <w:tcBorders>
              <w:top w:val="single" w:color="666666" w:sz="4" w:space="0"/>
              <w:left w:val="nil"/>
              <w:bottom w:val="single" w:color="666666" w:sz="4" w:space="0"/>
              <w:right w:val="nil"/>
            </w:tcBorders>
            <w:vAlign w:val="top"/>
          </w:tcPr>
          <w:p>
            <w:pPr>
              <w:numPr>
                <w:ilvl w:val="0"/>
                <w:numId w:val="69"/>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8.17% of dementia patients died by suicide.</w:t>
            </w:r>
          </w:p>
          <w:p>
            <w:pPr>
              <w:numPr>
                <w:ilvl w:val="0"/>
                <w:numId w:val="69"/>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Increased suicide risk was associated with white race, depression, a history of inpatient psychiatric hospitalizations, and prescription fills of antidepressants or anxiolytics. </w:t>
            </w:r>
          </w:p>
          <w:p>
            <w:pPr>
              <w:numPr>
                <w:ilvl w:val="0"/>
                <w:numId w:val="69"/>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 majority of suicides occurred in those with new dementia diagnoses. </w:t>
            </w:r>
          </w:p>
          <w:p>
            <w:pPr>
              <w:numPr>
                <w:ilvl w:val="0"/>
                <w:numId w:val="69"/>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Firearms were the most common suicide method (73%).</w:t>
            </w:r>
          </w:p>
        </w:tc>
        <w:tc>
          <w:tcPr>
            <w:tcW w:w="2215" w:type="dxa"/>
            <w:tcBorders>
              <w:top w:val="single" w:color="666666" w:sz="4" w:space="0"/>
              <w:left w:val="nil"/>
              <w:bottom w:val="single" w:color="666666" w:sz="4" w:space="0"/>
              <w:right w:val="nil"/>
            </w:tcBorders>
            <w:vAlign w:val="top"/>
          </w:tcPr>
          <w:p>
            <w:pPr>
              <w:numPr>
                <w:ilvl w:val="0"/>
                <w:numId w:val="70"/>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Study cohort predorminantly males.</w:t>
            </w:r>
          </w:p>
          <w:p>
            <w:pPr>
              <w:numPr>
                <w:ilvl w:val="0"/>
                <w:numId w:val="70"/>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Early dementia cases may not be diagnosed and identified.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US"/>
              </w:rPr>
            </w:pPr>
            <w:r>
              <w:rPr>
                <w:rFonts w:hint="default" w:ascii="Times New Roman" w:hAnsi="Times New Roman" w:eastAsia="Calibri"/>
                <w:b/>
                <w:sz w:val="16"/>
                <w:szCs w:val="16"/>
                <w:lang w:val="en-US"/>
              </w:rPr>
              <w:t>Tu et al., 2016</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Nationawide longitudinal cohort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1,189 patients aged ≥ 65 years who attempted suicide and 4,756 age- and sex-matched control subjects identified from the Taiwan National Health Insurance Research Database</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lang w:val="en-US"/>
              </w:rPr>
              <w:t>T</w:t>
            </w:r>
            <w:r>
              <w:rPr>
                <w:rFonts w:hint="default" w:ascii="Times New Roman" w:hAnsi="Times New Roman" w:eastAsia="Calibri"/>
                <w:sz w:val="16"/>
                <w:szCs w:val="16"/>
              </w:rPr>
              <w:t>o investigate the risk of developing dementia in elderly people who had attempted suicide.</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ICD-9</w:t>
            </w:r>
          </w:p>
        </w:tc>
        <w:tc>
          <w:tcPr>
            <w:tcW w:w="3466" w:type="dxa"/>
            <w:tcBorders>
              <w:top w:val="single" w:color="666666" w:sz="4" w:space="0"/>
              <w:left w:val="nil"/>
              <w:bottom w:val="single" w:color="666666" w:sz="4" w:space="0"/>
              <w:right w:val="nil"/>
            </w:tcBorders>
            <w:vAlign w:val="top"/>
          </w:tcPr>
          <w:p>
            <w:pPr>
              <w:numPr>
                <w:ilvl w:val="0"/>
                <w:numId w:val="7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Geriatric suicide attempt was associated with an increased risk of subsequent dementia. </w:t>
            </w:r>
          </w:p>
          <w:p>
            <w:pPr>
              <w:numPr>
                <w:ilvl w:val="0"/>
                <w:numId w:val="71"/>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Both patients aged between 65 and 79 years and patients aged ≥ 80 years who attempted suicide had an increased risk of developing dementia in later life, independent of depression and medical comorbidities. </w:t>
            </w:r>
          </w:p>
        </w:tc>
        <w:tc>
          <w:tcPr>
            <w:tcW w:w="2215" w:type="dxa"/>
            <w:tcBorders>
              <w:top w:val="single" w:color="666666" w:sz="4" w:space="0"/>
              <w:left w:val="nil"/>
              <w:bottom w:val="single" w:color="666666" w:sz="4" w:space="0"/>
              <w:right w:val="nil"/>
            </w:tcBorders>
            <w:vAlign w:val="top"/>
          </w:tcPr>
          <w:p>
            <w:pPr>
              <w:numPr>
                <w:ilvl w:val="0"/>
                <w:numId w:val="72"/>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Only subjects who sought medical help and consultation were enrolled. Hence, subject may not represent the entire geriatric suicidal population.</w:t>
            </w:r>
          </w:p>
          <w:p>
            <w:pPr>
              <w:numPr>
                <w:ilvl w:val="0"/>
                <w:numId w:val="72"/>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 study did not include family history, personal lifestyle, environmental factors, and nutrition status.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US"/>
              </w:rPr>
            </w:pPr>
            <w:r>
              <w:rPr>
                <w:rFonts w:hint="default" w:ascii="Times New Roman" w:hAnsi="Times New Roman" w:eastAsia="Calibri"/>
                <w:b/>
                <w:sz w:val="16"/>
                <w:szCs w:val="16"/>
                <w:lang w:val="en-US"/>
              </w:rPr>
              <w:t>Annor et al., 2019</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Cross-sectional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141,592 persons with dementia in the 2013-2014 Medicare fee-for-service ADRD registry data, 67,706 persons with dementia who died during 2013-2016, 30.8% females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lang w:val="en-US"/>
              </w:rPr>
              <w:t xml:space="preserve">To </w:t>
            </w:r>
            <w:r>
              <w:rPr>
                <w:rFonts w:hint="default" w:ascii="Times New Roman" w:hAnsi="Times New Roman" w:eastAsia="Calibri"/>
                <w:sz w:val="16"/>
                <w:szCs w:val="16"/>
              </w:rPr>
              <w:t>examine the characteristics, precipitants, and risk factors for suicide among persons with dementia.</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Georgia Alzheimer’s Disease and Related Dementia (ADRD) registry </w:t>
            </w:r>
          </w:p>
        </w:tc>
        <w:tc>
          <w:tcPr>
            <w:tcW w:w="3466" w:type="dxa"/>
            <w:tcBorders>
              <w:top w:val="single" w:color="666666" w:sz="4" w:space="0"/>
              <w:left w:val="nil"/>
              <w:bottom w:val="single" w:color="666666" w:sz="4" w:space="0"/>
              <w:right w:val="nil"/>
            </w:tcBorders>
            <w:vAlign w:val="top"/>
          </w:tcPr>
          <w:p>
            <w:pPr>
              <w:numPr>
                <w:ilvl w:val="0"/>
                <w:numId w:val="73"/>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Suicide rate among persons with dementia was 9.3/100,000 person-years overall and substantially higher among those diagnosed in the past 12 months. </w:t>
            </w:r>
          </w:p>
          <w:p>
            <w:pPr>
              <w:numPr>
                <w:ilvl w:val="0"/>
                <w:numId w:val="73"/>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Common precipitating factors were depressed mood (38.7%) and physical health problems (72.6%).</w:t>
            </w:r>
          </w:p>
          <w:p>
            <w:pPr>
              <w:numPr>
                <w:ilvl w:val="0"/>
                <w:numId w:val="73"/>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Being male, dementia diagnosis before age 65, and a recent diagnosis of dementia independently predicted suicide, but not depression or cardiovascular diseases.</w:t>
            </w:r>
          </w:p>
        </w:tc>
        <w:tc>
          <w:tcPr>
            <w:tcW w:w="2215" w:type="dxa"/>
            <w:tcBorders>
              <w:top w:val="single" w:color="666666" w:sz="4" w:space="0"/>
              <w:left w:val="nil"/>
              <w:bottom w:val="single" w:color="666666" w:sz="4" w:space="0"/>
              <w:right w:val="nil"/>
            </w:tcBorders>
            <w:vAlign w:val="top"/>
          </w:tcPr>
          <w:p>
            <w:pPr>
              <w:numPr>
                <w:ilvl w:val="0"/>
                <w:numId w:val="74"/>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Recruitment only from a single state, hence findings may not represent the American dementia population.</w:t>
            </w:r>
          </w:p>
          <w:p>
            <w:pPr>
              <w:numPr>
                <w:ilvl w:val="0"/>
                <w:numId w:val="74"/>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Cross-sectional design. </w:t>
            </w:r>
          </w:p>
          <w:p>
            <w:pPr>
              <w:numPr>
                <w:ilvl w:val="0"/>
                <w:numId w:val="74"/>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Diagnosis of dementia not confirmed clinically. </w:t>
            </w:r>
          </w:p>
          <w:p>
            <w:pPr>
              <w:numPr>
                <w:ilvl w:val="0"/>
                <w:numId w:val="74"/>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Study did not control for all socio-demographic factors. </w:t>
            </w:r>
          </w:p>
          <w:p>
            <w:pPr>
              <w:numPr>
                <w:ilvl w:val="0"/>
                <w:numId w:val="74"/>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Those younger than 65 years may have missed as they had not gain Medicare service.</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US"/>
              </w:rPr>
            </w:pPr>
            <w:r>
              <w:rPr>
                <w:rFonts w:hint="default" w:ascii="Times New Roman" w:hAnsi="Times New Roman" w:eastAsia="Calibri"/>
                <w:b/>
                <w:sz w:val="16"/>
                <w:szCs w:val="16"/>
                <w:lang w:val="en-US"/>
              </w:rPr>
              <w:t>Gunak et al., 2021</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Nationwide longitudinal cohort study</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147 595: 21 085 patients with MCI, 63 255 with dementia, and 63 255 in the propensity-matched comparison group; 2.9% females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rPr>
              <w:t>To examine the association between diagnoses of MCI and dementia and suicide attempt and explore potential psychiatric moderators and to assess whether the association differs based on recency of diagnosis.</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ICD-9, ICD-10</w:t>
            </w:r>
          </w:p>
        </w:tc>
        <w:tc>
          <w:tcPr>
            <w:tcW w:w="3466" w:type="dxa"/>
            <w:tcBorders>
              <w:top w:val="single" w:color="666666" w:sz="4" w:space="0"/>
              <w:left w:val="nil"/>
              <w:bottom w:val="single" w:color="666666" w:sz="4" w:space="0"/>
              <w:right w:val="nil"/>
            </w:tcBorders>
            <w:vAlign w:val="top"/>
          </w:tcPr>
          <w:p>
            <w:pPr>
              <w:numPr>
                <w:ilvl w:val="0"/>
                <w:numId w:val="75"/>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0.7% of patients with MCI and 0.6% of patients with dementia attempted suicide during follow-up, compared with 0.4% of patients without MCI or dementia. </w:t>
            </w:r>
          </w:p>
          <w:p>
            <w:pPr>
              <w:numPr>
                <w:ilvl w:val="0"/>
                <w:numId w:val="75"/>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After adjustment for demographic details and medical and psychiatric comorbidities, risk of suicide attempt was consistently highest for patients with a recent MCI or dementia diagnosis. </w:t>
            </w:r>
          </w:p>
          <w:p>
            <w:pPr>
              <w:numPr>
                <w:ilvl w:val="0"/>
                <w:numId w:val="75"/>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Risk  associated with prior diagnosis was not significant. </w:t>
            </w:r>
          </w:p>
          <w:p>
            <w:pPr>
              <w:numPr>
                <w:ilvl w:val="0"/>
                <w:numId w:val="75"/>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No psychiatric comorbidity moderated the association between MCI or dementia and suicide attempt.</w:t>
            </w:r>
          </w:p>
        </w:tc>
        <w:tc>
          <w:tcPr>
            <w:tcW w:w="2215" w:type="dxa"/>
            <w:tcBorders>
              <w:top w:val="single" w:color="666666" w:sz="4" w:space="0"/>
              <w:left w:val="nil"/>
              <w:bottom w:val="single" w:color="666666" w:sz="4" w:space="0"/>
              <w:right w:val="nil"/>
            </w:tcBorders>
            <w:vAlign w:val="top"/>
          </w:tcPr>
          <w:p>
            <w:pPr>
              <w:numPr>
                <w:ilvl w:val="0"/>
                <w:numId w:val="76"/>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Predorminant by male patients. </w:t>
            </w:r>
          </w:p>
          <w:p>
            <w:pPr>
              <w:numPr>
                <w:ilvl w:val="0"/>
                <w:numId w:val="76"/>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Study did not include potential risk factors such as social isolation, including loneliness, and assessment of brain injury.</w:t>
            </w:r>
          </w:p>
          <w:p>
            <w:pPr>
              <w:numPr>
                <w:ilvl w:val="0"/>
                <w:numId w:val="76"/>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Study did not focus on course or stage of illness itself. </w:t>
            </w:r>
          </w:p>
        </w:tc>
      </w:tr>
      <w:tr>
        <w:tblPrEx>
          <w:tblBorders>
            <w:top w:val="single" w:color="666666" w:sz="4" w:space="0"/>
            <w:left w:val="none" w:color="auto" w:sz="0" w:space="0"/>
            <w:bottom w:val="single" w:color="666666" w:sz="4" w:space="0"/>
            <w:right w:val="none" w:color="auto" w:sz="0" w:space="0"/>
            <w:insideH w:val="single" w:color="666666" w:sz="4" w:space="0"/>
            <w:insideV w:val="none" w:color="auto" w:sz="0" w:space="0"/>
          </w:tblBorders>
          <w:tblCellMar>
            <w:top w:w="0" w:type="dxa"/>
            <w:left w:w="108" w:type="dxa"/>
            <w:bottom w:w="0" w:type="dxa"/>
            <w:right w:w="108" w:type="dxa"/>
          </w:tblCellMar>
        </w:tblPrEx>
        <w:trPr>
          <w:cantSplit/>
        </w:trPr>
        <w:tc>
          <w:tcPr>
            <w:tcW w:w="1560" w:type="dxa"/>
            <w:tcBorders>
              <w:top w:val="single" w:color="666666" w:sz="4" w:space="0"/>
              <w:left w:val="nil"/>
              <w:bottom w:val="single" w:color="666666" w:sz="4" w:space="0"/>
              <w:right w:val="nil"/>
            </w:tcBorders>
            <w:noWrap/>
            <w:vAlign w:val="top"/>
          </w:tcPr>
          <w:p>
            <w:pPr>
              <w:spacing w:before="0" w:beforeLines="0" w:beforeAutospacing="0" w:after="0" w:afterLines="0" w:line="271" w:lineRule="auto"/>
              <w:rPr>
                <w:rFonts w:hint="default" w:ascii="Times New Roman" w:hAnsi="Times New Roman" w:eastAsia="Calibri"/>
                <w:b/>
                <w:sz w:val="16"/>
                <w:szCs w:val="16"/>
                <w:lang w:val="en-US"/>
              </w:rPr>
            </w:pPr>
            <w:r>
              <w:rPr>
                <w:rFonts w:hint="default" w:ascii="Times New Roman" w:hAnsi="Times New Roman" w:eastAsia="Calibri"/>
                <w:b/>
                <w:sz w:val="16"/>
                <w:szCs w:val="16"/>
                <w:lang w:val="en-US"/>
              </w:rPr>
              <w:t>Schmutte et al., 2022</w:t>
            </w:r>
          </w:p>
        </w:tc>
        <w:tc>
          <w:tcPr>
            <w:tcW w:w="111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Nationwide retrospective longitudinal cohort</w:t>
            </w:r>
          </w:p>
        </w:tc>
        <w:tc>
          <w:tcPr>
            <w:tcW w:w="1516"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 = 2,667,987 older adults with newly diagnosed dementia, 62.7% females</w:t>
            </w:r>
          </w:p>
        </w:tc>
        <w:tc>
          <w:tcPr>
            <w:tcW w:w="1112"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NA</w:t>
            </w:r>
          </w:p>
        </w:tc>
        <w:tc>
          <w:tcPr>
            <w:tcW w:w="764" w:type="dxa"/>
            <w:tcBorders>
              <w:top w:val="single" w:color="666666" w:sz="4" w:space="0"/>
              <w:left w:val="nil"/>
              <w:bottom w:val="single" w:color="666666" w:sz="4" w:space="0"/>
              <w:right w:val="nil"/>
            </w:tcBorders>
            <w:vAlign w:val="top"/>
          </w:tcPr>
          <w:p>
            <w:pPr>
              <w:spacing w:before="0" w:beforeLines="0" w:beforeAutospacing="0" w:after="0" w:afterLines="0" w:line="271" w:lineRule="auto"/>
              <w:jc w:val="center"/>
              <w:rPr>
                <w:rFonts w:hint="default" w:ascii="Times New Roman" w:hAnsi="Times New Roman" w:eastAsia="Calibri"/>
                <w:sz w:val="16"/>
                <w:szCs w:val="16"/>
                <w:lang w:val="en-US"/>
              </w:rPr>
            </w:pPr>
            <w:r>
              <w:rPr>
                <w:rFonts w:hint="default" w:ascii="Times New Roman" w:hAnsi="Times New Roman" w:eastAsia="Calibri"/>
                <w:sz w:val="16"/>
                <w:szCs w:val="16"/>
                <w:lang w:val="en-US"/>
              </w:rPr>
              <w:t>No</w:t>
            </w:r>
          </w:p>
        </w:tc>
        <w:tc>
          <w:tcPr>
            <w:tcW w:w="1790"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rPr>
            </w:pPr>
            <w:r>
              <w:rPr>
                <w:rFonts w:hint="default" w:ascii="Times New Roman" w:hAnsi="Times New Roman" w:eastAsia="Calibri"/>
                <w:sz w:val="16"/>
                <w:szCs w:val="16"/>
              </w:rPr>
              <w:t>examined the risk of suicide in the first year following ADRD diagnosis relative to the general geriatric population.</w:t>
            </w:r>
          </w:p>
        </w:tc>
        <w:tc>
          <w:tcPr>
            <w:tcW w:w="1497" w:type="dxa"/>
            <w:tcBorders>
              <w:top w:val="single" w:color="666666" w:sz="4" w:space="0"/>
              <w:left w:val="nil"/>
              <w:bottom w:val="single" w:color="666666" w:sz="4" w:space="0"/>
              <w:right w:val="nil"/>
            </w:tcBorders>
            <w:vAlign w:val="top"/>
          </w:tcPr>
          <w:p>
            <w:p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ICD-10</w:t>
            </w:r>
          </w:p>
        </w:tc>
        <w:tc>
          <w:tcPr>
            <w:tcW w:w="3466" w:type="dxa"/>
            <w:tcBorders>
              <w:top w:val="single" w:color="666666" w:sz="4" w:space="0"/>
              <w:left w:val="nil"/>
              <w:bottom w:val="single" w:color="666666" w:sz="4" w:space="0"/>
              <w:right w:val="nil"/>
            </w:tcBorders>
            <w:vAlign w:val="top"/>
          </w:tcPr>
          <w:p>
            <w:pPr>
              <w:numPr>
                <w:ilvl w:val="0"/>
                <w:numId w:val="77"/>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 suicide rate for the ADRD cohort was 26.42 per 100,000 person-years. </w:t>
            </w:r>
          </w:p>
          <w:p>
            <w:pPr>
              <w:numPr>
                <w:ilvl w:val="0"/>
                <w:numId w:val="77"/>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The overall standardized mortality ratio (SMR) for suicide was 1.53 with the highest risk among adults aged 65-74 years and the first 90 days following ADRD diagnosis. </w:t>
            </w:r>
          </w:p>
          <w:p>
            <w:pPr>
              <w:numPr>
                <w:ilvl w:val="0"/>
                <w:numId w:val="77"/>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Rural residence and recent mental health, substance use, or chronic pain conditions were associated with increased suicide risk.</w:t>
            </w:r>
          </w:p>
        </w:tc>
        <w:tc>
          <w:tcPr>
            <w:tcW w:w="2215" w:type="dxa"/>
            <w:tcBorders>
              <w:top w:val="single" w:color="666666" w:sz="4" w:space="0"/>
              <w:left w:val="nil"/>
              <w:bottom w:val="single" w:color="666666" w:sz="4" w:space="0"/>
              <w:right w:val="nil"/>
            </w:tcBorders>
            <w:vAlign w:val="top"/>
          </w:tcPr>
          <w:p>
            <w:pPr>
              <w:numPr>
                <w:ilvl w:val="0"/>
                <w:numId w:val="78"/>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Diagnosis of dementia, not validated. </w:t>
            </w:r>
          </w:p>
          <w:p>
            <w:pPr>
              <w:numPr>
                <w:ilvl w:val="0"/>
                <w:numId w:val="78"/>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 xml:space="preserve">Study did not include potential risk factors such as lifetime history of self-harm, proximal stressful life events, social disconnection (e.g., marital status, loneliness), and access to lethal means. </w:t>
            </w:r>
          </w:p>
          <w:p>
            <w:pPr>
              <w:numPr>
                <w:ilvl w:val="0"/>
                <w:numId w:val="78"/>
              </w:numPr>
              <w:spacing w:before="0" w:beforeLines="0" w:beforeAutospacing="0" w:after="0" w:afterLines="0" w:line="271" w:lineRule="auto"/>
              <w:rPr>
                <w:rFonts w:hint="default" w:ascii="Times New Roman" w:hAnsi="Times New Roman" w:eastAsia="Calibri"/>
                <w:sz w:val="16"/>
                <w:szCs w:val="16"/>
                <w:lang w:val="en-US"/>
              </w:rPr>
            </w:pPr>
            <w:r>
              <w:rPr>
                <w:rFonts w:hint="default" w:ascii="Times New Roman" w:hAnsi="Times New Roman" w:eastAsia="Calibri"/>
                <w:sz w:val="16"/>
                <w:szCs w:val="16"/>
                <w:lang w:val="en-US"/>
              </w:rPr>
              <w:t>Other causes of death may complicate detection of and contribute to underestimated counts of suicide deaths in older adults, particularly in the ≥75 years of age group.</w:t>
            </w:r>
          </w:p>
        </w:tc>
      </w:tr>
    </w:tbl>
    <w:p>
      <w:pPr>
        <w:rPr>
          <w:rFonts w:hint="default" w:ascii="Times New Roman" w:hAnsi="Times New Roman"/>
          <w:sz w:val="24"/>
          <w:szCs w:val="24"/>
          <w:lang w:val="en-US"/>
        </w:rPr>
      </w:pPr>
      <w:r>
        <w:rPr>
          <w:rFonts w:hint="default" w:ascii="Times New Roman" w:hAnsi="Times New Roman" w:eastAsia="Calibri"/>
          <w:b w:val="0"/>
          <w:bCs w:val="0"/>
          <w:color w:val="000000" w:themeColor="text1"/>
          <w:sz w:val="20"/>
          <w:szCs w:val="20"/>
          <w:lang w:val="en-US"/>
          <w14:textFill>
            <w14:solidFill>
              <w14:schemeClr w14:val="tx1"/>
            </w14:solidFill>
          </w14:textFill>
        </w:rPr>
        <w:t>SSE = sample size estimation,</w:t>
      </w:r>
      <w:r>
        <w:rPr>
          <w:rFonts w:hint="default" w:ascii="Times New Roman" w:hAnsi="Times New Roman" w:eastAsia="Calibri"/>
          <w:sz w:val="20"/>
          <w:szCs w:val="20"/>
          <w:lang w:val="en-US"/>
        </w:rPr>
        <w:t xml:space="preserve"> </w:t>
      </w:r>
      <w:r>
        <w:rPr>
          <w:rFonts w:hint="default" w:ascii="Times New Roman" w:hAnsi="Times New Roman" w:eastAsia="Calibri"/>
          <w:sz w:val="20"/>
          <w:szCs w:val="20"/>
          <w:lang w:val="en-MY"/>
        </w:rPr>
        <w:t xml:space="preserve">POMS = Profile of Mood State, GHQ-30 = General Health Questionnaire-30, </w:t>
      </w:r>
      <w:r>
        <w:rPr>
          <w:rFonts w:hint="default" w:ascii="Times New Roman" w:hAnsi="Times New Roman" w:eastAsia="Calibri"/>
          <w:sz w:val="20"/>
          <w:szCs w:val="20"/>
          <w:lang w:val="en-US"/>
        </w:rPr>
        <w:t>BDI = Beck Depression Inventory, BAI, Beck Anxiety Inventory, ZBI =  Zarit Burden Interview, MBI = Maslach Burnout Inventory, KA = Korean American, PWD = people with dementia, DSM III = Diagnostic and Statistical Manual for Mental Disorders 3</w:t>
      </w:r>
      <w:r>
        <w:rPr>
          <w:rFonts w:hint="default" w:ascii="Times New Roman" w:hAnsi="Times New Roman" w:eastAsia="Calibri"/>
          <w:sz w:val="20"/>
          <w:szCs w:val="20"/>
          <w:vertAlign w:val="superscript"/>
          <w:lang w:val="en-US"/>
        </w:rPr>
        <w:t>rd</w:t>
      </w:r>
      <w:r>
        <w:rPr>
          <w:rFonts w:hint="default" w:ascii="Times New Roman" w:hAnsi="Times New Roman" w:eastAsia="Calibri"/>
          <w:sz w:val="20"/>
          <w:szCs w:val="20"/>
          <w:lang w:val="en-US"/>
        </w:rPr>
        <w:t xml:space="preserve"> edition, </w:t>
      </w:r>
      <w:r>
        <w:rPr>
          <w:rFonts w:hint="default" w:ascii="Times New Roman" w:hAnsi="Times New Roman" w:eastAsia="Calibri"/>
          <w:sz w:val="20"/>
          <w:szCs w:val="20"/>
          <w:lang w:val="en-MY"/>
        </w:rPr>
        <w:t>ICD 10 = International Classification of Diseases 10</w:t>
      </w:r>
      <w:r>
        <w:rPr>
          <w:rFonts w:hint="default" w:ascii="Times New Roman" w:hAnsi="Times New Roman" w:eastAsia="Calibri"/>
          <w:sz w:val="20"/>
          <w:szCs w:val="20"/>
          <w:vertAlign w:val="superscript"/>
          <w:lang w:val="en-MY"/>
        </w:rPr>
        <w:t>th</w:t>
      </w:r>
      <w:r>
        <w:rPr>
          <w:rFonts w:hint="default" w:ascii="Times New Roman" w:hAnsi="Times New Roman" w:eastAsia="Calibri"/>
          <w:sz w:val="20"/>
          <w:szCs w:val="20"/>
          <w:lang w:val="en-MY"/>
        </w:rPr>
        <w:t xml:space="preserve"> Edition</w:t>
      </w:r>
      <w:r>
        <w:rPr>
          <w:rFonts w:hint="default" w:ascii="Times New Roman" w:hAnsi="Times New Roman" w:eastAsia="Calibri"/>
          <w:sz w:val="20"/>
          <w:szCs w:val="20"/>
          <w:lang w:val="en-US"/>
        </w:rPr>
        <w:t>, bvFTD = behavioral variant of frontotemporal dementia, RMBPC = Revised Memory and Behavior Problems Checklist, FCSES= Fortinsky Caregiver Self-efficacy Scale, ADKS= Alzheimer’s Disease Knowledge Scale, SF-12 II= 12-item Short Form Health Survey Version 2,  CESDS= Center for Epidemiologic Studies Depression Scale, BHS= Beck Hopelessness Scale, GAI= Geriatric Anxiety Inventory, LOT= Life Orientation Test, ZBS= Zarit Burden Scale, DSSI= Duke Social Support Index, SBQ-R= Suicidal Behaviors Questionnaire-Revised, SF-8= health related quality of life short-form health survey, NPI= Neuropsychiatric Inventory, PSMS= Physical Self-MaintenanceScale, LIADLS= Lawton Instrumental ADL Scale, MINI= Mini InternationalNeuropsychiatric Interview, HADS-A= Hospital Anxiety and Depression Scale—Anxiety, CRA= Caregiver Reaction Assessment,  PMS= Pearlin Mastery Scale, SSCQ= Short Sense of Competence Questionnaire, ADL= activity of daily living, QOL= quality of life, BPSD= behavioral and psychological symptoms of dementia, CIDI= Composite International Diagnostic Interview, DSM= Diagnostic and Statistical Manual for Mental Disorders, ICD= International Classification of Diseases, CAMDEX= Cambridge Examination for Mental Disorders of the Elderly, GDS= Geriatric Depression Scale, SSI= Scale for Suicidal Ideation, HBS= Harmful Behaviors Scale, BEHAVE-AD= Behavioral Pathology in Alzheimer’s Disease Rating Scale, FASS= Functional Assessment Staging Scale, RCI= Resident Classification index, CIRS= Cumulative Illness Rating Scale, EBASD= Even Briefer Assessment Scales for Depression, HDRS= Hamilton Depression Rating Scale, MMSE= Mini Mental State Examination, CDRS= Clinical Dementia Rating Scale, GMS-AGECAT= Geriatric Mental State–AutomatedGeriatric Examination for Computer Assisted Taxonomy, DRS= Depression Rating Scale, UDS= Uniform Data Set B6, NPI-Q=  informant-based neuropsychiatric inventoryquestionnaire, CDRS= Clinical Dementia Rating Scale, FAB= Frontal Assessment Battery, AES-C= Apathy Evaluation Scale-Clinician Version, HDRS= Hamilton Depression Rating Scale, HARS= Hamilton Anxiety Rating Scale, PSS= Perceived Stress Scale, BIS-11= Barratt Impulsiveness Scale, BHS= Beck’s Hopelessness Scale, ADAD= autosomal dominant Alzheimer’s disease, AD= Alzheimer’s disease</w:t>
      </w:r>
      <w:r>
        <w:rPr>
          <w:rFonts w:hint="default" w:ascii="Times New Roman" w:hAnsi="Times New Roman" w:eastAsia="Calibri"/>
          <w:sz w:val="20"/>
          <w:szCs w:val="20"/>
          <w:lang w:val="en-MY"/>
        </w:rPr>
        <w:t xml:space="preserve">, CSSRS= Columbia-Suicide Severity Rating Scale, </w:t>
      </w:r>
      <w:r>
        <w:rPr>
          <w:rFonts w:hint="default" w:ascii="Times New Roman" w:hAnsi="Times New Roman" w:eastAsia="Calibri"/>
          <w:sz w:val="20"/>
          <w:szCs w:val="20"/>
          <w:lang w:val="en-US"/>
        </w:rPr>
        <w:t>MCI = mild cognitive impairment, ARDS = Alzheimer’s disease or related dementias</w:t>
      </w:r>
    </w:p>
    <w:sectPr>
      <w:pgSz w:w="16838" w:h="11906" w:orient="landscape"/>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F562E"/>
    <w:multiLevelType w:val="singleLevel"/>
    <w:tmpl w:val="809F562E"/>
    <w:lvl w:ilvl="0" w:tentative="0">
      <w:start w:val="1"/>
      <w:numFmt w:val="decimal"/>
      <w:suff w:val="space"/>
      <w:lvlText w:val="(%1)"/>
      <w:lvlJc w:val="left"/>
    </w:lvl>
  </w:abstractNum>
  <w:abstractNum w:abstractNumId="1">
    <w:nsid w:val="831E4276"/>
    <w:multiLevelType w:val="singleLevel"/>
    <w:tmpl w:val="831E4276"/>
    <w:lvl w:ilvl="0" w:tentative="0">
      <w:start w:val="1"/>
      <w:numFmt w:val="decimal"/>
      <w:suff w:val="space"/>
      <w:lvlText w:val="(%1)"/>
      <w:lvlJc w:val="left"/>
    </w:lvl>
  </w:abstractNum>
  <w:abstractNum w:abstractNumId="2">
    <w:nsid w:val="83EE8EC1"/>
    <w:multiLevelType w:val="singleLevel"/>
    <w:tmpl w:val="83EE8EC1"/>
    <w:lvl w:ilvl="0" w:tentative="0">
      <w:start w:val="1"/>
      <w:numFmt w:val="decimal"/>
      <w:suff w:val="space"/>
      <w:lvlText w:val="(%1)"/>
      <w:lvlJc w:val="left"/>
    </w:lvl>
  </w:abstractNum>
  <w:abstractNum w:abstractNumId="3">
    <w:nsid w:val="8E54212C"/>
    <w:multiLevelType w:val="singleLevel"/>
    <w:tmpl w:val="8E54212C"/>
    <w:lvl w:ilvl="0" w:tentative="0">
      <w:start w:val="1"/>
      <w:numFmt w:val="decimal"/>
      <w:suff w:val="space"/>
      <w:lvlText w:val="(%1)"/>
      <w:lvlJc w:val="left"/>
    </w:lvl>
  </w:abstractNum>
  <w:abstractNum w:abstractNumId="4">
    <w:nsid w:val="9321C8C7"/>
    <w:multiLevelType w:val="singleLevel"/>
    <w:tmpl w:val="9321C8C7"/>
    <w:lvl w:ilvl="0" w:tentative="0">
      <w:start w:val="1"/>
      <w:numFmt w:val="decimal"/>
      <w:suff w:val="space"/>
      <w:lvlText w:val="(%1)"/>
      <w:lvlJc w:val="left"/>
    </w:lvl>
  </w:abstractNum>
  <w:abstractNum w:abstractNumId="5">
    <w:nsid w:val="935643FA"/>
    <w:multiLevelType w:val="singleLevel"/>
    <w:tmpl w:val="935643FA"/>
    <w:lvl w:ilvl="0" w:tentative="0">
      <w:start w:val="1"/>
      <w:numFmt w:val="decimal"/>
      <w:suff w:val="space"/>
      <w:lvlText w:val="(%1)"/>
      <w:lvlJc w:val="left"/>
    </w:lvl>
  </w:abstractNum>
  <w:abstractNum w:abstractNumId="6">
    <w:nsid w:val="95570210"/>
    <w:multiLevelType w:val="singleLevel"/>
    <w:tmpl w:val="95570210"/>
    <w:lvl w:ilvl="0" w:tentative="0">
      <w:start w:val="1"/>
      <w:numFmt w:val="decimal"/>
      <w:suff w:val="space"/>
      <w:lvlText w:val="(%1)"/>
      <w:lvlJc w:val="left"/>
    </w:lvl>
  </w:abstractNum>
  <w:abstractNum w:abstractNumId="7">
    <w:nsid w:val="9D4FC6BB"/>
    <w:multiLevelType w:val="singleLevel"/>
    <w:tmpl w:val="9D4FC6BB"/>
    <w:lvl w:ilvl="0" w:tentative="0">
      <w:start w:val="1"/>
      <w:numFmt w:val="decimal"/>
      <w:suff w:val="space"/>
      <w:lvlText w:val="(%1)"/>
      <w:lvlJc w:val="left"/>
    </w:lvl>
  </w:abstractNum>
  <w:abstractNum w:abstractNumId="8">
    <w:nsid w:val="9FEA733B"/>
    <w:multiLevelType w:val="singleLevel"/>
    <w:tmpl w:val="9FEA733B"/>
    <w:lvl w:ilvl="0" w:tentative="0">
      <w:start w:val="1"/>
      <w:numFmt w:val="decimal"/>
      <w:suff w:val="space"/>
      <w:lvlText w:val="(%1)"/>
      <w:lvlJc w:val="left"/>
    </w:lvl>
  </w:abstractNum>
  <w:abstractNum w:abstractNumId="9">
    <w:nsid w:val="A2742BF6"/>
    <w:multiLevelType w:val="singleLevel"/>
    <w:tmpl w:val="A2742BF6"/>
    <w:lvl w:ilvl="0" w:tentative="0">
      <w:start w:val="1"/>
      <w:numFmt w:val="decimal"/>
      <w:suff w:val="space"/>
      <w:lvlText w:val="(%1)"/>
      <w:lvlJc w:val="left"/>
    </w:lvl>
  </w:abstractNum>
  <w:abstractNum w:abstractNumId="10">
    <w:nsid w:val="AAFC24DD"/>
    <w:multiLevelType w:val="singleLevel"/>
    <w:tmpl w:val="AAFC24DD"/>
    <w:lvl w:ilvl="0" w:tentative="0">
      <w:start w:val="1"/>
      <w:numFmt w:val="decimal"/>
      <w:suff w:val="space"/>
      <w:lvlText w:val="(%1)"/>
      <w:lvlJc w:val="left"/>
    </w:lvl>
  </w:abstractNum>
  <w:abstractNum w:abstractNumId="11">
    <w:nsid w:val="ADB285AF"/>
    <w:multiLevelType w:val="singleLevel"/>
    <w:tmpl w:val="ADB285AF"/>
    <w:lvl w:ilvl="0" w:tentative="0">
      <w:start w:val="1"/>
      <w:numFmt w:val="decimal"/>
      <w:suff w:val="space"/>
      <w:lvlText w:val="(%1)"/>
      <w:lvlJc w:val="left"/>
    </w:lvl>
  </w:abstractNum>
  <w:abstractNum w:abstractNumId="12">
    <w:nsid w:val="B62AAED6"/>
    <w:multiLevelType w:val="singleLevel"/>
    <w:tmpl w:val="B62AAED6"/>
    <w:lvl w:ilvl="0" w:tentative="0">
      <w:start w:val="1"/>
      <w:numFmt w:val="decimal"/>
      <w:suff w:val="space"/>
      <w:lvlText w:val="(%1)"/>
      <w:lvlJc w:val="left"/>
    </w:lvl>
  </w:abstractNum>
  <w:abstractNum w:abstractNumId="13">
    <w:nsid w:val="B763A82B"/>
    <w:multiLevelType w:val="singleLevel"/>
    <w:tmpl w:val="B763A82B"/>
    <w:lvl w:ilvl="0" w:tentative="0">
      <w:start w:val="1"/>
      <w:numFmt w:val="decimal"/>
      <w:suff w:val="space"/>
      <w:lvlText w:val="(%1)"/>
      <w:lvlJc w:val="left"/>
    </w:lvl>
  </w:abstractNum>
  <w:abstractNum w:abstractNumId="14">
    <w:nsid w:val="B94F768B"/>
    <w:multiLevelType w:val="singleLevel"/>
    <w:tmpl w:val="B94F768B"/>
    <w:lvl w:ilvl="0" w:tentative="0">
      <w:start w:val="1"/>
      <w:numFmt w:val="decimal"/>
      <w:suff w:val="space"/>
      <w:lvlText w:val="(%1)"/>
      <w:lvlJc w:val="left"/>
    </w:lvl>
  </w:abstractNum>
  <w:abstractNum w:abstractNumId="15">
    <w:nsid w:val="BA64F6F6"/>
    <w:multiLevelType w:val="singleLevel"/>
    <w:tmpl w:val="BA64F6F6"/>
    <w:lvl w:ilvl="0" w:tentative="0">
      <w:start w:val="1"/>
      <w:numFmt w:val="decimal"/>
      <w:suff w:val="space"/>
      <w:lvlText w:val="(%1)"/>
      <w:lvlJc w:val="left"/>
    </w:lvl>
  </w:abstractNum>
  <w:abstractNum w:abstractNumId="16">
    <w:nsid w:val="C657CE87"/>
    <w:multiLevelType w:val="singleLevel"/>
    <w:tmpl w:val="C657CE87"/>
    <w:lvl w:ilvl="0" w:tentative="0">
      <w:start w:val="1"/>
      <w:numFmt w:val="decimal"/>
      <w:suff w:val="space"/>
      <w:lvlText w:val="(%1)"/>
      <w:lvlJc w:val="left"/>
    </w:lvl>
  </w:abstractNum>
  <w:abstractNum w:abstractNumId="17">
    <w:nsid w:val="CE1445A2"/>
    <w:multiLevelType w:val="singleLevel"/>
    <w:tmpl w:val="CE1445A2"/>
    <w:lvl w:ilvl="0" w:tentative="0">
      <w:start w:val="1"/>
      <w:numFmt w:val="decimal"/>
      <w:suff w:val="space"/>
      <w:lvlText w:val="(%1)"/>
      <w:lvlJc w:val="left"/>
    </w:lvl>
  </w:abstractNum>
  <w:abstractNum w:abstractNumId="18">
    <w:nsid w:val="D05D24F7"/>
    <w:multiLevelType w:val="singleLevel"/>
    <w:tmpl w:val="D05D24F7"/>
    <w:lvl w:ilvl="0" w:tentative="0">
      <w:start w:val="1"/>
      <w:numFmt w:val="decimal"/>
      <w:suff w:val="space"/>
      <w:lvlText w:val="(%1)"/>
      <w:lvlJc w:val="left"/>
    </w:lvl>
  </w:abstractNum>
  <w:abstractNum w:abstractNumId="19">
    <w:nsid w:val="D749E0B7"/>
    <w:multiLevelType w:val="singleLevel"/>
    <w:tmpl w:val="D749E0B7"/>
    <w:lvl w:ilvl="0" w:tentative="0">
      <w:start w:val="1"/>
      <w:numFmt w:val="decimal"/>
      <w:suff w:val="space"/>
      <w:lvlText w:val="(%1)"/>
      <w:lvlJc w:val="left"/>
    </w:lvl>
  </w:abstractNum>
  <w:abstractNum w:abstractNumId="20">
    <w:nsid w:val="D819A07A"/>
    <w:multiLevelType w:val="singleLevel"/>
    <w:tmpl w:val="D819A07A"/>
    <w:lvl w:ilvl="0" w:tentative="0">
      <w:start w:val="1"/>
      <w:numFmt w:val="decimal"/>
      <w:suff w:val="space"/>
      <w:lvlText w:val="(%1)"/>
      <w:lvlJc w:val="left"/>
    </w:lvl>
  </w:abstractNum>
  <w:abstractNum w:abstractNumId="21">
    <w:nsid w:val="D95A8E41"/>
    <w:multiLevelType w:val="singleLevel"/>
    <w:tmpl w:val="D95A8E41"/>
    <w:lvl w:ilvl="0" w:tentative="0">
      <w:start w:val="1"/>
      <w:numFmt w:val="decimal"/>
      <w:suff w:val="space"/>
      <w:lvlText w:val="(%1)"/>
      <w:lvlJc w:val="left"/>
    </w:lvl>
  </w:abstractNum>
  <w:abstractNum w:abstractNumId="22">
    <w:nsid w:val="DA6C66B6"/>
    <w:multiLevelType w:val="singleLevel"/>
    <w:tmpl w:val="DA6C66B6"/>
    <w:lvl w:ilvl="0" w:tentative="0">
      <w:start w:val="1"/>
      <w:numFmt w:val="decimal"/>
      <w:suff w:val="space"/>
      <w:lvlText w:val="(%1)"/>
      <w:lvlJc w:val="left"/>
    </w:lvl>
  </w:abstractNum>
  <w:abstractNum w:abstractNumId="23">
    <w:nsid w:val="E0147E43"/>
    <w:multiLevelType w:val="singleLevel"/>
    <w:tmpl w:val="E0147E43"/>
    <w:lvl w:ilvl="0" w:tentative="0">
      <w:start w:val="1"/>
      <w:numFmt w:val="decimal"/>
      <w:suff w:val="space"/>
      <w:lvlText w:val="(%1)"/>
      <w:lvlJc w:val="left"/>
    </w:lvl>
  </w:abstractNum>
  <w:abstractNum w:abstractNumId="24">
    <w:nsid w:val="E214784D"/>
    <w:multiLevelType w:val="singleLevel"/>
    <w:tmpl w:val="E214784D"/>
    <w:lvl w:ilvl="0" w:tentative="0">
      <w:start w:val="1"/>
      <w:numFmt w:val="decimal"/>
      <w:suff w:val="space"/>
      <w:lvlText w:val="(%1)"/>
      <w:lvlJc w:val="left"/>
    </w:lvl>
  </w:abstractNum>
  <w:abstractNum w:abstractNumId="25">
    <w:nsid w:val="E7823C6F"/>
    <w:multiLevelType w:val="singleLevel"/>
    <w:tmpl w:val="E7823C6F"/>
    <w:lvl w:ilvl="0" w:tentative="0">
      <w:start w:val="1"/>
      <w:numFmt w:val="decimal"/>
      <w:suff w:val="space"/>
      <w:lvlText w:val="(%1)"/>
      <w:lvlJc w:val="left"/>
    </w:lvl>
  </w:abstractNum>
  <w:abstractNum w:abstractNumId="26">
    <w:nsid w:val="E8C95FB4"/>
    <w:multiLevelType w:val="singleLevel"/>
    <w:tmpl w:val="E8C95FB4"/>
    <w:lvl w:ilvl="0" w:tentative="0">
      <w:start w:val="1"/>
      <w:numFmt w:val="decimal"/>
      <w:suff w:val="space"/>
      <w:lvlText w:val="(%1)"/>
      <w:lvlJc w:val="left"/>
    </w:lvl>
  </w:abstractNum>
  <w:abstractNum w:abstractNumId="27">
    <w:nsid w:val="EC65BA14"/>
    <w:multiLevelType w:val="singleLevel"/>
    <w:tmpl w:val="EC65BA14"/>
    <w:lvl w:ilvl="0" w:tentative="0">
      <w:start w:val="1"/>
      <w:numFmt w:val="decimal"/>
      <w:suff w:val="space"/>
      <w:lvlText w:val="(%1)"/>
      <w:lvlJc w:val="left"/>
    </w:lvl>
  </w:abstractNum>
  <w:abstractNum w:abstractNumId="28">
    <w:nsid w:val="F04EB6D1"/>
    <w:multiLevelType w:val="singleLevel"/>
    <w:tmpl w:val="F04EB6D1"/>
    <w:lvl w:ilvl="0" w:tentative="0">
      <w:start w:val="1"/>
      <w:numFmt w:val="decimal"/>
      <w:suff w:val="space"/>
      <w:lvlText w:val="(%1)"/>
      <w:lvlJc w:val="left"/>
    </w:lvl>
  </w:abstractNum>
  <w:abstractNum w:abstractNumId="29">
    <w:nsid w:val="F83C752F"/>
    <w:multiLevelType w:val="singleLevel"/>
    <w:tmpl w:val="F83C752F"/>
    <w:lvl w:ilvl="0" w:tentative="0">
      <w:start w:val="1"/>
      <w:numFmt w:val="decimal"/>
      <w:suff w:val="space"/>
      <w:lvlText w:val="(%1)"/>
      <w:lvlJc w:val="left"/>
    </w:lvl>
  </w:abstractNum>
  <w:abstractNum w:abstractNumId="30">
    <w:nsid w:val="FB6AFD00"/>
    <w:multiLevelType w:val="singleLevel"/>
    <w:tmpl w:val="FB6AFD00"/>
    <w:lvl w:ilvl="0" w:tentative="0">
      <w:start w:val="1"/>
      <w:numFmt w:val="decimal"/>
      <w:suff w:val="space"/>
      <w:lvlText w:val="(%1)"/>
      <w:lvlJc w:val="left"/>
    </w:lvl>
  </w:abstractNum>
  <w:abstractNum w:abstractNumId="31">
    <w:nsid w:val="FC572D7D"/>
    <w:multiLevelType w:val="multilevel"/>
    <w:tmpl w:val="FC572D7D"/>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2">
    <w:nsid w:val="FEC00DE8"/>
    <w:multiLevelType w:val="singleLevel"/>
    <w:tmpl w:val="FEC00DE8"/>
    <w:lvl w:ilvl="0" w:tentative="0">
      <w:start w:val="1"/>
      <w:numFmt w:val="decimal"/>
      <w:suff w:val="space"/>
      <w:lvlText w:val="(%1)"/>
      <w:lvlJc w:val="left"/>
    </w:lvl>
  </w:abstractNum>
  <w:abstractNum w:abstractNumId="33">
    <w:nsid w:val="FF757081"/>
    <w:multiLevelType w:val="singleLevel"/>
    <w:tmpl w:val="FF757081"/>
    <w:lvl w:ilvl="0" w:tentative="0">
      <w:start w:val="1"/>
      <w:numFmt w:val="decimal"/>
      <w:suff w:val="space"/>
      <w:lvlText w:val="(%1)"/>
      <w:lvlJc w:val="left"/>
    </w:lvl>
  </w:abstractNum>
  <w:abstractNum w:abstractNumId="34">
    <w:nsid w:val="FF7A6539"/>
    <w:multiLevelType w:val="singleLevel"/>
    <w:tmpl w:val="FF7A6539"/>
    <w:lvl w:ilvl="0" w:tentative="0">
      <w:start w:val="1"/>
      <w:numFmt w:val="decimal"/>
      <w:suff w:val="space"/>
      <w:lvlText w:val="(%1)"/>
      <w:lvlJc w:val="left"/>
    </w:lvl>
  </w:abstractNum>
  <w:abstractNum w:abstractNumId="35">
    <w:nsid w:val="035A7650"/>
    <w:multiLevelType w:val="singleLevel"/>
    <w:tmpl w:val="035A7650"/>
    <w:lvl w:ilvl="0" w:tentative="0">
      <w:start w:val="1"/>
      <w:numFmt w:val="decimal"/>
      <w:suff w:val="space"/>
      <w:lvlText w:val="(%1)"/>
      <w:lvlJc w:val="left"/>
    </w:lvl>
  </w:abstractNum>
  <w:abstractNum w:abstractNumId="36">
    <w:nsid w:val="069AF712"/>
    <w:multiLevelType w:val="singleLevel"/>
    <w:tmpl w:val="069AF712"/>
    <w:lvl w:ilvl="0" w:tentative="0">
      <w:start w:val="1"/>
      <w:numFmt w:val="decimal"/>
      <w:suff w:val="space"/>
      <w:lvlText w:val="(%1)"/>
      <w:lvlJc w:val="left"/>
    </w:lvl>
  </w:abstractNum>
  <w:abstractNum w:abstractNumId="37">
    <w:nsid w:val="0CF2C519"/>
    <w:multiLevelType w:val="singleLevel"/>
    <w:tmpl w:val="0CF2C519"/>
    <w:lvl w:ilvl="0" w:tentative="0">
      <w:start w:val="1"/>
      <w:numFmt w:val="decimal"/>
      <w:suff w:val="space"/>
      <w:lvlText w:val="(%1)"/>
      <w:lvlJc w:val="left"/>
    </w:lvl>
  </w:abstractNum>
  <w:abstractNum w:abstractNumId="38">
    <w:nsid w:val="10E1E58D"/>
    <w:multiLevelType w:val="singleLevel"/>
    <w:tmpl w:val="10E1E58D"/>
    <w:lvl w:ilvl="0" w:tentative="0">
      <w:start w:val="1"/>
      <w:numFmt w:val="decimal"/>
      <w:suff w:val="space"/>
      <w:lvlText w:val="(%1)"/>
      <w:lvlJc w:val="left"/>
    </w:lvl>
  </w:abstractNum>
  <w:abstractNum w:abstractNumId="39">
    <w:nsid w:val="167DB15F"/>
    <w:multiLevelType w:val="singleLevel"/>
    <w:tmpl w:val="167DB15F"/>
    <w:lvl w:ilvl="0" w:tentative="0">
      <w:start w:val="1"/>
      <w:numFmt w:val="decimal"/>
      <w:suff w:val="space"/>
      <w:lvlText w:val="(%1)"/>
      <w:lvlJc w:val="left"/>
    </w:lvl>
  </w:abstractNum>
  <w:abstractNum w:abstractNumId="40">
    <w:nsid w:val="1B2E66F3"/>
    <w:multiLevelType w:val="singleLevel"/>
    <w:tmpl w:val="1B2E66F3"/>
    <w:lvl w:ilvl="0" w:tentative="0">
      <w:start w:val="1"/>
      <w:numFmt w:val="decimal"/>
      <w:suff w:val="space"/>
      <w:lvlText w:val="(%1)"/>
      <w:lvlJc w:val="left"/>
    </w:lvl>
  </w:abstractNum>
  <w:abstractNum w:abstractNumId="41">
    <w:nsid w:val="1B6C0F02"/>
    <w:multiLevelType w:val="singleLevel"/>
    <w:tmpl w:val="1B6C0F02"/>
    <w:lvl w:ilvl="0" w:tentative="0">
      <w:start w:val="1"/>
      <w:numFmt w:val="decimal"/>
      <w:suff w:val="space"/>
      <w:lvlText w:val="(%1)"/>
      <w:lvlJc w:val="left"/>
    </w:lvl>
  </w:abstractNum>
  <w:abstractNum w:abstractNumId="42">
    <w:nsid w:val="1B87027C"/>
    <w:multiLevelType w:val="singleLevel"/>
    <w:tmpl w:val="1B87027C"/>
    <w:lvl w:ilvl="0" w:tentative="0">
      <w:start w:val="1"/>
      <w:numFmt w:val="decimal"/>
      <w:suff w:val="space"/>
      <w:lvlText w:val="(%1)"/>
      <w:lvlJc w:val="left"/>
    </w:lvl>
  </w:abstractNum>
  <w:abstractNum w:abstractNumId="43">
    <w:nsid w:val="1C57BEA5"/>
    <w:multiLevelType w:val="singleLevel"/>
    <w:tmpl w:val="1C57BEA5"/>
    <w:lvl w:ilvl="0" w:tentative="0">
      <w:start w:val="1"/>
      <w:numFmt w:val="decimal"/>
      <w:suff w:val="space"/>
      <w:lvlText w:val="(%1)"/>
      <w:lvlJc w:val="left"/>
    </w:lvl>
  </w:abstractNum>
  <w:abstractNum w:abstractNumId="44">
    <w:nsid w:val="21C370D8"/>
    <w:multiLevelType w:val="singleLevel"/>
    <w:tmpl w:val="21C370D8"/>
    <w:lvl w:ilvl="0" w:tentative="0">
      <w:start w:val="1"/>
      <w:numFmt w:val="decimal"/>
      <w:suff w:val="space"/>
      <w:lvlText w:val="(%1)"/>
      <w:lvlJc w:val="left"/>
    </w:lvl>
  </w:abstractNum>
  <w:abstractNum w:abstractNumId="45">
    <w:nsid w:val="255EE9FB"/>
    <w:multiLevelType w:val="singleLevel"/>
    <w:tmpl w:val="255EE9FB"/>
    <w:lvl w:ilvl="0" w:tentative="0">
      <w:start w:val="1"/>
      <w:numFmt w:val="decimal"/>
      <w:suff w:val="space"/>
      <w:lvlText w:val="(%1)"/>
      <w:lvlJc w:val="left"/>
    </w:lvl>
  </w:abstractNum>
  <w:abstractNum w:abstractNumId="46">
    <w:nsid w:val="26258D98"/>
    <w:multiLevelType w:val="singleLevel"/>
    <w:tmpl w:val="26258D98"/>
    <w:lvl w:ilvl="0" w:tentative="0">
      <w:start w:val="1"/>
      <w:numFmt w:val="decimal"/>
      <w:suff w:val="space"/>
      <w:lvlText w:val="(%1)"/>
      <w:lvlJc w:val="left"/>
    </w:lvl>
  </w:abstractNum>
  <w:abstractNum w:abstractNumId="47">
    <w:nsid w:val="26A603EE"/>
    <w:multiLevelType w:val="singleLevel"/>
    <w:tmpl w:val="26A603EE"/>
    <w:lvl w:ilvl="0" w:tentative="0">
      <w:start w:val="1"/>
      <w:numFmt w:val="decimal"/>
      <w:suff w:val="space"/>
      <w:lvlText w:val="(%1)"/>
      <w:lvlJc w:val="left"/>
    </w:lvl>
  </w:abstractNum>
  <w:abstractNum w:abstractNumId="48">
    <w:nsid w:val="317DA119"/>
    <w:multiLevelType w:val="singleLevel"/>
    <w:tmpl w:val="317DA119"/>
    <w:lvl w:ilvl="0" w:tentative="0">
      <w:start w:val="1"/>
      <w:numFmt w:val="decimal"/>
      <w:suff w:val="space"/>
      <w:lvlText w:val="(%1)"/>
      <w:lvlJc w:val="left"/>
    </w:lvl>
  </w:abstractNum>
  <w:abstractNum w:abstractNumId="49">
    <w:nsid w:val="32BC8C2F"/>
    <w:multiLevelType w:val="singleLevel"/>
    <w:tmpl w:val="32BC8C2F"/>
    <w:lvl w:ilvl="0" w:tentative="0">
      <w:start w:val="1"/>
      <w:numFmt w:val="decimal"/>
      <w:suff w:val="space"/>
      <w:lvlText w:val="(%1)"/>
      <w:lvlJc w:val="left"/>
    </w:lvl>
  </w:abstractNum>
  <w:abstractNum w:abstractNumId="50">
    <w:nsid w:val="330B94E0"/>
    <w:multiLevelType w:val="singleLevel"/>
    <w:tmpl w:val="330B94E0"/>
    <w:lvl w:ilvl="0" w:tentative="0">
      <w:start w:val="1"/>
      <w:numFmt w:val="decimal"/>
      <w:suff w:val="space"/>
      <w:lvlText w:val="(%1)"/>
      <w:lvlJc w:val="left"/>
    </w:lvl>
  </w:abstractNum>
  <w:abstractNum w:abstractNumId="51">
    <w:nsid w:val="334EE2A1"/>
    <w:multiLevelType w:val="singleLevel"/>
    <w:tmpl w:val="334EE2A1"/>
    <w:lvl w:ilvl="0" w:tentative="0">
      <w:start w:val="1"/>
      <w:numFmt w:val="decimal"/>
      <w:suff w:val="space"/>
      <w:lvlText w:val="(%1)"/>
      <w:lvlJc w:val="left"/>
    </w:lvl>
  </w:abstractNum>
  <w:abstractNum w:abstractNumId="52">
    <w:nsid w:val="339A82C1"/>
    <w:multiLevelType w:val="singleLevel"/>
    <w:tmpl w:val="339A82C1"/>
    <w:lvl w:ilvl="0" w:tentative="0">
      <w:start w:val="1"/>
      <w:numFmt w:val="decimal"/>
      <w:suff w:val="space"/>
      <w:lvlText w:val="(%1)"/>
      <w:lvlJc w:val="left"/>
    </w:lvl>
  </w:abstractNum>
  <w:abstractNum w:abstractNumId="53">
    <w:nsid w:val="34B50AFD"/>
    <w:multiLevelType w:val="singleLevel"/>
    <w:tmpl w:val="34B50AFD"/>
    <w:lvl w:ilvl="0" w:tentative="0">
      <w:start w:val="1"/>
      <w:numFmt w:val="decimal"/>
      <w:suff w:val="space"/>
      <w:lvlText w:val="(%1)"/>
      <w:lvlJc w:val="left"/>
    </w:lvl>
  </w:abstractNum>
  <w:abstractNum w:abstractNumId="54">
    <w:nsid w:val="382BEB34"/>
    <w:multiLevelType w:val="singleLevel"/>
    <w:tmpl w:val="382BEB34"/>
    <w:lvl w:ilvl="0" w:tentative="0">
      <w:start w:val="1"/>
      <w:numFmt w:val="decimal"/>
      <w:suff w:val="space"/>
      <w:lvlText w:val="(%1)"/>
      <w:lvlJc w:val="left"/>
    </w:lvl>
  </w:abstractNum>
  <w:abstractNum w:abstractNumId="55">
    <w:nsid w:val="3B802B8A"/>
    <w:multiLevelType w:val="singleLevel"/>
    <w:tmpl w:val="3B802B8A"/>
    <w:lvl w:ilvl="0" w:tentative="0">
      <w:start w:val="1"/>
      <w:numFmt w:val="decimal"/>
      <w:suff w:val="space"/>
      <w:lvlText w:val="(%1)"/>
      <w:lvlJc w:val="left"/>
    </w:lvl>
  </w:abstractNum>
  <w:abstractNum w:abstractNumId="56">
    <w:nsid w:val="3BB7A165"/>
    <w:multiLevelType w:val="singleLevel"/>
    <w:tmpl w:val="3BB7A165"/>
    <w:lvl w:ilvl="0" w:tentative="0">
      <w:start w:val="1"/>
      <w:numFmt w:val="decimal"/>
      <w:suff w:val="space"/>
      <w:lvlText w:val="(%1)"/>
      <w:lvlJc w:val="left"/>
    </w:lvl>
  </w:abstractNum>
  <w:abstractNum w:abstractNumId="57">
    <w:nsid w:val="40C590F0"/>
    <w:multiLevelType w:val="singleLevel"/>
    <w:tmpl w:val="40C590F0"/>
    <w:lvl w:ilvl="0" w:tentative="0">
      <w:start w:val="1"/>
      <w:numFmt w:val="decimal"/>
      <w:suff w:val="space"/>
      <w:lvlText w:val="(%1)"/>
      <w:lvlJc w:val="left"/>
    </w:lvl>
  </w:abstractNum>
  <w:abstractNum w:abstractNumId="58">
    <w:nsid w:val="41924FCA"/>
    <w:multiLevelType w:val="singleLevel"/>
    <w:tmpl w:val="41924FCA"/>
    <w:lvl w:ilvl="0" w:tentative="0">
      <w:start w:val="1"/>
      <w:numFmt w:val="decimal"/>
      <w:suff w:val="space"/>
      <w:lvlText w:val="(%1)"/>
      <w:lvlJc w:val="left"/>
    </w:lvl>
  </w:abstractNum>
  <w:abstractNum w:abstractNumId="59">
    <w:nsid w:val="44E7697F"/>
    <w:multiLevelType w:val="singleLevel"/>
    <w:tmpl w:val="44E7697F"/>
    <w:lvl w:ilvl="0" w:tentative="0">
      <w:start w:val="1"/>
      <w:numFmt w:val="decimal"/>
      <w:suff w:val="space"/>
      <w:lvlText w:val="(%1)"/>
      <w:lvlJc w:val="left"/>
    </w:lvl>
  </w:abstractNum>
  <w:abstractNum w:abstractNumId="60">
    <w:nsid w:val="47A9455D"/>
    <w:multiLevelType w:val="singleLevel"/>
    <w:tmpl w:val="47A9455D"/>
    <w:lvl w:ilvl="0" w:tentative="0">
      <w:start w:val="1"/>
      <w:numFmt w:val="decimal"/>
      <w:suff w:val="space"/>
      <w:lvlText w:val="(%1)"/>
      <w:lvlJc w:val="left"/>
    </w:lvl>
  </w:abstractNum>
  <w:abstractNum w:abstractNumId="61">
    <w:nsid w:val="4B337754"/>
    <w:multiLevelType w:val="singleLevel"/>
    <w:tmpl w:val="4B337754"/>
    <w:lvl w:ilvl="0" w:tentative="0">
      <w:start w:val="1"/>
      <w:numFmt w:val="decimal"/>
      <w:suff w:val="space"/>
      <w:lvlText w:val="(%1)"/>
      <w:lvlJc w:val="left"/>
    </w:lvl>
  </w:abstractNum>
  <w:abstractNum w:abstractNumId="62">
    <w:nsid w:val="4E0C190E"/>
    <w:multiLevelType w:val="singleLevel"/>
    <w:tmpl w:val="4E0C190E"/>
    <w:lvl w:ilvl="0" w:tentative="0">
      <w:start w:val="1"/>
      <w:numFmt w:val="decimal"/>
      <w:suff w:val="space"/>
      <w:lvlText w:val="(%1)"/>
      <w:lvlJc w:val="left"/>
    </w:lvl>
  </w:abstractNum>
  <w:abstractNum w:abstractNumId="63">
    <w:nsid w:val="4E1EFDCD"/>
    <w:multiLevelType w:val="singleLevel"/>
    <w:tmpl w:val="4E1EFDCD"/>
    <w:lvl w:ilvl="0" w:tentative="0">
      <w:start w:val="1"/>
      <w:numFmt w:val="decimal"/>
      <w:suff w:val="space"/>
      <w:lvlText w:val="(%1)"/>
      <w:lvlJc w:val="left"/>
    </w:lvl>
  </w:abstractNum>
  <w:abstractNum w:abstractNumId="64">
    <w:nsid w:val="5304F646"/>
    <w:multiLevelType w:val="singleLevel"/>
    <w:tmpl w:val="5304F646"/>
    <w:lvl w:ilvl="0" w:tentative="0">
      <w:start w:val="1"/>
      <w:numFmt w:val="decimal"/>
      <w:suff w:val="space"/>
      <w:lvlText w:val="(%1)"/>
      <w:lvlJc w:val="left"/>
    </w:lvl>
  </w:abstractNum>
  <w:abstractNum w:abstractNumId="65">
    <w:nsid w:val="53542413"/>
    <w:multiLevelType w:val="singleLevel"/>
    <w:tmpl w:val="53542413"/>
    <w:lvl w:ilvl="0" w:tentative="0">
      <w:start w:val="1"/>
      <w:numFmt w:val="decimal"/>
      <w:suff w:val="space"/>
      <w:lvlText w:val="(%1)"/>
      <w:lvlJc w:val="left"/>
    </w:lvl>
  </w:abstractNum>
  <w:abstractNum w:abstractNumId="66">
    <w:nsid w:val="5418B4D4"/>
    <w:multiLevelType w:val="singleLevel"/>
    <w:tmpl w:val="5418B4D4"/>
    <w:lvl w:ilvl="0" w:tentative="0">
      <w:start w:val="1"/>
      <w:numFmt w:val="decimal"/>
      <w:suff w:val="space"/>
      <w:lvlText w:val="(%1)"/>
      <w:lvlJc w:val="left"/>
      <w:pPr>
        <w:ind w:left="40" w:leftChars="0" w:firstLine="0" w:firstLineChars="0"/>
      </w:pPr>
    </w:lvl>
  </w:abstractNum>
  <w:abstractNum w:abstractNumId="67">
    <w:nsid w:val="5979A1F6"/>
    <w:multiLevelType w:val="singleLevel"/>
    <w:tmpl w:val="5979A1F6"/>
    <w:lvl w:ilvl="0" w:tentative="0">
      <w:start w:val="1"/>
      <w:numFmt w:val="decimal"/>
      <w:suff w:val="space"/>
      <w:lvlText w:val="(%1)"/>
      <w:lvlJc w:val="left"/>
    </w:lvl>
  </w:abstractNum>
  <w:abstractNum w:abstractNumId="68">
    <w:nsid w:val="6376174E"/>
    <w:multiLevelType w:val="multilevel"/>
    <w:tmpl w:val="6376174E"/>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9">
    <w:nsid w:val="65958C82"/>
    <w:multiLevelType w:val="singleLevel"/>
    <w:tmpl w:val="65958C82"/>
    <w:lvl w:ilvl="0" w:tentative="0">
      <w:start w:val="1"/>
      <w:numFmt w:val="decimal"/>
      <w:suff w:val="space"/>
      <w:lvlText w:val="(%1)"/>
      <w:lvlJc w:val="left"/>
    </w:lvl>
  </w:abstractNum>
  <w:abstractNum w:abstractNumId="70">
    <w:nsid w:val="65AFE8EA"/>
    <w:multiLevelType w:val="singleLevel"/>
    <w:tmpl w:val="65AFE8EA"/>
    <w:lvl w:ilvl="0" w:tentative="0">
      <w:start w:val="1"/>
      <w:numFmt w:val="decimal"/>
      <w:suff w:val="space"/>
      <w:lvlText w:val="(%1)"/>
      <w:lvlJc w:val="left"/>
    </w:lvl>
  </w:abstractNum>
  <w:abstractNum w:abstractNumId="71">
    <w:nsid w:val="6C0FAA2A"/>
    <w:multiLevelType w:val="singleLevel"/>
    <w:tmpl w:val="6C0FAA2A"/>
    <w:lvl w:ilvl="0" w:tentative="0">
      <w:start w:val="1"/>
      <w:numFmt w:val="decimal"/>
      <w:suff w:val="space"/>
      <w:lvlText w:val="(%1)"/>
      <w:lvlJc w:val="left"/>
    </w:lvl>
  </w:abstractNum>
  <w:abstractNum w:abstractNumId="72">
    <w:nsid w:val="6C8E4538"/>
    <w:multiLevelType w:val="singleLevel"/>
    <w:tmpl w:val="6C8E4538"/>
    <w:lvl w:ilvl="0" w:tentative="0">
      <w:start w:val="1"/>
      <w:numFmt w:val="decimal"/>
      <w:suff w:val="space"/>
      <w:lvlText w:val="(%1)"/>
      <w:lvlJc w:val="left"/>
      <w:pPr>
        <w:ind w:left="0"/>
      </w:pPr>
    </w:lvl>
  </w:abstractNum>
  <w:abstractNum w:abstractNumId="73">
    <w:nsid w:val="6CC904F9"/>
    <w:multiLevelType w:val="singleLevel"/>
    <w:tmpl w:val="6CC904F9"/>
    <w:lvl w:ilvl="0" w:tentative="0">
      <w:start w:val="1"/>
      <w:numFmt w:val="decimal"/>
      <w:suff w:val="space"/>
      <w:lvlText w:val="(%1)"/>
      <w:lvlJc w:val="left"/>
    </w:lvl>
  </w:abstractNum>
  <w:abstractNum w:abstractNumId="74">
    <w:nsid w:val="71A1B64C"/>
    <w:multiLevelType w:val="singleLevel"/>
    <w:tmpl w:val="71A1B64C"/>
    <w:lvl w:ilvl="0" w:tentative="0">
      <w:start w:val="1"/>
      <w:numFmt w:val="decimal"/>
      <w:suff w:val="space"/>
      <w:lvlText w:val="(%1)"/>
      <w:lvlJc w:val="left"/>
      <w:pPr>
        <w:ind w:left="40" w:leftChars="0" w:firstLine="0" w:firstLineChars="0"/>
      </w:pPr>
    </w:lvl>
  </w:abstractNum>
  <w:abstractNum w:abstractNumId="75">
    <w:nsid w:val="722C25D5"/>
    <w:multiLevelType w:val="singleLevel"/>
    <w:tmpl w:val="722C25D5"/>
    <w:lvl w:ilvl="0" w:tentative="0">
      <w:start w:val="1"/>
      <w:numFmt w:val="decimal"/>
      <w:suff w:val="space"/>
      <w:lvlText w:val="(%1)"/>
      <w:lvlJc w:val="left"/>
    </w:lvl>
  </w:abstractNum>
  <w:abstractNum w:abstractNumId="76">
    <w:nsid w:val="7254DB5B"/>
    <w:multiLevelType w:val="singleLevel"/>
    <w:tmpl w:val="7254DB5B"/>
    <w:lvl w:ilvl="0" w:tentative="0">
      <w:start w:val="1"/>
      <w:numFmt w:val="decimal"/>
      <w:suff w:val="space"/>
      <w:lvlText w:val="(%1)"/>
      <w:lvlJc w:val="left"/>
    </w:lvl>
  </w:abstractNum>
  <w:abstractNum w:abstractNumId="77">
    <w:nsid w:val="76A222A4"/>
    <w:multiLevelType w:val="singleLevel"/>
    <w:tmpl w:val="76A222A4"/>
    <w:lvl w:ilvl="0" w:tentative="0">
      <w:start w:val="1"/>
      <w:numFmt w:val="decimal"/>
      <w:suff w:val="space"/>
      <w:lvlText w:val="(%1)"/>
      <w:lvlJc w:val="left"/>
    </w:lvl>
  </w:abstractNum>
  <w:num w:numId="1">
    <w:abstractNumId w:val="46"/>
  </w:num>
  <w:num w:numId="2">
    <w:abstractNumId w:val="5"/>
  </w:num>
  <w:num w:numId="3">
    <w:abstractNumId w:val="66"/>
  </w:num>
  <w:num w:numId="4">
    <w:abstractNumId w:val="35"/>
  </w:num>
  <w:num w:numId="5">
    <w:abstractNumId w:val="51"/>
  </w:num>
  <w:num w:numId="6">
    <w:abstractNumId w:val="39"/>
  </w:num>
  <w:num w:numId="7">
    <w:abstractNumId w:val="60"/>
  </w:num>
  <w:num w:numId="8">
    <w:abstractNumId w:val="69"/>
  </w:num>
  <w:num w:numId="9">
    <w:abstractNumId w:val="57"/>
  </w:num>
  <w:num w:numId="10">
    <w:abstractNumId w:val="1"/>
  </w:num>
  <w:num w:numId="11">
    <w:abstractNumId w:val="23"/>
  </w:num>
  <w:num w:numId="12">
    <w:abstractNumId w:val="4"/>
  </w:num>
  <w:num w:numId="13">
    <w:abstractNumId w:val="61"/>
  </w:num>
  <w:num w:numId="14">
    <w:abstractNumId w:val="13"/>
  </w:num>
  <w:num w:numId="15">
    <w:abstractNumId w:val="2"/>
  </w:num>
  <w:num w:numId="16">
    <w:abstractNumId w:val="55"/>
  </w:num>
  <w:num w:numId="17">
    <w:abstractNumId w:val="9"/>
  </w:num>
  <w:num w:numId="18">
    <w:abstractNumId w:val="76"/>
  </w:num>
  <w:num w:numId="19">
    <w:abstractNumId w:val="33"/>
  </w:num>
  <w:num w:numId="20">
    <w:abstractNumId w:val="65"/>
  </w:num>
  <w:num w:numId="21">
    <w:abstractNumId w:val="52"/>
  </w:num>
  <w:num w:numId="22">
    <w:abstractNumId w:val="14"/>
  </w:num>
  <w:num w:numId="23">
    <w:abstractNumId w:val="10"/>
  </w:num>
  <w:num w:numId="24">
    <w:abstractNumId w:val="74"/>
  </w:num>
  <w:num w:numId="25">
    <w:abstractNumId w:val="20"/>
  </w:num>
  <w:num w:numId="26">
    <w:abstractNumId w:val="0"/>
  </w:num>
  <w:num w:numId="27">
    <w:abstractNumId w:val="70"/>
  </w:num>
  <w:num w:numId="28">
    <w:abstractNumId w:val="6"/>
  </w:num>
  <w:num w:numId="29">
    <w:abstractNumId w:val="28"/>
  </w:num>
  <w:num w:numId="30">
    <w:abstractNumId w:val="32"/>
  </w:num>
  <w:num w:numId="31">
    <w:abstractNumId w:val="42"/>
  </w:num>
  <w:num w:numId="32">
    <w:abstractNumId w:val="54"/>
  </w:num>
  <w:num w:numId="33">
    <w:abstractNumId w:val="58"/>
  </w:num>
  <w:num w:numId="34">
    <w:abstractNumId w:val="47"/>
  </w:num>
  <w:num w:numId="35">
    <w:abstractNumId w:val="12"/>
  </w:num>
  <w:num w:numId="36">
    <w:abstractNumId w:val="27"/>
  </w:num>
  <w:num w:numId="37">
    <w:abstractNumId w:val="19"/>
  </w:num>
  <w:num w:numId="38">
    <w:abstractNumId w:val="77"/>
  </w:num>
  <w:num w:numId="39">
    <w:abstractNumId w:val="38"/>
  </w:num>
  <w:num w:numId="40">
    <w:abstractNumId w:val="49"/>
  </w:num>
  <w:num w:numId="41">
    <w:abstractNumId w:val="16"/>
  </w:num>
  <w:num w:numId="42">
    <w:abstractNumId w:val="41"/>
  </w:num>
  <w:num w:numId="43">
    <w:abstractNumId w:val="17"/>
  </w:num>
  <w:num w:numId="44">
    <w:abstractNumId w:val="36"/>
  </w:num>
  <w:num w:numId="45">
    <w:abstractNumId w:val="37"/>
  </w:num>
  <w:num w:numId="46">
    <w:abstractNumId w:val="71"/>
  </w:num>
  <w:num w:numId="47">
    <w:abstractNumId w:val="75"/>
  </w:num>
  <w:num w:numId="48">
    <w:abstractNumId w:val="29"/>
  </w:num>
  <w:num w:numId="49">
    <w:abstractNumId w:val="43"/>
  </w:num>
  <w:num w:numId="50">
    <w:abstractNumId w:val="8"/>
  </w:num>
  <w:num w:numId="51">
    <w:abstractNumId w:val="25"/>
  </w:num>
  <w:num w:numId="52">
    <w:abstractNumId w:val="40"/>
  </w:num>
  <w:num w:numId="53">
    <w:abstractNumId w:val="72"/>
  </w:num>
  <w:num w:numId="54">
    <w:abstractNumId w:val="64"/>
  </w:num>
  <w:num w:numId="55">
    <w:abstractNumId w:val="45"/>
  </w:num>
  <w:num w:numId="56">
    <w:abstractNumId w:val="63"/>
  </w:num>
  <w:num w:numId="57">
    <w:abstractNumId w:val="18"/>
  </w:num>
  <w:num w:numId="58">
    <w:abstractNumId w:val="15"/>
  </w:num>
  <w:num w:numId="59">
    <w:abstractNumId w:val="56"/>
  </w:num>
  <w:num w:numId="60">
    <w:abstractNumId w:val="24"/>
  </w:num>
  <w:num w:numId="61">
    <w:abstractNumId w:val="31"/>
  </w:num>
  <w:num w:numId="62">
    <w:abstractNumId w:val="68"/>
  </w:num>
  <w:num w:numId="63">
    <w:abstractNumId w:val="7"/>
  </w:num>
  <w:num w:numId="64">
    <w:abstractNumId w:val="53"/>
  </w:num>
  <w:num w:numId="65">
    <w:abstractNumId w:val="73"/>
  </w:num>
  <w:num w:numId="66">
    <w:abstractNumId w:val="21"/>
  </w:num>
  <w:num w:numId="67">
    <w:abstractNumId w:val="3"/>
  </w:num>
  <w:num w:numId="68">
    <w:abstractNumId w:val="59"/>
  </w:num>
  <w:num w:numId="69">
    <w:abstractNumId w:val="22"/>
  </w:num>
  <w:num w:numId="70">
    <w:abstractNumId w:val="50"/>
  </w:num>
  <w:num w:numId="71">
    <w:abstractNumId w:val="62"/>
  </w:num>
  <w:num w:numId="72">
    <w:abstractNumId w:val="48"/>
  </w:num>
  <w:num w:numId="73">
    <w:abstractNumId w:val="26"/>
  </w:num>
  <w:num w:numId="74">
    <w:abstractNumId w:val="44"/>
  </w:num>
  <w:num w:numId="75">
    <w:abstractNumId w:val="11"/>
  </w:num>
  <w:num w:numId="76">
    <w:abstractNumId w:val="34"/>
  </w:num>
  <w:num w:numId="77">
    <w:abstractNumId w:val="67"/>
  </w:num>
  <w:num w:numId="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D40F46"/>
    <w:rsid w:val="00F3563F"/>
    <w:rsid w:val="02F14840"/>
    <w:rsid w:val="077548AE"/>
    <w:rsid w:val="07AA186E"/>
    <w:rsid w:val="0EE63E33"/>
    <w:rsid w:val="10655659"/>
    <w:rsid w:val="10E23AD8"/>
    <w:rsid w:val="1A5F29CA"/>
    <w:rsid w:val="1C655C02"/>
    <w:rsid w:val="214819E9"/>
    <w:rsid w:val="22DE3463"/>
    <w:rsid w:val="23812994"/>
    <w:rsid w:val="239205CF"/>
    <w:rsid w:val="278E325F"/>
    <w:rsid w:val="29440367"/>
    <w:rsid w:val="2A84502F"/>
    <w:rsid w:val="2F9779A8"/>
    <w:rsid w:val="32E90AF3"/>
    <w:rsid w:val="335A3C6B"/>
    <w:rsid w:val="33EF31E8"/>
    <w:rsid w:val="345D1393"/>
    <w:rsid w:val="351802AB"/>
    <w:rsid w:val="3E473BB8"/>
    <w:rsid w:val="44CD2E9C"/>
    <w:rsid w:val="4B735EB5"/>
    <w:rsid w:val="4B8B6882"/>
    <w:rsid w:val="539B0C51"/>
    <w:rsid w:val="606624AA"/>
    <w:rsid w:val="60BA623A"/>
    <w:rsid w:val="61142EB0"/>
    <w:rsid w:val="62612395"/>
    <w:rsid w:val="63F625AB"/>
    <w:rsid w:val="68ED7303"/>
    <w:rsid w:val="6D5D28BA"/>
    <w:rsid w:val="6D9973BC"/>
    <w:rsid w:val="6E3317EF"/>
    <w:rsid w:val="6FE41165"/>
    <w:rsid w:val="7B6475E5"/>
    <w:rsid w:val="7DA70945"/>
    <w:rsid w:val="7F0B56C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60" w:line="256" w:lineRule="auto"/>
    </w:pPr>
    <w:rPr>
      <w:rFonts w:ascii="Calibri" w:hAnsi="Calibri" w:eastAsia="Times New Roman" w:cs="Times New Roman"/>
      <w:sz w:val="22"/>
      <w:szCs w:val="22"/>
      <w:lang w:val="en-MY" w:eastAsia="en-MY"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5983</Words>
  <Characters>34109</Characters>
  <Lines>284</Lines>
  <Paragraphs>80</Paragraphs>
  <TotalTime>247</TotalTime>
  <ScaleCrop>false</ScaleCrop>
  <LinksUpToDate>false</LinksUpToDate>
  <CharactersWithSpaces>40012</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2022-12-11T01:05:00Z</dcterms:created>
  <dc:creator>MOHAMMAD FARRIS IMAN LEONG BIN ABDULLAH</dc:creator>
  <cp:lastModifiedBy>Mohammad Farris Iman Leong Abd</cp:lastModifiedBy>
  <dcterms:modified xsi:type="dcterms:W3CDTF">2023-05-13T02:01:55Z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D1D7C6A1F39A45CDAA180C09EC46473A</vt:lpwstr>
  </property>
</Properties>
</file>