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jc w:val="both"/>
        <w:rPr>
          <w:rFonts w:ascii="Times New Roman" w:hAnsi="Times New Roman" w:cs="Times New Roman"/>
          <w:b/>
          <w:snapToGrid w:val="0"/>
          <w:color w:val="000000" w:themeColor="text1"/>
          <w:lang w:bidi="en-US"/>
        </w:rPr>
      </w:pPr>
      <w:r>
        <w:rPr>
          <w:rFonts w:ascii="Times New Roman" w:hAnsi="Times New Roman" w:cs="Times New Roman"/>
          <w:b/>
          <w:snapToGrid w:val="0"/>
          <w:color w:val="000000" w:themeColor="text1"/>
          <w:lang w:bidi="en-US"/>
        </w:rPr>
        <w:t>Fig. S1</w:t>
      </w:r>
    </w:p>
    <w:p>
      <w:pPr>
        <w:jc w:val="both"/>
        <w:rPr>
          <w:rFonts w:ascii="Palatino Linotype" w:hAnsi="Palatino Linotype"/>
          <w:noProof/>
          <w:sz w:val="18"/>
          <w:szCs w:val="18"/>
        </w:rPr>
      </w:pPr>
    </w:p>
    <w:p>
      <w:pPr>
        <w:jc w:val="center"/>
        <w:rPr>
          <w:rFonts w:ascii="Palatino Linotype" w:hAnsi="Palatino Linotype"/>
          <w:sz w:val="18"/>
          <w:szCs w:val="18"/>
        </w:rPr>
      </w:pPr>
      <w:r>
        <w:rPr>
          <w:rFonts w:ascii="Palatino Linotype" w:hAnsi="Palatino Linotype"/>
          <w:noProof/>
          <w:sz w:val="18"/>
          <w:szCs w:val="18"/>
          <w:lang w:eastAsia="zh-CN"/>
        </w:rPr>
        <w:drawing>
          <wp:inline distT="0" distB="0" distL="0" distR="0">
            <wp:extent cx="5274310" cy="2684780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before="120" w:after="240" w:line="260" w:lineRule="atLeast"/>
        <w:ind w:leftChars="75" w:left="180" w:rightChars="75" w:right="180"/>
        <w:jc w:val="both"/>
        <w:rPr>
          <w:rFonts w:ascii="Times New Roman" w:hAnsi="Times New Roman" w:cs="Times New Roman"/>
          <w:snapToGrid w:val="0"/>
          <w:color w:val="000000" w:themeColor="text1"/>
          <w:lang w:bidi="en-US"/>
        </w:rPr>
      </w:pPr>
      <w:r>
        <w:rPr>
          <w:rFonts w:ascii="Times New Roman" w:hAnsi="Times New Roman" w:cs="Times New Roman"/>
          <w:b/>
          <w:snapToGrid w:val="0"/>
          <w:color w:val="000000" w:themeColor="text1"/>
          <w:lang w:bidi="en-US"/>
        </w:rPr>
        <w:t xml:space="preserve">Fig. S1. </w:t>
      </w:r>
      <w:r>
        <w:rPr>
          <w:rFonts w:ascii="Times New Roman" w:hAnsi="Times New Roman" w:cs="Times New Roman"/>
          <w:snapToGrid w:val="0"/>
          <w:color w:val="000000" w:themeColor="text1"/>
          <w:lang w:bidi="en-US"/>
        </w:rPr>
        <w:t xml:space="preserve">The percentage of membrane injury (MI) and 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malonaldehyde</w:t>
      </w:r>
      <w:r>
        <w:rPr>
          <w:rFonts w:ascii="Times New Roman" w:hAnsi="Times New Roman" w:cs="Times New Roman"/>
          <w:snapToGrid w:val="0"/>
          <w:color w:val="000000" w:themeColor="text1"/>
          <w:lang w:bidi="en-US"/>
        </w:rPr>
        <w:t xml:space="preserve"> content (MDA) in the leaves of alfalfa seedlings in response to alkaline stress. </w:t>
      </w:r>
      <w:r>
        <w:rPr>
          <w:rFonts w:ascii="Times New Roman" w:hAnsi="Times New Roman" w:cs="Times New Roman" w:hint="eastAsia"/>
          <w:b/>
          <w:snapToGrid w:val="0"/>
          <w:color w:val="000000" w:themeColor="text1"/>
          <w:lang w:bidi="en-US"/>
        </w:rPr>
        <w:t>A</w:t>
      </w:r>
      <w:r>
        <w:rPr>
          <w:rFonts w:ascii="Times New Roman" w:hAnsi="Times New Roman" w:cs="Times New Roman"/>
          <w:snapToGrid w:val="0"/>
          <w:color w:val="000000" w:themeColor="text1"/>
          <w:lang w:bidi="en-US"/>
        </w:rPr>
        <w:t xml:space="preserve"> The membrane injury (MI) of alfalfa seedlings was determined after 0 mM, 10 mM, 15 mM, 20 mM, and 25 mM Na</w:t>
      </w:r>
      <w:r>
        <w:rPr>
          <w:rFonts w:ascii="Times New Roman" w:hAnsi="Times New Roman" w:cs="Times New Roman"/>
          <w:snapToGrid w:val="0"/>
          <w:color w:val="000000" w:themeColor="text1"/>
          <w:vertAlign w:val="subscript"/>
          <w:lang w:bidi="en-US"/>
        </w:rPr>
        <w:t>2</w:t>
      </w:r>
      <w:r>
        <w:rPr>
          <w:rFonts w:ascii="Times New Roman" w:hAnsi="Times New Roman" w:cs="Times New Roman"/>
          <w:snapToGrid w:val="0"/>
          <w:color w:val="000000" w:themeColor="text1"/>
          <w:lang w:bidi="en-US"/>
        </w:rPr>
        <w:t>CO</w:t>
      </w:r>
      <w:r>
        <w:rPr>
          <w:rFonts w:ascii="Times New Roman" w:hAnsi="Times New Roman" w:cs="Times New Roman"/>
          <w:snapToGrid w:val="0"/>
          <w:color w:val="000000" w:themeColor="text1"/>
          <w:vertAlign w:val="subscript"/>
          <w:lang w:bidi="en-US"/>
        </w:rPr>
        <w:t>3</w:t>
      </w:r>
      <w:r>
        <w:rPr>
          <w:rFonts w:ascii="Times New Roman" w:hAnsi="Times New Roman" w:cs="Times New Roman"/>
          <w:snapToGrid w:val="0"/>
          <w:color w:val="000000" w:themeColor="text1"/>
          <w:lang w:bidi="en-US"/>
        </w:rPr>
        <w:t xml:space="preserve"> treatment for 7 days. * indicates significant differences at</w:t>
      </w:r>
      <w:r>
        <w:rPr>
          <w:rFonts w:ascii="Times New Roman" w:hAnsi="Times New Roman" w:cs="Times New Roman"/>
          <w:i/>
          <w:snapToGrid w:val="0"/>
          <w:color w:val="000000" w:themeColor="text1"/>
          <w:lang w:bidi="en-US"/>
        </w:rPr>
        <w:t xml:space="preserve"> </w:t>
      </w:r>
      <w:r>
        <w:rPr>
          <w:rFonts w:ascii="Times New Roman" w:hAnsi="Times New Roman" w:cs="Times New Roman" w:hint="eastAsia"/>
          <w:i/>
          <w:snapToGrid w:val="0"/>
          <w:color w:val="000000" w:themeColor="text1"/>
          <w:lang w:bidi="en-US"/>
        </w:rPr>
        <w:t>P</w:t>
      </w:r>
      <w:r>
        <w:rPr>
          <w:rFonts w:ascii="Times New Roman" w:hAnsi="Times New Roman" w:cs="Times New Roman"/>
          <w:i/>
          <w:snapToGrid w:val="0"/>
          <w:color w:val="000000" w:themeColor="text1"/>
          <w:lang w:bidi="en-US"/>
        </w:rPr>
        <w:t xml:space="preserve"> </w:t>
      </w:r>
      <w:r>
        <w:rPr>
          <w:rFonts w:ascii="Times New Roman" w:hAnsi="Times New Roman" w:cs="Times New Roman"/>
          <w:snapToGrid w:val="0"/>
          <w:color w:val="000000" w:themeColor="text1"/>
          <w:lang w:bidi="en-US"/>
        </w:rPr>
        <w:t>&lt; 0.05 (</w:t>
      </w:r>
      <w:r>
        <w:rPr>
          <w:rFonts w:ascii="Times New Roman" w:hAnsi="Times New Roman" w:cs="Times New Roman" w:hint="eastAsia"/>
          <w:snapToGrid w:val="0"/>
          <w:color w:val="000000" w:themeColor="text1"/>
          <w:lang w:bidi="en-US"/>
        </w:rPr>
        <w:t>Student</w:t>
      </w:r>
      <w:r>
        <w:rPr>
          <w:rFonts w:ascii="Times New Roman" w:hAnsi="Times New Roman" w:cs="Times New Roman"/>
          <w:snapToGrid w:val="0"/>
          <w:color w:val="000000" w:themeColor="text1"/>
          <w:lang w:bidi="en-US"/>
        </w:rPr>
        <w:t xml:space="preserve">’s </w:t>
      </w:r>
      <w:r>
        <w:rPr>
          <w:rFonts w:ascii="Times New Roman" w:hAnsi="Times New Roman" w:cs="Times New Roman"/>
          <w:i/>
          <w:snapToGrid w:val="0"/>
          <w:color w:val="000000" w:themeColor="text1"/>
          <w:lang w:bidi="en-US"/>
        </w:rPr>
        <w:t>t</w:t>
      </w:r>
      <w:r>
        <w:rPr>
          <w:rFonts w:ascii="Times New Roman" w:hAnsi="Times New Roman" w:cs="Times New Roman"/>
          <w:snapToGrid w:val="0"/>
          <w:color w:val="000000" w:themeColor="text1"/>
          <w:lang w:bidi="en-US"/>
        </w:rPr>
        <w:t xml:space="preserve"> test). </w:t>
      </w:r>
      <w:r>
        <w:rPr>
          <w:rFonts w:ascii="Times New Roman" w:hAnsi="Times New Roman" w:cs="Times New Roman"/>
          <w:b/>
          <w:snapToGrid w:val="0"/>
          <w:color w:val="000000" w:themeColor="text1"/>
          <w:lang w:bidi="en-US"/>
        </w:rPr>
        <w:t>B</w:t>
      </w:r>
      <w:r>
        <w:rPr>
          <w:rFonts w:ascii="Times New Roman" w:hAnsi="Times New Roman" w:cs="Times New Roman"/>
          <w:snapToGrid w:val="0"/>
          <w:color w:val="000000" w:themeColor="text1"/>
          <w:lang w:bidi="en-US"/>
        </w:rPr>
        <w:t xml:space="preserve"> Changes in MDA content in the leaves of alfalfa seedlings under control or alkaline stress from 1 day, 3 days, 5 days, and 7 days. </w:t>
      </w:r>
      <w:r>
        <w:rPr>
          <w:rFonts w:ascii="Times New Roman" w:eastAsia="等线" w:hAnsi="Times New Roman" w:cs="Times New Roman"/>
          <w:bCs/>
          <w:color w:val="000000"/>
        </w:rPr>
        <w:t>Different lowercase letters represent significant differences between cultivars</w:t>
      </w:r>
      <w:r>
        <w:rPr>
          <w:rFonts w:ascii="Times New Roman" w:hAnsi="Times New Roman" w:cs="Times New Roman"/>
          <w:snapToGrid w:val="0"/>
          <w:color w:val="000000" w:themeColor="text1"/>
          <w:lang w:bidi="en-US"/>
        </w:rPr>
        <w:t xml:space="preserve"> at </w:t>
      </w:r>
      <w:r>
        <w:rPr>
          <w:rFonts w:ascii="Times New Roman" w:hAnsi="Times New Roman" w:cs="Times New Roman"/>
          <w:i/>
          <w:snapToGrid w:val="0"/>
          <w:color w:val="000000" w:themeColor="text1"/>
          <w:lang w:bidi="en-US"/>
        </w:rPr>
        <w:t>P</w:t>
      </w:r>
      <w:r>
        <w:rPr>
          <w:rFonts w:ascii="Times New Roman" w:hAnsi="Times New Roman" w:cs="Times New Roman"/>
          <w:snapToGrid w:val="0"/>
          <w:color w:val="000000" w:themeColor="text1"/>
          <w:lang w:bidi="en-US"/>
        </w:rPr>
        <w:t xml:space="preserve"> &lt; 0.05 (Duncan’s multiple range test). The values are the means ± standard errors</w:t>
      </w:r>
    </w:p>
    <w:p>
      <w:pPr>
        <w:jc w:val="both"/>
        <w:rPr>
          <w:rFonts w:ascii="Palatino Linotype" w:hAnsi="Palatino Linotype"/>
          <w:sz w:val="18"/>
          <w:szCs w:val="18"/>
        </w:rPr>
      </w:pPr>
    </w:p>
    <w:p>
      <w:pPr>
        <w:jc w:val="both"/>
        <w:rPr>
          <w:rFonts w:ascii="Palatino Linotype" w:hAnsi="Palatino Linotype"/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Palatino Linotype" w:hAnsi="Palatino Linotype"/>
          <w:sz w:val="18"/>
          <w:szCs w:val="18"/>
        </w:rPr>
        <w:br w:type="page"/>
      </w:r>
    </w:p>
    <w:p>
      <w:pPr>
        <w:jc w:val="both"/>
        <w:rPr>
          <w:rFonts w:ascii="Palatino Linotype" w:hAnsi="Palatino Linotype"/>
          <w:sz w:val="18"/>
          <w:szCs w:val="18"/>
        </w:rPr>
      </w:pPr>
      <w:r>
        <w:rPr>
          <w:rFonts w:ascii="Times New Roman" w:hAnsi="Times New Roman" w:cs="Times New Roman"/>
          <w:b/>
          <w:snapToGrid w:val="0"/>
          <w:color w:val="000000" w:themeColor="text1"/>
          <w:lang w:bidi="en-US"/>
        </w:rPr>
        <w:lastRenderedPageBreak/>
        <w:t>Fig. S2</w:t>
      </w:r>
    </w:p>
    <w:p>
      <w:pPr>
        <w:jc w:val="both"/>
        <w:rPr>
          <w:rFonts w:ascii="Palatino Linotype" w:hAnsi="Palatino Linotype"/>
          <w:sz w:val="18"/>
          <w:szCs w:val="18"/>
        </w:rPr>
      </w:pPr>
    </w:p>
    <w:p>
      <w:pPr>
        <w:jc w:val="center"/>
        <w:rPr>
          <w:rFonts w:ascii="Palatino Linotype" w:hAnsi="Palatino Linotype"/>
          <w:sz w:val="18"/>
          <w:szCs w:val="18"/>
        </w:rPr>
      </w:pPr>
      <w:r>
        <w:rPr>
          <w:rFonts w:ascii="Palatino Linotype" w:hAnsi="Palatino Linotype" w:hint="eastAsia"/>
          <w:noProof/>
          <w:sz w:val="18"/>
          <w:szCs w:val="18"/>
          <w:lang w:eastAsia="zh-CN"/>
        </w:rPr>
        <w:drawing>
          <wp:inline distT="0" distB="0" distL="0" distR="0">
            <wp:extent cx="4171021" cy="7086600"/>
            <wp:effectExtent l="0" t="0" r="127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GEs-fpkm(1)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2119" cy="7088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ascii="Palatino Linotype" w:hAnsi="Palatino Linotype"/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snapToGrid w:val="0"/>
          <w:color w:val="000000" w:themeColor="text1"/>
          <w:lang w:bidi="en-US"/>
        </w:rPr>
        <w:t xml:space="preserve">Fig. S2. </w:t>
      </w:r>
      <w:r>
        <w:rPr>
          <w:rFonts w:ascii="Times New Roman" w:hAnsi="Times New Roman" w:cs="Times New Roman"/>
          <w:snapToGrid w:val="0"/>
          <w:color w:val="000000" w:themeColor="text1"/>
          <w:lang w:bidi="en-US"/>
        </w:rPr>
        <w:t>Expression profiles of all DEGs. The heatmap of DEGs and the FPKM distribution of</w:t>
      </w:r>
      <w:r>
        <w:rPr>
          <w:rFonts w:ascii="Times New Roman" w:hAnsi="Times New Roman" w:cs="Times New Roman" w:hint="eastAsia"/>
          <w:snapToGrid w:val="0"/>
          <w:color w:val="000000" w:themeColor="text1"/>
          <w:lang w:bidi="en-US"/>
        </w:rPr>
        <w:t xml:space="preserve"> </w:t>
      </w:r>
      <w:r>
        <w:rPr>
          <w:rFonts w:ascii="Times New Roman" w:hAnsi="Times New Roman" w:cs="Times New Roman"/>
          <w:snapToGrid w:val="0"/>
          <w:color w:val="000000" w:themeColor="text1"/>
          <w:lang w:bidi="en-US"/>
        </w:rPr>
        <w:t>all DEGs obtained by hierarchical cluster analysis. Each column in the figure represents a sample,</w:t>
      </w:r>
      <w:r>
        <w:rPr>
          <w:rFonts w:ascii="Times New Roman" w:hAnsi="Times New Roman" w:cs="Times New Roman" w:hint="eastAsia"/>
          <w:snapToGrid w:val="0"/>
          <w:color w:val="000000" w:themeColor="text1"/>
          <w:lang w:bidi="en-US"/>
        </w:rPr>
        <w:t xml:space="preserve"> </w:t>
      </w:r>
      <w:r>
        <w:rPr>
          <w:rFonts w:ascii="Times New Roman" w:hAnsi="Times New Roman" w:cs="Times New Roman"/>
          <w:snapToGrid w:val="0"/>
          <w:color w:val="000000" w:themeColor="text1"/>
          <w:lang w:bidi="en-US"/>
        </w:rPr>
        <w:t>and each row represents a gene. The colors in the graph indicate the magnitude of gene expression (log</w:t>
      </w:r>
      <w:r>
        <w:rPr>
          <w:rFonts w:ascii="Times New Roman" w:hAnsi="Times New Roman" w:cs="Times New Roman"/>
          <w:snapToGrid w:val="0"/>
          <w:color w:val="000000" w:themeColor="text1"/>
          <w:vertAlign w:val="subscript"/>
          <w:lang w:bidi="en-US"/>
        </w:rPr>
        <w:t>10</w:t>
      </w:r>
      <w:r>
        <w:rPr>
          <w:rFonts w:ascii="Times New Roman" w:hAnsi="Times New Roman" w:cs="Times New Roman" w:hint="eastAsia"/>
          <w:snapToGrid w:val="0"/>
          <w:color w:val="000000" w:themeColor="text1"/>
          <w:lang w:bidi="en-US"/>
        </w:rPr>
        <w:t xml:space="preserve"> </w:t>
      </w:r>
      <w:r>
        <w:rPr>
          <w:rFonts w:ascii="Times New Roman" w:hAnsi="Times New Roman" w:cs="Times New Roman"/>
          <w:snapToGrid w:val="0"/>
          <w:color w:val="000000" w:themeColor="text1"/>
          <w:lang w:bidi="en-US"/>
        </w:rPr>
        <w:t>(FPKM + 0.01)) in the sample. Red indicates that the gene is highly expressed in the sample, and blue</w:t>
      </w:r>
      <w:r>
        <w:rPr>
          <w:rFonts w:ascii="Times New Roman" w:hAnsi="Times New Roman" w:cs="Times New Roman" w:hint="eastAsia"/>
          <w:snapToGrid w:val="0"/>
          <w:color w:val="000000" w:themeColor="text1"/>
          <w:lang w:bidi="en-US"/>
        </w:rPr>
        <w:t xml:space="preserve"> </w:t>
      </w:r>
      <w:r>
        <w:rPr>
          <w:rFonts w:ascii="Times New Roman" w:hAnsi="Times New Roman" w:cs="Times New Roman"/>
          <w:snapToGrid w:val="0"/>
          <w:color w:val="000000" w:themeColor="text1"/>
          <w:lang w:bidi="en-US"/>
        </w:rPr>
        <w:t>indicates that the gene expression level was low</w:t>
      </w:r>
    </w:p>
    <w:p>
      <w:pPr>
        <w:jc w:val="both"/>
        <w:rPr>
          <w:rFonts w:ascii="Palatino Linotype" w:hAnsi="Palatino Linotype"/>
          <w:sz w:val="18"/>
          <w:szCs w:val="18"/>
        </w:rPr>
      </w:pPr>
      <w:r>
        <w:rPr>
          <w:rFonts w:ascii="Times New Roman" w:hAnsi="Times New Roman" w:cs="Times New Roman"/>
          <w:b/>
          <w:snapToGrid w:val="0"/>
          <w:color w:val="000000" w:themeColor="text1"/>
          <w:lang w:bidi="en-US"/>
        </w:rPr>
        <w:lastRenderedPageBreak/>
        <w:t>Fig. S3</w:t>
      </w:r>
    </w:p>
    <w:p>
      <w:pPr>
        <w:jc w:val="both"/>
        <w:rPr>
          <w:rFonts w:ascii="Palatino Linotype" w:hAnsi="Palatino Linotype"/>
          <w:sz w:val="18"/>
          <w:szCs w:val="18"/>
        </w:rPr>
      </w:pPr>
    </w:p>
    <w:p>
      <w:pPr>
        <w:jc w:val="center"/>
        <w:rPr>
          <w:rFonts w:ascii="Palatino Linotype" w:hAnsi="Palatino Linotype"/>
          <w:sz w:val="18"/>
          <w:szCs w:val="18"/>
        </w:rPr>
      </w:pPr>
      <w:r>
        <w:rPr>
          <w:rFonts w:ascii="Palatino Linotype" w:hAnsi="Palatino Linotype"/>
          <w:noProof/>
          <w:sz w:val="18"/>
          <w:szCs w:val="18"/>
          <w:lang w:eastAsia="zh-CN"/>
        </w:rPr>
        <w:drawing>
          <wp:inline distT="0" distB="0" distL="0" distR="0">
            <wp:extent cx="5274310" cy="2966720"/>
            <wp:effectExtent l="0" t="0" r="254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qRT-PCR相关图1.tif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before="120" w:after="240" w:line="260" w:lineRule="atLeast"/>
        <w:ind w:leftChars="75" w:left="180" w:rightChars="75" w:right="180"/>
        <w:rPr>
          <w:rFonts w:ascii="Times New Roman" w:eastAsiaTheme="minorEastAsia" w:hAnsi="Times New Roman" w:cs="Times New Roman"/>
          <w:lang w:eastAsia="zh-CN"/>
        </w:rPr>
      </w:pPr>
      <w:bookmarkStart w:id="0" w:name="_GoBack"/>
      <w:r>
        <w:rPr>
          <w:rFonts w:ascii="Times New Roman" w:hAnsi="Times New Roman" w:cs="Times New Roman"/>
          <w:b/>
          <w:snapToGrid w:val="0"/>
          <w:color w:val="000000" w:themeColor="text1"/>
          <w:lang w:bidi="en-US"/>
        </w:rPr>
        <w:t xml:space="preserve">Fig. S3 </w:t>
      </w:r>
      <w:r>
        <w:rPr>
          <w:rFonts w:ascii="Times New Roman" w:hAnsi="Times New Roman" w:cs="Times New Roman"/>
          <w:snapToGrid w:val="0"/>
          <w:color w:val="000000" w:themeColor="text1"/>
          <w:lang w:bidi="en-US"/>
        </w:rPr>
        <w:t>The correlation between RNA-seq and qRT-PCR</w:t>
      </w:r>
    </w:p>
    <w:bookmarkEnd w:id="0"/>
    <w:p>
      <w:pPr>
        <w:jc w:val="both"/>
      </w:pPr>
    </w:p>
    <w:sectPr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490753E-AAF3-4E44-9CB7-7D1F0E1DE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MS PGothic" w:eastAsia="MS PGothic" w:hAnsi="MS PGothic" w:cs="MS PGothic"/>
      <w:kern w:val="0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paragraph" w:customStyle="1" w:styleId="MDPI41tablecaption">
    <w:name w:val="MDPI_4.1_table_caption"/>
    <w:basedOn w:val="a"/>
    <w:qFormat/>
    <w:pPr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 w:cs="Times New Roman"/>
      <w:color w:val="000000"/>
      <w:sz w:val="18"/>
      <w:lang w:eastAsia="de-DE" w:bidi="en-US"/>
    </w:rPr>
  </w:style>
  <w:style w:type="character" w:styleId="a9">
    <w:name w:val="line number"/>
    <w:basedOn w:val="a0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4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7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8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6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5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08C3FD-2EE9-448C-8CFC-509161C47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515</TotalTime>
  <Pages>1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weitianjiao</dc:creator>
  <cp:keywords/>
  <dc:description/>
  <cp:lastModifiedBy>weitianjiao</cp:lastModifiedBy>
  <cp:revision>160</cp:revision>
  <dcterms:created xsi:type="dcterms:W3CDTF">2020-04-18T02:52:00Z</dcterms:created>
  <dcterms:modified xsi:type="dcterms:W3CDTF">2021-03-18T07:28:00Z</dcterms:modified>
</cp:coreProperties>
</file>