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</w:rPr>
      </w:pPr>
      <w:r>
        <w:rPr>
          <w:rFonts w:hint="default" w:ascii="Times New Roman" w:hAnsi="Times New Roman" w:cs="Times New Roman"/>
        </w:rPr>
        <w:t>Supplementary Material</w:t>
      </w:r>
    </w:p>
    <w:p>
      <w:pPr>
        <w:pStyle w:val="18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The </w:t>
      </w:r>
      <w:r>
        <w:rPr>
          <w:rFonts w:hint="default" w:ascii="Times New Roman" w:hAnsi="Times New Roman" w:eastAsia="宋体" w:cs="Times New Roman"/>
          <w:lang w:eastAsia="zh-CN"/>
        </w:rPr>
        <w:t>A</w:t>
      </w:r>
      <w:r>
        <w:rPr>
          <w:rFonts w:hint="default" w:ascii="Times New Roman" w:hAnsi="Times New Roman" w:cs="Times New Roman"/>
        </w:rPr>
        <w:t xml:space="preserve">ssociation </w:t>
      </w:r>
      <w:r>
        <w:rPr>
          <w:rFonts w:hint="default" w:ascii="Times New Roman" w:hAnsi="Times New Roman" w:eastAsia="宋体" w:cs="Times New Roman"/>
          <w:lang w:eastAsia="zh-CN"/>
        </w:rPr>
        <w:t>B</w:t>
      </w:r>
      <w:r>
        <w:rPr>
          <w:rFonts w:hint="default" w:ascii="Times New Roman" w:hAnsi="Times New Roman" w:cs="Times New Roman"/>
        </w:rPr>
        <w:t xml:space="preserve">etween </w:t>
      </w:r>
      <w:r>
        <w:rPr>
          <w:rFonts w:hint="default" w:ascii="Times New Roman" w:hAnsi="Times New Roman" w:eastAsia="宋体" w:cs="Times New Roman"/>
          <w:lang w:eastAsia="zh-CN"/>
        </w:rPr>
        <w:t>P</w:t>
      </w:r>
      <w:r>
        <w:rPr>
          <w:rFonts w:hint="default" w:ascii="Times New Roman" w:hAnsi="Times New Roman" w:cs="Times New Roman"/>
        </w:rPr>
        <w:t xml:space="preserve">lasma </w:t>
      </w:r>
      <w:r>
        <w:rPr>
          <w:rFonts w:hint="default" w:ascii="Times New Roman" w:hAnsi="Times New Roman" w:eastAsia="宋体" w:cs="Times New Roman"/>
          <w:lang w:eastAsia="zh-CN"/>
        </w:rPr>
        <w:t>F</w:t>
      </w:r>
      <w:r>
        <w:rPr>
          <w:rFonts w:hint="default" w:ascii="Times New Roman" w:hAnsi="Times New Roman" w:cs="Times New Roman"/>
        </w:rPr>
        <w:t xml:space="preserve">ree </w:t>
      </w:r>
      <w:r>
        <w:rPr>
          <w:rFonts w:hint="default" w:ascii="Times New Roman" w:hAnsi="Times New Roman" w:eastAsia="宋体" w:cs="Times New Roman"/>
          <w:lang w:eastAsia="zh-CN"/>
        </w:rPr>
        <w:t>A</w:t>
      </w:r>
      <w:r>
        <w:rPr>
          <w:rFonts w:hint="default" w:ascii="Times New Roman" w:hAnsi="Times New Roman" w:cs="Times New Roman"/>
        </w:rPr>
        <w:t xml:space="preserve">mino </w:t>
      </w:r>
      <w:r>
        <w:rPr>
          <w:rFonts w:hint="default" w:ascii="Times New Roman" w:hAnsi="Times New Roman" w:eastAsia="宋体" w:cs="Times New Roman"/>
          <w:lang w:eastAsia="zh-CN"/>
        </w:rPr>
        <w:t>A</w:t>
      </w:r>
      <w:r>
        <w:rPr>
          <w:rFonts w:hint="default" w:ascii="Times New Roman" w:hAnsi="Times New Roman" w:cs="Times New Roman"/>
        </w:rPr>
        <w:t xml:space="preserve">cids and </w:t>
      </w:r>
      <w:r>
        <w:rPr>
          <w:rFonts w:hint="default" w:ascii="Times New Roman" w:hAnsi="Times New Roman" w:eastAsia="宋体" w:cs="Times New Roman"/>
          <w:highlight w:val="none"/>
          <w:lang w:eastAsia="zh-CN"/>
        </w:rPr>
        <w:t>T</w:t>
      </w:r>
      <w:r>
        <w:rPr>
          <w:rFonts w:hint="default" w:ascii="Times New Roman" w:hAnsi="Times New Roman" w:cs="Times New Roman"/>
          <w:highlight w:val="none"/>
        </w:rPr>
        <w:t xml:space="preserve">ype 2 </w:t>
      </w:r>
      <w:r>
        <w:rPr>
          <w:rFonts w:hint="default" w:ascii="Times New Roman" w:hAnsi="Times New Roman" w:eastAsia="宋体" w:cs="Times New Roman"/>
          <w:highlight w:val="none"/>
          <w:lang w:eastAsia="zh-CN"/>
        </w:rPr>
        <w:t>D</w:t>
      </w:r>
      <w:r>
        <w:rPr>
          <w:rFonts w:hint="default" w:ascii="Times New Roman" w:hAnsi="Times New Roman" w:cs="Times New Roman"/>
          <w:highlight w:val="none"/>
        </w:rPr>
        <w:t xml:space="preserve">iabetes </w:t>
      </w:r>
      <w:r>
        <w:rPr>
          <w:rFonts w:hint="default" w:ascii="Times New Roman" w:hAnsi="Times New Roman" w:eastAsia="宋体" w:cs="Times New Roman"/>
          <w:highlight w:val="none"/>
          <w:lang w:eastAsia="zh-CN"/>
        </w:rPr>
        <w:t>M</w:t>
      </w:r>
      <w:r>
        <w:rPr>
          <w:rFonts w:hint="default" w:ascii="Times New Roman" w:hAnsi="Times New Roman" w:cs="Times New Roman"/>
          <w:highlight w:val="none"/>
        </w:rPr>
        <w:t>ellitus</w:t>
      </w:r>
      <w:r>
        <w:rPr>
          <w:rFonts w:hint="default" w:ascii="Times New Roman" w:hAnsi="Times New Roman" w:eastAsia="宋体" w:cs="Times New Roman"/>
          <w:highlight w:val="none"/>
          <w:lang w:eastAsia="zh-CN"/>
        </w:rPr>
        <w:t xml:space="preserve"> complicated with infection</w:t>
      </w:r>
      <w:r>
        <w:rPr>
          <w:rFonts w:hint="default" w:ascii="Times New Roman" w:hAnsi="Times New Roman" w:cs="Times New Roman"/>
        </w:rPr>
        <w:t xml:space="preserve"> in Chinese </w:t>
      </w:r>
      <w:r>
        <w:rPr>
          <w:rFonts w:hint="default" w:ascii="Times New Roman" w:hAnsi="Times New Roman" w:eastAsia="宋体" w:cs="Times New Roman"/>
          <w:lang w:eastAsia="zh-CN"/>
        </w:rPr>
        <w:t>P</w:t>
      </w:r>
      <w:r>
        <w:rPr>
          <w:rFonts w:hint="default" w:ascii="Times New Roman" w:hAnsi="Times New Roman" w:cs="Times New Roman"/>
        </w:rPr>
        <w:t>atients</w:t>
      </w:r>
    </w:p>
    <w:p>
      <w:pPr>
        <w:pStyle w:val="34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vertAlign w:val="superscript"/>
          <w:lang w:eastAsia="zh-CN"/>
        </w:rPr>
      </w:pP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>Jing-Xi Zhang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1†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>Wei-Ming Luo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2†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Bo-Wen Wang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 xml:space="preserve"> Ru-Tao Li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>,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>Qian Zhang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>,</w:t>
      </w:r>
      <w:r>
        <w:rPr>
          <w:rFonts w:hint="default" w:ascii="Times New Roman" w:hAnsi="Times New Roman" w:cs="Times New Roman"/>
          <w:sz w:val="20"/>
          <w:szCs w:val="20"/>
        </w:rPr>
        <w:t xml:space="preserve"> Xiang-Yu Zhang</w:t>
      </w:r>
      <w:r>
        <w:rPr>
          <w:rFonts w:hint="default" w:ascii="Times New Roman" w:hAnsi="Times New Roman" w:eastAsia="宋体" w:cs="Times New Roman"/>
          <w:sz w:val="20"/>
          <w:szCs w:val="20"/>
          <w:vertAlign w:val="superscript"/>
          <w:lang w:eastAsia="zh-CN"/>
        </w:rPr>
        <w:t>1*</w:t>
      </w:r>
      <w:r>
        <w:rPr>
          <w:rFonts w:hint="default" w:ascii="Times New Roman" w:hAnsi="Times New Roman" w:cs="Times New Roman"/>
          <w:sz w:val="20"/>
          <w:szCs w:val="20"/>
        </w:rPr>
        <w:t>and</w:t>
      </w:r>
      <w:r>
        <w:rPr>
          <w:rFonts w:hint="default" w:ascii="Times New Roman" w:hAnsi="Times New Roman" w:eastAsia="宋体" w:cs="Times New Roman"/>
          <w:sz w:val="20"/>
          <w:szCs w:val="20"/>
          <w:lang w:eastAsia="zh-CN"/>
        </w:rPr>
        <w:t xml:space="preserve"> Zhong-Ze Fang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2,</w:t>
      </w:r>
      <w:r>
        <w:rPr>
          <w:rFonts w:hint="default" w:ascii="Times New Roman" w:hAnsi="Times New Roman" w:eastAsia="宋体" w:cs="Times New Roman"/>
          <w:sz w:val="20"/>
          <w:szCs w:val="20"/>
          <w:vertAlign w:val="superscript"/>
          <w:lang w:eastAsia="zh-CN"/>
        </w:rPr>
        <w:t xml:space="preserve">3* </w:t>
      </w:r>
    </w:p>
    <w:p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0" w:line="480" w:lineRule="auto"/>
        <w:textAlignment w:val="auto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 xml:space="preserve">* Correspondence: </w:t>
      </w:r>
    </w:p>
    <w:p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lang w:eastAsia="zh-CN"/>
        </w:rPr>
        <w:t>Zhong-Ze Fang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0"/>
          <w:szCs w:val="20"/>
        </w:rPr>
        <w:t>fangzhongze@tmu.edu.cn</w:t>
      </w:r>
    </w:p>
    <w:p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Xiang-Yu Zhang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0"/>
          <w:szCs w:val="20"/>
        </w:rPr>
        <w:fldChar w:fldCharType="begin"/>
      </w:r>
      <w:r>
        <w:rPr>
          <w:rFonts w:hint="default" w:ascii="Times New Roman" w:hAnsi="Times New Roman" w:cs="Times New Roman"/>
          <w:sz w:val="20"/>
          <w:szCs w:val="20"/>
        </w:rPr>
        <w:instrText xml:space="preserve"> HYPERLINK "mailto:xzhang04@tmu.edu.cn" </w:instrText>
      </w:r>
      <w:r>
        <w:rPr>
          <w:rFonts w:hint="default" w:ascii="Times New Roman" w:hAnsi="Times New Roman" w:cs="Times New Roman"/>
          <w:sz w:val="20"/>
          <w:szCs w:val="20"/>
        </w:rPr>
        <w:fldChar w:fldCharType="separate"/>
      </w:r>
      <w:r>
        <w:rPr>
          <w:rFonts w:hint="default" w:ascii="Times New Roman" w:hAnsi="Times New Roman" w:cs="Times New Roman"/>
          <w:sz w:val="20"/>
          <w:szCs w:val="20"/>
          <w:lang w:eastAsia="zh-CN"/>
        </w:rPr>
        <w:t>xzhang04@tmu.edu.cn</w:t>
      </w:r>
      <w:r>
        <w:rPr>
          <w:rFonts w:hint="default" w:ascii="Times New Roman" w:hAnsi="Times New Roman" w:cs="Times New Roman"/>
          <w:sz w:val="20"/>
          <w:szCs w:val="20"/>
          <w:lang w:eastAsia="zh-CN"/>
        </w:rPr>
        <w:fldChar w:fldCharType="end"/>
      </w:r>
    </w:p>
    <w:p>
      <w:pPr>
        <w:pStyle w:val="8"/>
        <w:keepNext/>
        <w:keepLines w:val="0"/>
        <w:pageBreakBefore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80" w:lineRule="auto"/>
        <w:jc w:val="both"/>
        <w:textAlignment w:val="auto"/>
        <w:rPr>
          <w:rFonts w:hint="default" w:ascii="Times New Roman" w:hAnsi="Times New Roman" w:eastAsia="Times New Roman" w:cs="Times New Roman"/>
          <w:sz w:val="20"/>
          <w:szCs w:val="20"/>
          <w:lang w:val="en-GB" w:eastAsia="en-GB"/>
        </w:rPr>
      </w:pPr>
      <w:r>
        <w:rPr>
          <w:rFonts w:hint="default" w:ascii="Times New Roman" w:hAnsi="Times New Roman" w:eastAsia="Times New Roman" w:cs="Times New Roman"/>
          <w:sz w:val="20"/>
          <w:szCs w:val="20"/>
          <w:lang w:val="en-GB" w:eastAsia="en-GB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Table S</w:t>
      </w:r>
      <w:r>
        <w:rPr>
          <w:rFonts w:hint="default" w:ascii="Times New Roman" w:hAnsi="Times New Roman" w:cs="Times New Roman"/>
          <w:sz w:val="20"/>
          <w:szCs w:val="20"/>
        </w:rPr>
        <w:fldChar w:fldCharType="begin"/>
      </w:r>
      <w:r>
        <w:rPr>
          <w:rFonts w:hint="default" w:ascii="Times New Roman" w:hAnsi="Times New Roman" w:cs="Times New Roman"/>
          <w:sz w:val="20"/>
          <w:szCs w:val="20"/>
        </w:rPr>
        <w:instrText xml:space="preserve"> SEQ Table_S \* ARABIC </w:instrText>
      </w:r>
      <w:r>
        <w:rPr>
          <w:rFonts w:hint="default" w:ascii="Times New Roman" w:hAnsi="Times New Roman" w:cs="Times New Roman"/>
          <w:sz w:val="20"/>
          <w:szCs w:val="20"/>
        </w:rPr>
        <w:fldChar w:fldCharType="separate"/>
      </w:r>
      <w:r>
        <w:rPr>
          <w:rFonts w:hint="default" w:ascii="Times New Roman" w:hAnsi="Times New Roman" w:cs="Times New Roman"/>
          <w:sz w:val="20"/>
          <w:szCs w:val="20"/>
        </w:rPr>
        <w:t>1</w:t>
      </w:r>
      <w:r>
        <w:rPr>
          <w:rFonts w:hint="default" w:ascii="Times New Roman" w:hAnsi="Times New Roman" w:cs="Times New Roman"/>
          <w:sz w:val="20"/>
          <w:szCs w:val="20"/>
        </w:rPr>
        <w:fldChar w:fldCharType="end"/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sz w:val="20"/>
          <w:szCs w:val="20"/>
          <w:lang w:val="en-GB" w:eastAsia="en-GB"/>
        </w:rPr>
        <w:t>Association of metabo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n</w:t>
      </w:r>
      <w:r>
        <w:rPr>
          <w:rFonts w:hint="default" w:ascii="Times New Roman" w:hAnsi="Times New Roman" w:eastAsia="Times New Roman" w:cs="Times New Roman"/>
          <w:b w:val="0"/>
          <w:bCs w:val="0"/>
          <w:sz w:val="20"/>
          <w:szCs w:val="20"/>
          <w:lang w:val="en-GB" w:eastAsia="en-GB"/>
        </w:rPr>
        <w:t>omic factors with infectious event after median imputation and multiple imputation to missing value of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triglyceride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,</w:t>
      </w:r>
      <w:r>
        <w:rPr>
          <w:rFonts w:hint="default" w:ascii="Times New Roman" w:hAnsi="Times New Roman" w:eastAsia="Times New Roman" w:cs="Times New Roman"/>
          <w:b w:val="0"/>
          <w:bCs w:val="0"/>
          <w:sz w:val="20"/>
          <w:szCs w:val="20"/>
          <w:lang w:val="en-GB" w:eastAsia="en-GB"/>
        </w:rPr>
        <w:t xml:space="preserve"> high-density lipoprotein cholesterol and low-density lipoprotein cholesterol</w:t>
      </w:r>
    </w:p>
    <w:tbl>
      <w:tblPr>
        <w:tblStyle w:val="21"/>
        <w:tblW w:w="4999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105"/>
        <w:gridCol w:w="1247"/>
        <w:gridCol w:w="760"/>
        <w:gridCol w:w="488"/>
        <w:gridCol w:w="1248"/>
        <w:gridCol w:w="1248"/>
        <w:gridCol w:w="420"/>
        <w:gridCol w:w="828"/>
        <w:gridCol w:w="1248"/>
        <w:gridCol w:w="125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57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7" w:type="pct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2" w:type="pct"/>
            <w:gridSpan w:val="4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Median imputation</w:t>
            </w:r>
          </w:p>
        </w:tc>
        <w:tc>
          <w:tcPr>
            <w:tcW w:w="1667" w:type="pct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Multiple imputation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Model</w:t>
            </w:r>
          </w:p>
        </w:tc>
        <w:tc>
          <w:tcPr>
            <w:tcW w:w="624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</w:t>
            </w:r>
          </w:p>
        </w:tc>
        <w:tc>
          <w:tcPr>
            <w:tcW w:w="624" w:type="pct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OR</w:t>
            </w:r>
          </w:p>
        </w:tc>
        <w:tc>
          <w:tcPr>
            <w:tcW w:w="624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95% CI</w:t>
            </w:r>
          </w:p>
        </w:tc>
        <w:tc>
          <w:tcPr>
            <w:tcW w:w="624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P</w:t>
            </w:r>
          </w:p>
        </w:tc>
        <w:tc>
          <w:tcPr>
            <w:tcW w:w="624" w:type="pct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OR</w:t>
            </w:r>
          </w:p>
        </w:tc>
        <w:tc>
          <w:tcPr>
            <w:tcW w:w="624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95% CI</w:t>
            </w:r>
          </w:p>
        </w:tc>
        <w:tc>
          <w:tcPr>
            <w:tcW w:w="628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Model 1</w:t>
            </w:r>
          </w:p>
        </w:tc>
        <w:tc>
          <w:tcPr>
            <w:tcW w:w="624" w:type="pc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Factor1</w:t>
            </w:r>
          </w:p>
        </w:tc>
        <w:tc>
          <w:tcPr>
            <w:tcW w:w="624" w:type="pct"/>
            <w:gridSpan w:val="2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0.72</w:t>
            </w:r>
          </w:p>
        </w:tc>
        <w:tc>
          <w:tcPr>
            <w:tcW w:w="624" w:type="pc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0.56-0.93</w:t>
            </w:r>
          </w:p>
        </w:tc>
        <w:tc>
          <w:tcPr>
            <w:tcW w:w="624" w:type="pc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0.012</w:t>
            </w:r>
          </w:p>
        </w:tc>
        <w:tc>
          <w:tcPr>
            <w:tcW w:w="624" w:type="pct"/>
            <w:gridSpan w:val="2"/>
            <w:tcBorders>
              <w:top w:val="single" w:color="auto" w:sz="4" w:space="0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0.72</w:t>
            </w:r>
          </w:p>
        </w:tc>
        <w:tc>
          <w:tcPr>
            <w:tcW w:w="624" w:type="pct"/>
            <w:tcBorders>
              <w:top w:val="single" w:color="auto" w:sz="4" w:space="0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0.56-0.93</w:t>
            </w:r>
          </w:p>
        </w:tc>
        <w:tc>
          <w:tcPr>
            <w:tcW w:w="628" w:type="pct"/>
            <w:tcBorders>
              <w:top w:val="single" w:color="auto" w:sz="4" w:space="0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Factor2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1.07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0.86-1.33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0.565</w:t>
            </w:r>
          </w:p>
        </w:tc>
        <w:tc>
          <w:tcPr>
            <w:tcW w:w="624" w:type="pct"/>
            <w:gridSpan w:val="2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1.07</w:t>
            </w:r>
          </w:p>
        </w:tc>
        <w:tc>
          <w:tcPr>
            <w:tcW w:w="624" w:type="pct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0.86-1.33</w:t>
            </w:r>
          </w:p>
        </w:tc>
        <w:tc>
          <w:tcPr>
            <w:tcW w:w="628" w:type="pct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0.565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Factor3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0.81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0.59-1.11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0.195</w:t>
            </w:r>
          </w:p>
        </w:tc>
        <w:tc>
          <w:tcPr>
            <w:tcW w:w="624" w:type="pct"/>
            <w:gridSpan w:val="2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0.81</w:t>
            </w:r>
          </w:p>
        </w:tc>
        <w:tc>
          <w:tcPr>
            <w:tcW w:w="624" w:type="pct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0.59-1.11</w:t>
            </w:r>
          </w:p>
        </w:tc>
        <w:tc>
          <w:tcPr>
            <w:tcW w:w="628" w:type="pct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0.195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Factor4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1.29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1.07-1.57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0.009</w:t>
            </w:r>
          </w:p>
        </w:tc>
        <w:tc>
          <w:tcPr>
            <w:tcW w:w="624" w:type="pct"/>
            <w:gridSpan w:val="2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1.29</w:t>
            </w:r>
          </w:p>
        </w:tc>
        <w:tc>
          <w:tcPr>
            <w:tcW w:w="624" w:type="pct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1.07-1.57</w:t>
            </w:r>
          </w:p>
        </w:tc>
        <w:tc>
          <w:tcPr>
            <w:tcW w:w="628" w:type="pct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Factor5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0.79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0.62-1.01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0.063</w:t>
            </w:r>
          </w:p>
        </w:tc>
        <w:tc>
          <w:tcPr>
            <w:tcW w:w="624" w:type="pct"/>
            <w:gridSpan w:val="2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0.79</w:t>
            </w:r>
          </w:p>
        </w:tc>
        <w:tc>
          <w:tcPr>
            <w:tcW w:w="624" w:type="pct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0.62-1.01</w:t>
            </w:r>
          </w:p>
        </w:tc>
        <w:tc>
          <w:tcPr>
            <w:tcW w:w="628" w:type="pct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0.063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vMerge w:val="continue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Factor6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1.02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0.87-1.20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0.784</w:t>
            </w:r>
          </w:p>
        </w:tc>
        <w:tc>
          <w:tcPr>
            <w:tcW w:w="624" w:type="pct"/>
            <w:gridSpan w:val="2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1.02</w:t>
            </w:r>
          </w:p>
        </w:tc>
        <w:tc>
          <w:tcPr>
            <w:tcW w:w="624" w:type="pct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0.87-1.20</w:t>
            </w:r>
          </w:p>
        </w:tc>
        <w:tc>
          <w:tcPr>
            <w:tcW w:w="628" w:type="pct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vMerge w:val="restart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Model 2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Factor1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0.80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0.61-1.04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0.097</w:t>
            </w:r>
          </w:p>
        </w:tc>
        <w:tc>
          <w:tcPr>
            <w:tcW w:w="624" w:type="pct"/>
            <w:gridSpan w:val="2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0.80</w:t>
            </w:r>
          </w:p>
        </w:tc>
        <w:tc>
          <w:tcPr>
            <w:tcW w:w="624" w:type="pct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0.61-1.04</w:t>
            </w:r>
          </w:p>
        </w:tc>
        <w:tc>
          <w:tcPr>
            <w:tcW w:w="628" w:type="pct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Factor2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1.06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0.85-1.33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0.607</w:t>
            </w:r>
          </w:p>
        </w:tc>
        <w:tc>
          <w:tcPr>
            <w:tcW w:w="624" w:type="pct"/>
            <w:gridSpan w:val="2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1.06</w:t>
            </w:r>
          </w:p>
        </w:tc>
        <w:tc>
          <w:tcPr>
            <w:tcW w:w="624" w:type="pct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0.85-1.33</w:t>
            </w:r>
          </w:p>
        </w:tc>
        <w:tc>
          <w:tcPr>
            <w:tcW w:w="628" w:type="pct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0.607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Factor3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0.73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0.52-1.03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0.070</w:t>
            </w:r>
          </w:p>
        </w:tc>
        <w:tc>
          <w:tcPr>
            <w:tcW w:w="624" w:type="pct"/>
            <w:gridSpan w:val="2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0.73</w:t>
            </w:r>
          </w:p>
        </w:tc>
        <w:tc>
          <w:tcPr>
            <w:tcW w:w="624" w:type="pct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0.52-1.03</w:t>
            </w:r>
          </w:p>
        </w:tc>
        <w:tc>
          <w:tcPr>
            <w:tcW w:w="628" w:type="pct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0.070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pct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Factor4</w:t>
            </w:r>
          </w:p>
        </w:tc>
        <w:tc>
          <w:tcPr>
            <w:tcW w:w="624" w:type="pct"/>
            <w:gridSpan w:val="2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1.29</w:t>
            </w:r>
          </w:p>
        </w:tc>
        <w:tc>
          <w:tcPr>
            <w:tcW w:w="624" w:type="pct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1.05-1.57</w:t>
            </w:r>
          </w:p>
        </w:tc>
        <w:tc>
          <w:tcPr>
            <w:tcW w:w="624" w:type="pct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0.014</w:t>
            </w:r>
          </w:p>
        </w:tc>
        <w:tc>
          <w:tcPr>
            <w:tcW w:w="624" w:type="pct"/>
            <w:gridSpan w:val="2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1.29</w:t>
            </w:r>
          </w:p>
        </w:tc>
        <w:tc>
          <w:tcPr>
            <w:tcW w:w="624" w:type="pct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1.05-1.57</w:t>
            </w:r>
          </w:p>
        </w:tc>
        <w:tc>
          <w:tcPr>
            <w:tcW w:w="628" w:type="pct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pct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Factor5</w:t>
            </w:r>
          </w:p>
        </w:tc>
        <w:tc>
          <w:tcPr>
            <w:tcW w:w="624" w:type="pct"/>
            <w:gridSpan w:val="2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0.74</w:t>
            </w:r>
          </w:p>
        </w:tc>
        <w:tc>
          <w:tcPr>
            <w:tcW w:w="624" w:type="pct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0.57-0.96</w:t>
            </w:r>
          </w:p>
        </w:tc>
        <w:tc>
          <w:tcPr>
            <w:tcW w:w="624" w:type="pct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0.021</w:t>
            </w:r>
          </w:p>
        </w:tc>
        <w:tc>
          <w:tcPr>
            <w:tcW w:w="624" w:type="pct"/>
            <w:gridSpan w:val="2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0.74</w:t>
            </w:r>
          </w:p>
        </w:tc>
        <w:tc>
          <w:tcPr>
            <w:tcW w:w="624" w:type="pct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0.57-0.96</w:t>
            </w:r>
          </w:p>
        </w:tc>
        <w:tc>
          <w:tcPr>
            <w:tcW w:w="628" w:type="pct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vMerge w:val="continue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pct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Factor6</w:t>
            </w:r>
          </w:p>
        </w:tc>
        <w:tc>
          <w:tcPr>
            <w:tcW w:w="624" w:type="pct"/>
            <w:gridSpan w:val="2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1.04</w:t>
            </w:r>
          </w:p>
        </w:tc>
        <w:tc>
          <w:tcPr>
            <w:tcW w:w="624" w:type="pct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0.89-1.20</w:t>
            </w:r>
          </w:p>
        </w:tc>
        <w:tc>
          <w:tcPr>
            <w:tcW w:w="624" w:type="pct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0.643</w:t>
            </w:r>
          </w:p>
        </w:tc>
        <w:tc>
          <w:tcPr>
            <w:tcW w:w="624" w:type="pct"/>
            <w:gridSpan w:val="2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1.04</w:t>
            </w:r>
          </w:p>
        </w:tc>
        <w:tc>
          <w:tcPr>
            <w:tcW w:w="624" w:type="pct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0.89-1.20</w:t>
            </w:r>
          </w:p>
        </w:tc>
        <w:tc>
          <w:tcPr>
            <w:tcW w:w="628" w:type="pct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0.643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vMerge w:val="restart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Model 3</w:t>
            </w:r>
          </w:p>
        </w:tc>
        <w:tc>
          <w:tcPr>
            <w:tcW w:w="624" w:type="pct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Factor1</w:t>
            </w:r>
          </w:p>
        </w:tc>
        <w:tc>
          <w:tcPr>
            <w:tcW w:w="624" w:type="pct"/>
            <w:gridSpan w:val="2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0.80</w:t>
            </w:r>
          </w:p>
        </w:tc>
        <w:tc>
          <w:tcPr>
            <w:tcW w:w="624" w:type="pct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0.61-1.04</w:t>
            </w:r>
          </w:p>
        </w:tc>
        <w:tc>
          <w:tcPr>
            <w:tcW w:w="624" w:type="pct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0.099</w:t>
            </w:r>
          </w:p>
        </w:tc>
        <w:tc>
          <w:tcPr>
            <w:tcW w:w="624" w:type="pct"/>
            <w:gridSpan w:val="2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0.79</w:t>
            </w:r>
          </w:p>
        </w:tc>
        <w:tc>
          <w:tcPr>
            <w:tcW w:w="624" w:type="pct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0.60-1.04</w:t>
            </w:r>
          </w:p>
        </w:tc>
        <w:tc>
          <w:tcPr>
            <w:tcW w:w="628" w:type="pct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Factor2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1.08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0.86-1.35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0.516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1.08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0.86-1.36</w:t>
            </w:r>
          </w:p>
        </w:tc>
        <w:tc>
          <w:tcPr>
            <w:tcW w:w="628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0.513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Factor3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0.75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0.53-1.05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0.089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0.73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0.52-1.03</w:t>
            </w:r>
          </w:p>
        </w:tc>
        <w:tc>
          <w:tcPr>
            <w:tcW w:w="628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Factor4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1.27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1.04-1.56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0.022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1.28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1.04-1.57</w:t>
            </w:r>
          </w:p>
        </w:tc>
        <w:tc>
          <w:tcPr>
            <w:tcW w:w="628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Factor5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0.77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0.60-1.00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0.050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0.76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0.59-0.98</w:t>
            </w:r>
          </w:p>
        </w:tc>
        <w:tc>
          <w:tcPr>
            <w:tcW w:w="628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Factor6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1.03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0.88-1.20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0.722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1.03</w:t>
            </w:r>
          </w:p>
        </w:tc>
        <w:tc>
          <w:tcPr>
            <w:tcW w:w="62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0.89-1.20</w:t>
            </w:r>
          </w:p>
        </w:tc>
        <w:tc>
          <w:tcPr>
            <w:tcW w:w="628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vMerge w:val="restart"/>
            <w:vAlign w:val="center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Model 4</w:t>
            </w:r>
          </w:p>
        </w:tc>
        <w:tc>
          <w:tcPr>
            <w:tcW w:w="624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Factor1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0.82</w:t>
            </w:r>
          </w:p>
        </w:tc>
        <w:tc>
          <w:tcPr>
            <w:tcW w:w="624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0.62-1.08</w:t>
            </w:r>
          </w:p>
        </w:tc>
        <w:tc>
          <w:tcPr>
            <w:tcW w:w="624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0.149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0.81</w:t>
            </w:r>
          </w:p>
        </w:tc>
        <w:tc>
          <w:tcPr>
            <w:tcW w:w="624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0.61-1.07</w:t>
            </w:r>
          </w:p>
        </w:tc>
        <w:tc>
          <w:tcPr>
            <w:tcW w:w="628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0.144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vMerge w:val="continue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Factor2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1.05</w:t>
            </w:r>
          </w:p>
        </w:tc>
        <w:tc>
          <w:tcPr>
            <w:tcW w:w="624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0.83-1.32</w:t>
            </w:r>
          </w:p>
        </w:tc>
        <w:tc>
          <w:tcPr>
            <w:tcW w:w="624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0.715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1.04</w:t>
            </w:r>
          </w:p>
        </w:tc>
        <w:tc>
          <w:tcPr>
            <w:tcW w:w="624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0.82-1.32</w:t>
            </w:r>
          </w:p>
        </w:tc>
        <w:tc>
          <w:tcPr>
            <w:tcW w:w="628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vMerge w:val="continue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Factor3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0.75</w:t>
            </w:r>
          </w:p>
        </w:tc>
        <w:tc>
          <w:tcPr>
            <w:tcW w:w="624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0.52-1.06</w:t>
            </w:r>
          </w:p>
        </w:tc>
        <w:tc>
          <w:tcPr>
            <w:tcW w:w="624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0.104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0.74</w:t>
            </w:r>
          </w:p>
        </w:tc>
        <w:tc>
          <w:tcPr>
            <w:tcW w:w="624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0.52-1.05</w:t>
            </w:r>
          </w:p>
        </w:tc>
        <w:tc>
          <w:tcPr>
            <w:tcW w:w="628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vMerge w:val="continue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Factor4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1.30</w:t>
            </w:r>
          </w:p>
        </w:tc>
        <w:tc>
          <w:tcPr>
            <w:tcW w:w="624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1.05-1.61</w:t>
            </w:r>
          </w:p>
        </w:tc>
        <w:tc>
          <w:tcPr>
            <w:tcW w:w="624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0.016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1.31</w:t>
            </w:r>
          </w:p>
        </w:tc>
        <w:tc>
          <w:tcPr>
            <w:tcW w:w="624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1.06-1.62</w:t>
            </w:r>
          </w:p>
        </w:tc>
        <w:tc>
          <w:tcPr>
            <w:tcW w:w="628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vMerge w:val="continue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Factor5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0.79</w:t>
            </w:r>
          </w:p>
        </w:tc>
        <w:tc>
          <w:tcPr>
            <w:tcW w:w="624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0.61-1.04</w:t>
            </w:r>
          </w:p>
        </w:tc>
        <w:tc>
          <w:tcPr>
            <w:tcW w:w="624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0.090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0.77</w:t>
            </w:r>
          </w:p>
        </w:tc>
        <w:tc>
          <w:tcPr>
            <w:tcW w:w="624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0.59-1.01</w:t>
            </w:r>
          </w:p>
        </w:tc>
        <w:tc>
          <w:tcPr>
            <w:tcW w:w="628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0.057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24" w:type="pct"/>
            <w:gridSpan w:val="2"/>
            <w:vMerge w:val="continue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Factor6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1.04</w:t>
            </w:r>
          </w:p>
        </w:tc>
        <w:tc>
          <w:tcPr>
            <w:tcW w:w="624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0.89-1.21</w:t>
            </w:r>
          </w:p>
        </w:tc>
        <w:tc>
          <w:tcPr>
            <w:tcW w:w="624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0.648</w:t>
            </w:r>
          </w:p>
        </w:tc>
        <w:tc>
          <w:tcPr>
            <w:tcW w:w="624" w:type="pct"/>
            <w:gridSpan w:val="2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1.04</w:t>
            </w:r>
          </w:p>
        </w:tc>
        <w:tc>
          <w:tcPr>
            <w:tcW w:w="624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0.89-1.21</w:t>
            </w:r>
          </w:p>
        </w:tc>
        <w:tc>
          <w:tcPr>
            <w:tcW w:w="628" w:type="pct"/>
          </w:tcPr>
          <w:p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0.611</w:t>
            </w:r>
          </w:p>
        </w:tc>
      </w:tr>
    </w:tbl>
    <w:p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80" w:lineRule="auto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sz w:val="20"/>
          <w:szCs w:val="20"/>
        </w:rPr>
        <w:t>Model 1: Uni-variable model; Model 2: Multi-variable model, adjusted for age</w:t>
      </w:r>
      <w:r>
        <w:rPr>
          <w:rFonts w:hint="default" w:ascii="Times New Roman" w:hAnsi="Times New Roman" w:cs="Times New Roman"/>
          <w:i w:val="0"/>
          <w:iCs w:val="0"/>
          <w:sz w:val="20"/>
          <w:szCs w:val="20"/>
          <w:lang w:eastAsia="zh-CN"/>
        </w:rPr>
        <w:t>,</w:t>
      </w:r>
      <w:r>
        <w:rPr>
          <w:rFonts w:hint="default" w:ascii="Times New Roman" w:hAnsi="Times New Roman" w:cs="Times New Roman"/>
          <w:i w:val="0"/>
          <w:iCs w:val="0"/>
          <w:sz w:val="20"/>
          <w:szCs w:val="20"/>
        </w:rPr>
        <w:t xml:space="preserve"> gender</w:t>
      </w:r>
      <w:r>
        <w:rPr>
          <w:rFonts w:hint="default" w:ascii="Times New Roman" w:hAnsi="Times New Roman" w:cs="Times New Roman"/>
          <w:i w:val="0"/>
          <w:iCs w:val="0"/>
          <w:sz w:val="20"/>
          <w:szCs w:val="20"/>
          <w:lang w:eastAsia="zh-CN"/>
        </w:rPr>
        <w:t xml:space="preserve">, </w:t>
      </w:r>
      <w:r>
        <w:rPr>
          <w:rFonts w:hint="default" w:ascii="Times New Roman" w:hAnsi="Times New Roman" w:cs="Times New Roman"/>
          <w:i w:val="0"/>
          <w:iCs w:val="0"/>
          <w:sz w:val="20"/>
          <w:szCs w:val="20"/>
        </w:rPr>
        <w:t>diabetes duration,</w:t>
      </w:r>
      <w:r>
        <w:rPr>
          <w:rFonts w:hint="default" w:ascii="Times New Roman" w:hAnsi="Times New Roman" w:cs="Times New Roman"/>
          <w:i w:val="0"/>
          <w:iCs w:val="0"/>
          <w:sz w:val="20"/>
          <w:szCs w:val="20"/>
          <w:lang w:eastAsia="zh-CN"/>
        </w:rPr>
        <w:t xml:space="preserve"> weight, height; </w:t>
      </w:r>
      <w:r>
        <w:rPr>
          <w:rFonts w:hint="default" w:ascii="Times New Roman" w:hAnsi="Times New Roman" w:cs="Times New Roman"/>
          <w:i w:val="0"/>
          <w:iCs w:val="0"/>
          <w:sz w:val="20"/>
          <w:szCs w:val="20"/>
        </w:rPr>
        <w:t>Model 3: Multi-variable model,</w:t>
      </w:r>
      <w:r>
        <w:rPr>
          <w:rFonts w:hint="default" w:ascii="Times New Roman" w:hAnsi="Times New Roman" w:cs="Times New Roman"/>
          <w:i w:val="0"/>
          <w:iCs w:val="0"/>
          <w:sz w:val="20"/>
          <w:szCs w:val="20"/>
          <w:lang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sz w:val="20"/>
          <w:szCs w:val="20"/>
        </w:rPr>
        <w:t>further adjusted for SBP, DBP,</w:t>
      </w:r>
      <w:r>
        <w:rPr>
          <w:rFonts w:hint="default" w:ascii="Times New Roman" w:hAnsi="Times New Roman" w:cs="Times New Roman"/>
          <w:i w:val="0"/>
          <w:iCs w:val="0"/>
          <w:sz w:val="20"/>
          <w:szCs w:val="20"/>
          <w:lang w:eastAsia="zh-CN"/>
        </w:rPr>
        <w:t xml:space="preserve"> HbA1c,</w:t>
      </w:r>
      <w:r>
        <w:rPr>
          <w:rFonts w:hint="default" w:ascii="Times New Roman" w:hAnsi="Times New Roman" w:cs="Times New Roman"/>
          <w:i w:val="0"/>
          <w:iCs w:val="0"/>
          <w:sz w:val="20"/>
          <w:szCs w:val="20"/>
        </w:rPr>
        <w:t xml:space="preserve"> HDL-C, LDL-C</w:t>
      </w:r>
      <w:r>
        <w:rPr>
          <w:rFonts w:hint="default" w:ascii="Times New Roman" w:hAnsi="Times New Roman" w:cs="Times New Roman"/>
          <w:i w:val="0"/>
          <w:iCs w:val="0"/>
          <w:sz w:val="20"/>
          <w:szCs w:val="20"/>
          <w:lang w:eastAsia="zh-CN"/>
        </w:rPr>
        <w:t>, and TG</w:t>
      </w:r>
      <w:r>
        <w:rPr>
          <w:rFonts w:hint="default" w:ascii="Times New Roman" w:hAnsi="Times New Roman" w:cs="Times New Roman"/>
          <w:i w:val="0"/>
          <w:iCs w:val="0"/>
          <w:sz w:val="20"/>
          <w:szCs w:val="20"/>
        </w:rPr>
        <w:t>; Model 4: Multi-variable model, further adjusted for aspirin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eastAsia="zh-CN"/>
        </w:rPr>
        <w:t>,</w:t>
      </w:r>
      <w:r>
        <w:rPr>
          <w:rFonts w:hint="default" w:ascii="Times New Roman" w:hAnsi="Times New Roman" w:cs="Times New Roman"/>
          <w:i w:val="0"/>
          <w:iCs w:val="0"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eastAsia="zh-CN"/>
        </w:rPr>
        <w:t>antidiabetic drugs, lipid lowering drugs, antihypertensive drugs, cardiovascular disease, diabetic nephropathy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eastAsia="zh-CN"/>
        </w:rPr>
        <w:t>diabetic retinopathy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 xml:space="preserve"> and diabetic peripheral neuropathy</w:t>
      </w:r>
      <w:r>
        <w:rPr>
          <w:rFonts w:hint="default" w:ascii="Times New Roman" w:hAnsi="Times New Roman" w:cs="Times New Roman"/>
          <w:i w:val="0"/>
          <w:iCs w:val="0"/>
          <w:sz w:val="20"/>
          <w:szCs w:val="20"/>
        </w:rPr>
        <w:t>.</w:t>
      </w:r>
      <w:r>
        <w:rPr>
          <w:rFonts w:hint="default" w:ascii="Times New Roman" w:hAnsi="Times New Roman" w:cs="Times New Roman"/>
          <w:i/>
          <w:iCs/>
          <w:sz w:val="20"/>
          <w:szCs w:val="20"/>
          <w:lang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 xml:space="preserve">OR </w:t>
      </w:r>
      <w:r>
        <w:rPr>
          <w:rFonts w:hint="default" w:ascii="Times New Roman" w:hAnsi="Times New Roman" w:cs="Times New Roman"/>
          <w:i w:val="0"/>
          <w:iCs w:val="0"/>
          <w:sz w:val="20"/>
          <w:szCs w:val="20"/>
        </w:rPr>
        <w:t>odds ratio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>,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 xml:space="preserve"> CI </w:t>
      </w:r>
      <w:r>
        <w:rPr>
          <w:rFonts w:hint="default" w:ascii="Times New Roman" w:hAnsi="Times New Roman" w:cs="Times New Roman"/>
          <w:i w:val="0"/>
          <w:iCs w:val="0"/>
          <w:sz w:val="20"/>
          <w:szCs w:val="20"/>
        </w:rPr>
        <w:t>confidence interval</w:t>
      </w:r>
      <w:r>
        <w:rPr>
          <w:rFonts w:hint="default" w:ascii="Times New Roman" w:hAnsi="Times New Roman" w:eastAsia="宋体" w:cs="Times New Roman"/>
          <w:i w:val="0"/>
          <w:iCs w:val="0"/>
          <w:sz w:val="20"/>
          <w:szCs w:val="20"/>
          <w:lang w:val="en-US" w:eastAsia="zh-CN"/>
        </w:rPr>
        <w:t>.</w:t>
      </w:r>
    </w:p>
    <w:p>
      <w:pPr>
        <w:pStyle w:val="8"/>
        <w:keepNext/>
        <w:keepLines w:val="0"/>
        <w:pageBreakBefore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80" w:lineRule="auto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0"/>
          <w:szCs w:val="20"/>
          <w:lang w:val="en-GB" w:eastAsia="en-GB"/>
        </w:rPr>
      </w:pPr>
      <w:r>
        <w:rPr>
          <w:rFonts w:hint="default" w:ascii="Times New Roman" w:hAnsi="Times New Roman" w:cs="Times New Roman"/>
          <w:sz w:val="20"/>
          <w:szCs w:val="20"/>
        </w:rPr>
        <w:t>Table S</w:t>
      </w:r>
      <w:r>
        <w:rPr>
          <w:rFonts w:hint="default" w:ascii="Times New Roman" w:hAnsi="Times New Roman" w:cs="Times New Roman"/>
          <w:sz w:val="20"/>
          <w:szCs w:val="20"/>
        </w:rPr>
        <w:fldChar w:fldCharType="begin"/>
      </w:r>
      <w:r>
        <w:rPr>
          <w:rFonts w:hint="default" w:ascii="Times New Roman" w:hAnsi="Times New Roman" w:cs="Times New Roman"/>
          <w:sz w:val="20"/>
          <w:szCs w:val="20"/>
        </w:rPr>
        <w:instrText xml:space="preserve"> SEQ Table_S \* ARABIC </w:instrText>
      </w:r>
      <w:r>
        <w:rPr>
          <w:rFonts w:hint="default" w:ascii="Times New Roman" w:hAnsi="Times New Roman" w:cs="Times New Roman"/>
          <w:sz w:val="20"/>
          <w:szCs w:val="20"/>
        </w:rPr>
        <w:fldChar w:fldCharType="separate"/>
      </w:r>
      <w:r>
        <w:rPr>
          <w:rFonts w:hint="default" w:ascii="Times New Roman" w:hAnsi="Times New Roman" w:cs="Times New Roman"/>
          <w:sz w:val="20"/>
          <w:szCs w:val="20"/>
        </w:rPr>
        <w:t>2</w:t>
      </w:r>
      <w:r>
        <w:rPr>
          <w:rFonts w:hint="default" w:ascii="Times New Roman" w:hAnsi="Times New Roman" w:cs="Times New Roman"/>
          <w:sz w:val="20"/>
          <w:szCs w:val="20"/>
        </w:rPr>
        <w:fldChar w:fldCharType="end"/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sz w:val="20"/>
          <w:szCs w:val="20"/>
          <w:lang w:val="en-GB" w:eastAsia="en-GB"/>
        </w:rPr>
        <w:t>Association of individual PFAA with infectious event after median imputation and multiple imputation to missing value of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 glycated hemoglobin,</w:t>
      </w:r>
      <w:r>
        <w:rPr>
          <w:rFonts w:hint="default" w:ascii="Times New Roman" w:hAnsi="Times New Roman" w:eastAsia="Times New Roman" w:cs="Times New Roman"/>
          <w:b w:val="0"/>
          <w:bCs w:val="0"/>
          <w:sz w:val="20"/>
          <w:szCs w:val="20"/>
          <w:lang w:val="en-GB" w:eastAsia="en-GB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triglyceride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eastAsia="Times New Roman" w:cs="Times New Roman"/>
          <w:b w:val="0"/>
          <w:bCs w:val="0"/>
          <w:sz w:val="20"/>
          <w:szCs w:val="20"/>
          <w:lang w:val="en-GB" w:eastAsia="en-GB"/>
        </w:rPr>
        <w:t>high-density lipoprotein cholesterol and low-density lipoprotein cholesterol</w:t>
      </w:r>
    </w:p>
    <w:tbl>
      <w:tblPr>
        <w:tblStyle w:val="20"/>
        <w:tblW w:w="1034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56"/>
        <w:gridCol w:w="836"/>
        <w:gridCol w:w="313"/>
        <w:gridCol w:w="596"/>
        <w:gridCol w:w="553"/>
        <w:gridCol w:w="1149"/>
        <w:gridCol w:w="1149"/>
        <w:gridCol w:w="1149"/>
        <w:gridCol w:w="1149"/>
        <w:gridCol w:w="1149"/>
        <w:gridCol w:w="115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9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000" w:type="dxa"/>
            <w:gridSpan w:val="4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Median imputation</w:t>
            </w:r>
          </w:p>
        </w:tc>
        <w:tc>
          <w:tcPr>
            <w:tcW w:w="3454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Multiple imputation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gridSpan w:val="2"/>
            <w:tcBorders>
              <w:top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Model</w:t>
            </w:r>
          </w:p>
        </w:tc>
        <w:tc>
          <w:tcPr>
            <w:tcW w:w="1149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</w:t>
            </w:r>
          </w:p>
        </w:tc>
        <w:tc>
          <w:tcPr>
            <w:tcW w:w="1149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PFAA</w:t>
            </w:r>
          </w:p>
        </w:tc>
        <w:tc>
          <w:tcPr>
            <w:tcW w:w="1149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OR</w:t>
            </w:r>
          </w:p>
        </w:tc>
        <w:tc>
          <w:tcPr>
            <w:tcW w:w="1149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95%CI</w:t>
            </w:r>
          </w:p>
        </w:tc>
        <w:tc>
          <w:tcPr>
            <w:tcW w:w="1149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P</w:t>
            </w:r>
          </w:p>
        </w:tc>
        <w:tc>
          <w:tcPr>
            <w:tcW w:w="114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OR</w:t>
            </w:r>
          </w:p>
        </w:tc>
        <w:tc>
          <w:tcPr>
            <w:tcW w:w="114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95%CI</w:t>
            </w:r>
          </w:p>
        </w:tc>
        <w:tc>
          <w:tcPr>
            <w:tcW w:w="115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Model 1</w:t>
            </w:r>
          </w:p>
        </w:tc>
        <w:tc>
          <w:tcPr>
            <w:tcW w:w="1149" w:type="dxa"/>
            <w:gridSpan w:val="2"/>
            <w:tcBorders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 4</w:t>
            </w:r>
          </w:p>
        </w:tc>
        <w:tc>
          <w:tcPr>
            <w:tcW w:w="1149" w:type="dxa"/>
            <w:gridSpan w:val="2"/>
            <w:tcBorders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Orn</w:t>
            </w:r>
          </w:p>
        </w:tc>
        <w:tc>
          <w:tcPr>
            <w:tcW w:w="1149" w:type="dxa"/>
            <w:tcBorders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1.01</w:t>
            </w:r>
          </w:p>
        </w:tc>
        <w:tc>
          <w:tcPr>
            <w:tcW w:w="1149" w:type="dxa"/>
            <w:tcBorders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1.00-1.02</w:t>
            </w:r>
          </w:p>
        </w:tc>
        <w:tc>
          <w:tcPr>
            <w:tcW w:w="1149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0.153</w:t>
            </w:r>
          </w:p>
        </w:tc>
        <w:tc>
          <w:tcPr>
            <w:tcW w:w="1149" w:type="dxa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1.01</w:t>
            </w:r>
          </w:p>
        </w:tc>
        <w:tc>
          <w:tcPr>
            <w:tcW w:w="1149" w:type="dxa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1.00-1.02</w:t>
            </w:r>
          </w:p>
        </w:tc>
        <w:tc>
          <w:tcPr>
            <w:tcW w:w="1156" w:type="dxa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0.153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Asp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1.01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1.00-1.03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0.120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1.01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1.00-1.03</w:t>
            </w:r>
          </w:p>
        </w:tc>
        <w:tc>
          <w:tcPr>
            <w:tcW w:w="115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0.120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Glu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1.00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1.00-1.01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0.773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1.00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1.00-1.01</w:t>
            </w:r>
          </w:p>
        </w:tc>
        <w:tc>
          <w:tcPr>
            <w:tcW w:w="115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 5</w:t>
            </w: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Hcy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1.36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1.09-1.70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0.007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1.36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1.09-1.70</w:t>
            </w:r>
          </w:p>
        </w:tc>
        <w:tc>
          <w:tcPr>
            <w:tcW w:w="115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Pip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1.00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0.99-1.00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0.493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1.00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0.99-1.00</w:t>
            </w:r>
          </w:p>
        </w:tc>
        <w:tc>
          <w:tcPr>
            <w:tcW w:w="115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0.493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gridSpan w:val="2"/>
            <w:vMerge w:val="restart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Model 2</w:t>
            </w: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 4</w:t>
            </w: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Orn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1.01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1.00-1.02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0.166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1.01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1.00-1.02</w:t>
            </w:r>
          </w:p>
        </w:tc>
        <w:tc>
          <w:tcPr>
            <w:tcW w:w="115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0.166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Asp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1.01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1.00-1.03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0.109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1.01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1.00-1.03</w:t>
            </w:r>
          </w:p>
        </w:tc>
        <w:tc>
          <w:tcPr>
            <w:tcW w:w="115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0.109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Glu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1.00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1.00-1.01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0.869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1.00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1.00-1.01</w:t>
            </w:r>
          </w:p>
        </w:tc>
        <w:tc>
          <w:tcPr>
            <w:tcW w:w="115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0.869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 5</w:t>
            </w: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Hcy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1.37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1.10-1.72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0.006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1.37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1.10-1.72</w:t>
            </w:r>
          </w:p>
        </w:tc>
        <w:tc>
          <w:tcPr>
            <w:tcW w:w="115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Pip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1.00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0.99-1.00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0.934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1.00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0.99-1.00</w:t>
            </w:r>
          </w:p>
        </w:tc>
        <w:tc>
          <w:tcPr>
            <w:tcW w:w="115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0.934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gridSpan w:val="2"/>
            <w:vMerge w:val="restart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Model 3</w:t>
            </w: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 4</w:t>
            </w: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Orn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1.01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1.00-1.02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0.207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1.01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1.00-1.02</w:t>
            </w:r>
          </w:p>
        </w:tc>
        <w:tc>
          <w:tcPr>
            <w:tcW w:w="115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0.189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Asp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1.02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1.00-1.03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0.106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1.01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1.00-1.03</w:t>
            </w:r>
          </w:p>
        </w:tc>
        <w:tc>
          <w:tcPr>
            <w:tcW w:w="115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0.121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Glu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1.00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1.00-1.01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0.869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1.00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1.00-1.01</w:t>
            </w:r>
          </w:p>
        </w:tc>
        <w:tc>
          <w:tcPr>
            <w:tcW w:w="115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 5</w:t>
            </w: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Hcy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1.33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1.06-1.67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0.013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1.35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1.08-1.70</w:t>
            </w:r>
          </w:p>
        </w:tc>
        <w:tc>
          <w:tcPr>
            <w:tcW w:w="1156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Pip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1.00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0.99-1.00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0.710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1.00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0.99-1.00</w:t>
            </w:r>
          </w:p>
        </w:tc>
        <w:tc>
          <w:tcPr>
            <w:tcW w:w="115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0.874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gridSpan w:val="2"/>
            <w:vMerge w:val="restart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Model 4</w:t>
            </w: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 4</w:t>
            </w: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Orn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1.01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1.00-1.02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0.219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1.01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1.00-1.02</w:t>
            </w:r>
          </w:p>
        </w:tc>
        <w:tc>
          <w:tcPr>
            <w:tcW w:w="115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0.174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Asp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1.02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1.00-1.03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0.119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1.01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1.00-1.03</w:t>
            </w:r>
          </w:p>
        </w:tc>
        <w:tc>
          <w:tcPr>
            <w:tcW w:w="115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0.126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Glu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1.00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1.00-1.01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0.756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1.00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0.99-1.01</w:t>
            </w:r>
          </w:p>
        </w:tc>
        <w:tc>
          <w:tcPr>
            <w:tcW w:w="115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Factor 5</w:t>
            </w:r>
          </w:p>
        </w:tc>
        <w:tc>
          <w:tcPr>
            <w:tcW w:w="1149" w:type="dxa"/>
            <w:gridSpan w:val="2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Hcy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1.35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1.07-1.71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0.021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1.36</w:t>
            </w:r>
          </w:p>
        </w:tc>
        <w:tc>
          <w:tcPr>
            <w:tcW w:w="114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1.07-1.73</w:t>
            </w:r>
          </w:p>
        </w:tc>
        <w:tc>
          <w:tcPr>
            <w:tcW w:w="1156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gridSpan w:val="2"/>
            <w:vMerge w:val="continue"/>
            <w:tcBorders>
              <w:top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9" w:type="dxa"/>
            <w:gridSpan w:val="2"/>
            <w:tcBorders>
              <w:top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GB" w:eastAsia="en-GB"/>
              </w:rPr>
              <w:t>Pip</w:t>
            </w:r>
          </w:p>
        </w:tc>
        <w:tc>
          <w:tcPr>
            <w:tcW w:w="1149" w:type="dxa"/>
            <w:tcBorders>
              <w:top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1.00</w:t>
            </w:r>
          </w:p>
        </w:tc>
        <w:tc>
          <w:tcPr>
            <w:tcW w:w="1149" w:type="dxa"/>
            <w:tcBorders>
              <w:top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0.99-1.00</w:t>
            </w:r>
          </w:p>
        </w:tc>
        <w:tc>
          <w:tcPr>
            <w:tcW w:w="1149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0.642</w:t>
            </w:r>
          </w:p>
        </w:tc>
        <w:tc>
          <w:tcPr>
            <w:tcW w:w="1149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1.00</w:t>
            </w:r>
          </w:p>
        </w:tc>
        <w:tc>
          <w:tcPr>
            <w:tcW w:w="1149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0.99-1.00</w:t>
            </w:r>
          </w:p>
        </w:tc>
        <w:tc>
          <w:tcPr>
            <w:tcW w:w="1156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0.793</w:t>
            </w:r>
          </w:p>
        </w:tc>
      </w:tr>
    </w:tbl>
    <w:p>
      <w:pPr>
        <w:keepNext w:val="0"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Times New Roman" w:cs="Times New Roman"/>
          <w:i/>
          <w:iCs/>
          <w:szCs w:val="24"/>
          <w:lang w:val="en-GB" w:eastAsia="en-GB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Model 1: Uni-variable model; Model 2: Multi-variable model, adjusted for age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eastAsia="zh-CN"/>
        </w:rPr>
        <w:t>,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 gender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diabetes duration,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eastAsia="zh-CN"/>
        </w:rPr>
        <w:t xml:space="preserve"> weight, height;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Model 3: Multi-variable model,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further adjusted for SBP, DBP,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eastAsia="zh-CN"/>
        </w:rPr>
        <w:t xml:space="preserve"> HbA1c,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 HDL-C, LDL-C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eastAsia="zh-CN"/>
        </w:rPr>
        <w:t>, and TG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; Model 4: Multi-variable model, further adjusted for aspirin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eastAsia="zh-CN"/>
        </w:rPr>
        <w:t>,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eastAsia="zh-CN"/>
        </w:rPr>
        <w:t>antidiabetic drugs, lipid lowering drugs, antihypertensive drugs, cardiovascular disease, diabetic nephropathy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eastAsia="zh-CN"/>
        </w:rPr>
        <w:t>diabetic retinopathy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and diabetic peripheral neuropathy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.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</w:rPr>
        <w:t xml:space="preserve">OR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odds ratio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</w:rPr>
        <w:t>CI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 confidence interval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PFAA plasma free amino acid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eastAsia="zh-CN"/>
        </w:rPr>
        <w:t>,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</w:rPr>
        <w:t>Orn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 Ornithine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eastAsia="zh-CN"/>
        </w:rPr>
        <w:t>,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</w:rPr>
        <w:t xml:space="preserve">Glu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Glutamate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</w:rPr>
        <w:t>Asp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Aspartate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eastAsia="zh-CN"/>
        </w:rPr>
        <w:t>,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</w:rPr>
        <w:t>Pip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 Piperamide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eastAsia="zh-CN"/>
        </w:rPr>
        <w:t>,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</w:rPr>
        <w:t>Hcy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 Homocysteine.</w:t>
      </w:r>
      <w:bookmarkStart w:id="0" w:name="_GoBack"/>
      <w:bookmarkEnd w:id="0"/>
    </w:p>
    <w:sectPr>
      <w:headerReference r:id="rId6" w:type="first"/>
      <w:footerReference r:id="rId7" w:type="default"/>
      <w:headerReference r:id="rId5" w:type="even"/>
      <w:footerReference r:id="rId8" w:type="even"/>
      <w:pgSz w:w="12240" w:h="15840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434.15pt;margin-top:726.5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34.15pt;margin-top:724.2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b/>
        <w:color w:val="A6A6A6" w:themeColor="background1" w:themeShade="A6"/>
        <w:lang w:val="en-GB" w:eastAsia="en-GB"/>
      </w:rPr>
      <w:drawing>
        <wp:inline distT="0" distB="0" distL="0" distR="0">
          <wp:extent cx="1382395" cy="496570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attachedTemplate r:id="rId1"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MxYTA0ODYzNTdmZjI1Y2I4Njc0NDM5ZDdjMDc2ZWMifQ=="/>
  </w:docVars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04AE367F"/>
    <w:rsid w:val="09A233BC"/>
    <w:rsid w:val="0D46601D"/>
    <w:rsid w:val="11927BC8"/>
    <w:rsid w:val="11C27277"/>
    <w:rsid w:val="138F0B1F"/>
    <w:rsid w:val="13C24DD8"/>
    <w:rsid w:val="18B80500"/>
    <w:rsid w:val="202B1BD0"/>
    <w:rsid w:val="20DB53A4"/>
    <w:rsid w:val="25B222C3"/>
    <w:rsid w:val="2DF34BCF"/>
    <w:rsid w:val="2F36588A"/>
    <w:rsid w:val="2FC01AE7"/>
    <w:rsid w:val="2FC701DD"/>
    <w:rsid w:val="393D0552"/>
    <w:rsid w:val="39582DDE"/>
    <w:rsid w:val="3D127F47"/>
    <w:rsid w:val="3D6562C9"/>
    <w:rsid w:val="40297A82"/>
    <w:rsid w:val="4466501A"/>
    <w:rsid w:val="45EF0E26"/>
    <w:rsid w:val="47952C5F"/>
    <w:rsid w:val="49724248"/>
    <w:rsid w:val="4AC93E79"/>
    <w:rsid w:val="4B3D0DC1"/>
    <w:rsid w:val="542D3675"/>
    <w:rsid w:val="565C42B5"/>
    <w:rsid w:val="60DB3DBA"/>
    <w:rsid w:val="61DF4396"/>
    <w:rsid w:val="6456360A"/>
    <w:rsid w:val="65075D34"/>
    <w:rsid w:val="6C8C4AAA"/>
    <w:rsid w:val="720866C0"/>
    <w:rsid w:val="751F7679"/>
    <w:rsid w:val="778422CE"/>
    <w:rsid w:val="7B4A286F"/>
    <w:rsid w:val="7EAF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semiHidden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9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qFormat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semiHidden/>
    <w:unhideWhenUsed/>
    <w:qFormat/>
    <w:uiPriority w:val="99"/>
    <w:rPr>
      <w:sz w:val="16"/>
      <w:szCs w:val="16"/>
    </w:rPr>
  </w:style>
  <w:style w:type="character" w:styleId="30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31">
    <w:name w:val="Heading 1 Char"/>
    <w:basedOn w:val="22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Heading 2 Char"/>
    <w:basedOn w:val="22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Subtitle Char"/>
    <w:basedOn w:val="22"/>
    <w:link w:val="15"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qFormat/>
    <w:uiPriority w:val="1"/>
  </w:style>
  <w:style w:type="character" w:customStyle="1" w:styleId="35">
    <w:name w:val="Balloon Text Char"/>
    <w:basedOn w:val="22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6">
    <w:name w:val="Book Title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Comment Text Char"/>
    <w:basedOn w:val="22"/>
    <w:link w:val="10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Comment Subject Char"/>
    <w:basedOn w:val="37"/>
    <w:link w:val="19"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Endnote Text Char"/>
    <w:basedOn w:val="22"/>
    <w:link w:val="11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Footer Char"/>
    <w:basedOn w:val="22"/>
    <w:link w:val="13"/>
    <w:qFormat/>
    <w:uiPriority w:val="99"/>
    <w:rPr>
      <w:rFonts w:ascii="Times New Roman" w:hAnsi="Times New Roman"/>
      <w:sz w:val="24"/>
    </w:rPr>
  </w:style>
  <w:style w:type="character" w:customStyle="1" w:styleId="41">
    <w:name w:val="Footnote Text Char"/>
    <w:basedOn w:val="22"/>
    <w:link w:val="16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2">
    <w:name w:val="Header Char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Intense Emphasis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Intense Reference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Heading 3 Char"/>
    <w:basedOn w:val="22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Heading 4 Char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Heading 5 Char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Quote Char"/>
    <w:basedOn w:val="22"/>
    <w:link w:val="48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Subtle Emphasis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Title Char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qFormat/>
    <w:uiPriority w:val="0"/>
    <w:pPr>
      <w:spacing w:after="120"/>
    </w:pPr>
    <w:rPr>
      <w:i/>
    </w:rPr>
  </w:style>
  <w:style w:type="paragraph" w:customStyle="1" w:styleId="53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6.xml"/><Relationship Id="rId15" Type="http://schemas.openxmlformats.org/officeDocument/2006/relationships/customXml" Target="../customXml/item5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8679B-78FB-42CD-A1EA-A99096AF5568}">
  <ds:schemaRefs/>
</ds:datastoreItem>
</file>

<file path=customXml/itemProps3.xml><?xml version="1.0" encoding="utf-8"?>
<ds:datastoreItem xmlns:ds="http://schemas.openxmlformats.org/officeDocument/2006/customXml" ds:itemID="{4B2E0E22-D442-4EBE-AAA2-EDC8871E7B41}">
  <ds:schemaRefs/>
</ds:datastoreItem>
</file>

<file path=customXml/itemProps4.xml><?xml version="1.0" encoding="utf-8"?>
<ds:datastoreItem xmlns:ds="http://schemas.openxmlformats.org/officeDocument/2006/customXml" ds:itemID="{A3D4929F-83D0-432F-8F82-6D4423C25F5E}">
  <ds:schemaRefs/>
</ds:datastoreItem>
</file>

<file path=customXml/itemProps5.xml><?xml version="1.0" encoding="utf-8"?>
<ds:datastoreItem xmlns:ds="http://schemas.openxmlformats.org/officeDocument/2006/customXml" ds:itemID="{DFF441E3-103C-4487-877D-08CD22337C19}">
  <ds:schemaRefs/>
</ds:datastoreItem>
</file>

<file path=customXml/itemProps6.xml><?xml version="1.0" encoding="utf-8"?>
<ds:datastoreItem xmlns:ds="http://schemas.openxmlformats.org/officeDocument/2006/customXml" ds:itemID="{114314AF-3C36-4C2C-B599-40A76C6FFF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Pages>3</Pages>
  <Words>602</Words>
  <Characters>3693</Characters>
  <Lines>7</Lines>
  <Paragraphs>2</Paragraphs>
  <TotalTime>3</TotalTime>
  <ScaleCrop>false</ScaleCrop>
  <LinksUpToDate>false</LinksUpToDate>
  <CharactersWithSpaces>3944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2022-11-17T16:58:00Z</dcterms:created>
  <dc:creator>Frontiers</dc:creator>
  <cp:lastModifiedBy>farewell</cp:lastModifiedBy>
  <cp:lastPrinted>2013-10-03T12:51:00Z</cp:lastPrinted>
  <dcterms:modified xsi:type="dcterms:W3CDTF">2023-05-12T13:50:04Z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2052-11.1.0.14309</vt:lpwstr>
  </property>
  <property fmtid="{D5CDD505-2E9C-101B-9397-08002B2CF9AE}" pid="11" name="ICV">
    <vt:lpwstr>A6C83182573A4CE0BCCED1EFFD33AD7F</vt:lpwstr>
  </property>
</Properties>
</file>