
<file path=[Content_Types].xml><?xml version="1.0" encoding="utf-8"?>
<Types xmlns="http://schemas.openxmlformats.org/package/2006/content-types">
  <Default Extension="bin" ContentType="application/vnd.openxmlformats-officedocument.oleObject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32B657C" w14:textId="77777777" w:rsidR="00685AFB" w:rsidRDefault="00685AFB"/>
    <w:p w14:paraId="42E12ECC" w14:textId="77777777" w:rsidR="00685AFB" w:rsidRDefault="00CA085F">
      <w:pPr>
        <w:pStyle w:val="Heading1"/>
        <w:spacing w:before="0" w:after="0" w:line="240" w:lineRule="auto"/>
        <w:jc w:val="center"/>
        <w:rPr>
          <w:rFonts w:ascii="Times New Roman" w:hAnsi="Times New Roman" w:cs="Times New Roman"/>
          <w:b w:val="0"/>
          <w:bCs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 xml:space="preserve">Table </w:t>
      </w:r>
      <w:r>
        <w:rPr>
          <w:rFonts w:ascii="Times New Roman" w:hAnsi="Times New Roman" w:cs="Times New Roman" w:hint="eastAsia"/>
          <w:sz w:val="18"/>
          <w:szCs w:val="18"/>
        </w:rPr>
        <w:t>1</w:t>
      </w:r>
      <w:r>
        <w:rPr>
          <w:rFonts w:ascii="Times New Roman" w:hAnsi="Times New Roman" w:cs="Times New Roman"/>
          <w:b w:val="0"/>
          <w:bCs/>
          <w:sz w:val="18"/>
          <w:szCs w:val="18"/>
        </w:rPr>
        <w:t xml:space="preserve"> Measure indicator system of natural suitability of human settlements</w:t>
      </w:r>
    </w:p>
    <w:tbl>
      <w:tblPr>
        <w:tblStyle w:val="TableGrid"/>
        <w:tblW w:w="0" w:type="auto"/>
        <w:jc w:val="center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4A0" w:firstRow="1" w:lastRow="0" w:firstColumn="1" w:lastColumn="0" w:noHBand="0" w:noVBand="1"/>
      </w:tblPr>
      <w:tblGrid>
        <w:gridCol w:w="1013"/>
        <w:gridCol w:w="3058"/>
        <w:gridCol w:w="4451"/>
      </w:tblGrid>
      <w:tr w:rsidR="00685AFB" w14:paraId="2ADB1687" w14:textId="77777777">
        <w:trPr>
          <w:jc w:val="center"/>
        </w:trPr>
        <w:tc>
          <w:tcPr>
            <w:tcW w:w="1013" w:type="dxa"/>
            <w:tcBorders>
              <w:top w:val="single" w:sz="4" w:space="0" w:color="auto"/>
              <w:bottom w:val="single" w:sz="4" w:space="0" w:color="auto"/>
            </w:tcBorders>
          </w:tcPr>
          <w:p w14:paraId="53CD1F66" w14:textId="77777777" w:rsidR="00685AFB" w:rsidRDefault="00CA085F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Measure indicator</w:t>
            </w:r>
          </w:p>
        </w:tc>
        <w:tc>
          <w:tcPr>
            <w:tcW w:w="3058" w:type="dxa"/>
            <w:tcBorders>
              <w:top w:val="single" w:sz="4" w:space="0" w:color="auto"/>
              <w:bottom w:val="single" w:sz="4" w:space="0" w:color="auto"/>
            </w:tcBorders>
          </w:tcPr>
          <w:p w14:paraId="7F3A7D58" w14:textId="77777777" w:rsidR="00685AFB" w:rsidRDefault="00CA085F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Calculation formula</w:t>
            </w:r>
          </w:p>
        </w:tc>
        <w:tc>
          <w:tcPr>
            <w:tcW w:w="4451" w:type="dxa"/>
            <w:tcBorders>
              <w:top w:val="single" w:sz="4" w:space="0" w:color="auto"/>
              <w:bottom w:val="single" w:sz="4" w:space="0" w:color="auto"/>
            </w:tcBorders>
          </w:tcPr>
          <w:p w14:paraId="01E78B63" w14:textId="77777777" w:rsidR="00685AFB" w:rsidRDefault="00CA085F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Parameter Description</w:t>
            </w:r>
          </w:p>
        </w:tc>
      </w:tr>
      <w:tr w:rsidR="00685AFB" w14:paraId="38BACFC2" w14:textId="77777777">
        <w:trPr>
          <w:jc w:val="center"/>
        </w:trPr>
        <w:tc>
          <w:tcPr>
            <w:tcW w:w="1013" w:type="dxa"/>
            <w:tcBorders>
              <w:top w:val="single" w:sz="4" w:space="0" w:color="auto"/>
            </w:tcBorders>
            <w:vAlign w:val="center"/>
          </w:tcPr>
          <w:p w14:paraId="31FC106A" w14:textId="77777777" w:rsidR="00685AFB" w:rsidRDefault="00CA085F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Relief degree of land surface index</w:t>
            </w:r>
          </w:p>
        </w:tc>
        <w:tc>
          <w:tcPr>
            <w:tcW w:w="3058" w:type="dxa"/>
            <w:tcBorders>
              <w:top w:val="single" w:sz="4" w:space="0" w:color="auto"/>
            </w:tcBorders>
            <w:vAlign w:val="center"/>
          </w:tcPr>
          <w:p w14:paraId="2E0E750C" w14:textId="77777777" w:rsidR="00685AFB" w:rsidRDefault="00CA085F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noProof/>
                <w:sz w:val="15"/>
                <w:szCs w:val="15"/>
              </w:rPr>
              <w:object w:dxaOrig="2986" w:dyaOrig="266" w14:anchorId="222D1489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33" type="#_x0000_t75" alt="" style="width:149.15pt;height:13.2pt;mso-width-percent:0;mso-height-percent:0;mso-width-percent:0;mso-height-percent:0" o:ole="">
                  <v:imagedata r:id="rId5" o:title=""/>
                </v:shape>
                <o:OLEObject Type="Embed" ProgID="Equation.KSEE3" ShapeID="_x0000_i1033" DrawAspect="Content" ObjectID="_1676384013" r:id="rId6"/>
              </w:object>
            </w:r>
          </w:p>
        </w:tc>
        <w:tc>
          <w:tcPr>
            <w:tcW w:w="4451" w:type="dxa"/>
            <w:tcBorders>
              <w:top w:val="single" w:sz="4" w:space="0" w:color="auto"/>
            </w:tcBorders>
          </w:tcPr>
          <w:p w14:paraId="7BAD0C39" w14:textId="77777777" w:rsidR="00685AFB" w:rsidRDefault="00CA085F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i/>
                <w:iCs/>
                <w:sz w:val="15"/>
                <w:szCs w:val="15"/>
              </w:rPr>
              <w:t xml:space="preserve">RDLS 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 xml:space="preserve">is the degree of terrain undulation, </w:t>
            </w:r>
            <w:r>
              <w:rPr>
                <w:rFonts w:ascii="Times New Roman" w:hAnsi="Times New Roman" w:cs="Times New Roman"/>
                <w:i/>
                <w:iCs/>
                <w:sz w:val="15"/>
                <w:szCs w:val="15"/>
              </w:rPr>
              <w:t>H</w:t>
            </w:r>
            <w:r>
              <w:rPr>
                <w:rFonts w:ascii="Times New Roman" w:hAnsi="Times New Roman" w:cs="Times New Roman"/>
                <w:i/>
                <w:iCs/>
                <w:sz w:val="15"/>
                <w:szCs w:val="15"/>
                <w:vertAlign w:val="subscript"/>
              </w:rPr>
              <w:t>max</w:t>
            </w:r>
            <w:r>
              <w:rPr>
                <w:rFonts w:ascii="Times New Roman" w:hAnsi="Times New Roman" w:cs="Times New Roman"/>
                <w:i/>
                <w:iCs/>
                <w:sz w:val="15"/>
                <w:szCs w:val="15"/>
              </w:rPr>
              <w:t xml:space="preserve"> 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 xml:space="preserve">and </w:t>
            </w:r>
            <w:r>
              <w:rPr>
                <w:rFonts w:ascii="Times New Roman" w:hAnsi="Times New Roman" w:cs="Times New Roman"/>
                <w:i/>
                <w:iCs/>
                <w:sz w:val="15"/>
                <w:szCs w:val="15"/>
              </w:rPr>
              <w:t>H</w:t>
            </w:r>
            <w:r>
              <w:rPr>
                <w:rFonts w:ascii="Times New Roman" w:hAnsi="Times New Roman" w:cs="Times New Roman"/>
                <w:i/>
                <w:iCs/>
                <w:sz w:val="15"/>
                <w:szCs w:val="15"/>
                <w:vertAlign w:val="subscript"/>
              </w:rPr>
              <w:t xml:space="preserve">min 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>are the highest and lowest values of elevation in the area(m);</w:t>
            </w:r>
            <w:r>
              <w:rPr>
                <w:rFonts w:ascii="Times New Roman" w:hAnsi="Times New Roman" w:cs="Times New Roman"/>
                <w:i/>
                <w:iCs/>
                <w:sz w:val="15"/>
                <w:szCs w:val="15"/>
              </w:rPr>
              <w:t>P(A)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>is the area of flat land in the area,and the area with a slope less than 5° is determined as flat land(km</w:t>
            </w:r>
            <w:r>
              <w:rPr>
                <w:rFonts w:ascii="Times New Roman" w:hAnsi="Times New Roman" w:cs="Times New Roman"/>
                <w:sz w:val="15"/>
                <w:szCs w:val="15"/>
                <w:vertAlign w:val="superscript"/>
              </w:rPr>
              <w:t>2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>)</w:t>
            </w:r>
            <w:r>
              <w:rPr>
                <w:rFonts w:ascii="Times New Roman" w:hAnsi="Times New Roman" w:cs="Times New Roman"/>
                <w:i/>
                <w:iCs/>
                <w:sz w:val="15"/>
                <w:szCs w:val="15"/>
              </w:rPr>
              <w:t xml:space="preserve">A 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 xml:space="preserve">is the total area of the 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>area(km</w:t>
            </w:r>
            <w:r>
              <w:rPr>
                <w:rFonts w:ascii="Times New Roman" w:hAnsi="Times New Roman" w:cs="Times New Roman"/>
                <w:sz w:val="15"/>
                <w:szCs w:val="15"/>
                <w:vertAlign w:val="superscript"/>
              </w:rPr>
              <w:t>2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>).</w:t>
            </w:r>
          </w:p>
        </w:tc>
      </w:tr>
      <w:tr w:rsidR="00685AFB" w14:paraId="53ECFD0C" w14:textId="77777777">
        <w:trPr>
          <w:jc w:val="center"/>
        </w:trPr>
        <w:tc>
          <w:tcPr>
            <w:tcW w:w="1013" w:type="dxa"/>
            <w:vAlign w:val="center"/>
          </w:tcPr>
          <w:p w14:paraId="71C1126D" w14:textId="77777777" w:rsidR="00685AFB" w:rsidRDefault="00CA085F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Normalized difference vegetation index</w:t>
            </w:r>
          </w:p>
        </w:tc>
        <w:tc>
          <w:tcPr>
            <w:tcW w:w="3058" w:type="dxa"/>
            <w:vAlign w:val="center"/>
          </w:tcPr>
          <w:p w14:paraId="16ECCE58" w14:textId="77777777" w:rsidR="00685AFB" w:rsidRDefault="00CA085F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bCs/>
                <w:noProof/>
                <w:position w:val="-10"/>
                <w:sz w:val="15"/>
                <w:szCs w:val="15"/>
              </w:rPr>
              <w:object w:dxaOrig="2073" w:dyaOrig="246" w14:anchorId="6FDF50DD">
                <v:shape id="_x0000_i1032" type="#_x0000_t75" alt="" style="width:103.6pt;height:12.5pt;mso-width-percent:0;mso-height-percent:0;mso-width-percent:0;mso-height-percent:0" o:ole="">
                  <v:imagedata r:id="rId7" o:title=""/>
                </v:shape>
                <o:OLEObject Type="Embed" ProgID="Equation.KSEE3" ShapeID="_x0000_i1032" DrawAspect="Content" ObjectID="_1676384014" r:id="rId8"/>
              </w:object>
            </w:r>
          </w:p>
        </w:tc>
        <w:tc>
          <w:tcPr>
            <w:tcW w:w="4451" w:type="dxa"/>
          </w:tcPr>
          <w:p w14:paraId="15B4CB6E" w14:textId="77777777" w:rsidR="00685AFB" w:rsidRDefault="00CA085F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i/>
                <w:iCs/>
                <w:sz w:val="15"/>
                <w:szCs w:val="15"/>
              </w:rPr>
              <w:t xml:space="preserve">NIR 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>is the far-infrared reflectance value of MODIS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>，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 xml:space="preserve">R is the reflectivity value of the near infrared band,the standardized </w:t>
            </w:r>
            <w:r>
              <w:rPr>
                <w:rFonts w:ascii="Times New Roman" w:hAnsi="Times New Roman" w:cs="Times New Roman"/>
                <w:i/>
                <w:iCs/>
                <w:sz w:val="15"/>
                <w:szCs w:val="15"/>
              </w:rPr>
              <w:t>NDVI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 xml:space="preserve"> value range is 0-100.</w:t>
            </w:r>
          </w:p>
        </w:tc>
      </w:tr>
      <w:tr w:rsidR="00685AFB" w14:paraId="0B361518" w14:textId="77777777">
        <w:trPr>
          <w:jc w:val="center"/>
        </w:trPr>
        <w:tc>
          <w:tcPr>
            <w:tcW w:w="1013" w:type="dxa"/>
            <w:vAlign w:val="center"/>
          </w:tcPr>
          <w:p w14:paraId="45B49724" w14:textId="77777777" w:rsidR="00685AFB" w:rsidRDefault="00CA085F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Hydrology index</w:t>
            </w:r>
          </w:p>
        </w:tc>
        <w:tc>
          <w:tcPr>
            <w:tcW w:w="3058" w:type="dxa"/>
            <w:vAlign w:val="center"/>
          </w:tcPr>
          <w:p w14:paraId="3C171B7E" w14:textId="77777777" w:rsidR="00685AFB" w:rsidRDefault="00CA085F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noProof/>
                <w:position w:val="-14"/>
                <w:sz w:val="15"/>
                <w:szCs w:val="15"/>
              </w:rPr>
              <w:object w:dxaOrig="1205" w:dyaOrig="283" w14:anchorId="36951059">
                <v:shape id="_x0000_i1031" type="#_x0000_t75" alt="" style="width:60.25pt;height:13.95pt;mso-width-percent:0;mso-height-percent:0;mso-width-percent:0;mso-height-percent:0" o:ole="">
                  <v:imagedata r:id="rId9" o:title=""/>
                </v:shape>
                <o:OLEObject Type="Embed" ProgID="Equation.KSEE3" ShapeID="_x0000_i1031" DrawAspect="Content" ObjectID="_1676384015" r:id="rId10"/>
              </w:object>
            </w:r>
          </w:p>
        </w:tc>
        <w:tc>
          <w:tcPr>
            <w:tcW w:w="4451" w:type="dxa"/>
          </w:tcPr>
          <w:p w14:paraId="5D867B53" w14:textId="77777777" w:rsidR="00685AFB" w:rsidRDefault="00CA085F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i/>
                <w:iCs/>
                <w:sz w:val="15"/>
                <w:szCs w:val="15"/>
              </w:rPr>
              <w:t xml:space="preserve">HI 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 xml:space="preserve">is the 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>h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>ydrology index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>;</w:t>
            </w:r>
            <w:r>
              <w:rPr>
                <w:rFonts w:ascii="Times New Roman" w:hAnsi="Times New Roman" w:cs="Times New Roman"/>
                <w:i/>
                <w:iCs/>
                <w:sz w:val="15"/>
                <w:szCs w:val="15"/>
              </w:rPr>
              <w:t xml:space="preserve">P 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 xml:space="preserve">is the average annual 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>precipitation;</w:t>
            </w:r>
            <w:r>
              <w:rPr>
                <w:rFonts w:ascii="Times New Roman" w:hAnsi="Times New Roman" w:cs="Times New Roman"/>
                <w:i/>
                <w:iCs/>
                <w:sz w:val="15"/>
                <w:szCs w:val="15"/>
              </w:rPr>
              <w:t>W</w:t>
            </w:r>
            <w:r>
              <w:rPr>
                <w:rFonts w:ascii="Times New Roman" w:hAnsi="Times New Roman" w:cs="Times New Roman"/>
                <w:i/>
                <w:iCs/>
                <w:sz w:val="15"/>
                <w:szCs w:val="15"/>
                <w:vertAlign w:val="subscript"/>
              </w:rPr>
              <w:t>a</w:t>
            </w:r>
            <w:r>
              <w:rPr>
                <w:rFonts w:ascii="Times New Roman" w:hAnsi="Times New Roman" w:cs="Times New Roman"/>
                <w:i/>
                <w:iCs/>
                <w:sz w:val="15"/>
                <w:szCs w:val="15"/>
              </w:rPr>
              <w:t xml:space="preserve"> is 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>normalized water area;</w:t>
            </w:r>
            <w:r>
              <w:rPr>
                <w:rFonts w:ascii="Times New Roman" w:hAnsi="Times New Roman" w:cs="Times New Roman"/>
                <w:i/>
                <w:iCs/>
                <w:sz w:val="15"/>
                <w:szCs w:val="15"/>
              </w:rPr>
              <w:t>α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 xml:space="preserve"> and </w:t>
            </w:r>
            <w:r>
              <w:rPr>
                <w:rFonts w:ascii="Times New Roman" w:hAnsi="Times New Roman" w:cs="Times New Roman"/>
                <w:i/>
                <w:iCs/>
                <w:sz w:val="15"/>
                <w:szCs w:val="15"/>
              </w:rPr>
              <w:t xml:space="preserve">β 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 xml:space="preserve">are the weights of the average annual precipitation and water area respectively, the value of </w:t>
            </w:r>
            <w:r>
              <w:rPr>
                <w:rFonts w:ascii="Times New Roman" w:hAnsi="Times New Roman" w:cs="Times New Roman"/>
                <w:i/>
                <w:iCs/>
                <w:sz w:val="15"/>
                <w:szCs w:val="15"/>
              </w:rPr>
              <w:t xml:space="preserve">α 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 xml:space="preserve">is 0.81,the value of </w:t>
            </w:r>
            <w:r>
              <w:rPr>
                <w:rFonts w:ascii="Times New Roman" w:hAnsi="Times New Roman" w:cs="Times New Roman"/>
                <w:i/>
                <w:iCs/>
                <w:sz w:val="15"/>
                <w:szCs w:val="15"/>
              </w:rPr>
              <w:t>β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 xml:space="preserve"> is 0.22.</w:t>
            </w:r>
          </w:p>
        </w:tc>
      </w:tr>
      <w:tr w:rsidR="00685AFB" w14:paraId="22EE4371" w14:textId="77777777">
        <w:trPr>
          <w:jc w:val="center"/>
        </w:trPr>
        <w:tc>
          <w:tcPr>
            <w:tcW w:w="1013" w:type="dxa"/>
            <w:tcBorders>
              <w:bottom w:val="single" w:sz="4" w:space="0" w:color="auto"/>
            </w:tcBorders>
            <w:vAlign w:val="center"/>
          </w:tcPr>
          <w:p w14:paraId="34D3E973" w14:textId="77777777" w:rsidR="00685AFB" w:rsidRDefault="00CA085F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Temperature and humidity index</w:t>
            </w:r>
          </w:p>
        </w:tc>
        <w:tc>
          <w:tcPr>
            <w:tcW w:w="3058" w:type="dxa"/>
            <w:tcBorders>
              <w:bottom w:val="single" w:sz="4" w:space="0" w:color="auto"/>
            </w:tcBorders>
            <w:vAlign w:val="center"/>
          </w:tcPr>
          <w:p w14:paraId="40AFAF4D" w14:textId="77777777" w:rsidR="00685AFB" w:rsidRDefault="00CA085F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noProof/>
                <w:position w:val="-10"/>
                <w:sz w:val="15"/>
                <w:szCs w:val="15"/>
              </w:rPr>
              <w:object w:dxaOrig="2135" w:dyaOrig="241" w14:anchorId="2F4B4140">
                <v:shape id="_x0000_i1030" type="#_x0000_t75" alt="" style="width:106.55pt;height:11.75pt;mso-width-percent:0;mso-height-percent:0;mso-width-percent:0;mso-height-percent:0" o:ole="">
                  <v:imagedata r:id="rId11" o:title=""/>
                </v:shape>
                <o:OLEObject Type="Embed" ProgID="Equation.KSEE3" ShapeID="_x0000_i1030" DrawAspect="Content" ObjectID="_1676384016" r:id="rId12"/>
              </w:object>
            </w:r>
          </w:p>
        </w:tc>
        <w:tc>
          <w:tcPr>
            <w:tcW w:w="4451" w:type="dxa"/>
            <w:tcBorders>
              <w:bottom w:val="single" w:sz="4" w:space="0" w:color="auto"/>
            </w:tcBorders>
          </w:tcPr>
          <w:p w14:paraId="2EE5049A" w14:textId="77777777" w:rsidR="00685AFB" w:rsidRDefault="00CA085F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i/>
                <w:iCs/>
                <w:sz w:val="15"/>
                <w:szCs w:val="15"/>
              </w:rPr>
              <w:t xml:space="preserve">HTI 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 xml:space="preserve">is 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>temperature and humidity index,</w:t>
            </w:r>
            <w:r>
              <w:rPr>
                <w:rFonts w:ascii="Times New Roman" w:hAnsi="Times New Roman" w:cs="Times New Roman"/>
                <w:i/>
                <w:iCs/>
                <w:sz w:val="15"/>
                <w:szCs w:val="15"/>
              </w:rPr>
              <w:t>t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 xml:space="preserve"> is monthly temperature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>（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>℃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>），</w:t>
            </w:r>
            <w:r>
              <w:rPr>
                <w:rFonts w:ascii="Times New Roman" w:hAnsi="Times New Roman" w:cs="Times New Roman"/>
                <w:noProof/>
                <w:sz w:val="15"/>
                <w:szCs w:val="15"/>
              </w:rPr>
              <w:object w:dxaOrig="148" w:dyaOrig="200" w14:anchorId="7718F9A3">
                <v:shape id="_x0000_i1029" type="#_x0000_t75" alt="" style="width:7.35pt;height:10.3pt;mso-width-percent:0;mso-height-percent:0;mso-width-percent:0;mso-height-percent:0" o:ole="">
                  <v:imagedata r:id="rId13" o:title=""/>
                </v:shape>
                <o:OLEObject Type="Embed" ProgID="Equation.KSEE3" ShapeID="_x0000_i1029" DrawAspect="Content" ObjectID="_1676384017" r:id="rId14"/>
              </w:object>
            </w:r>
            <w:r>
              <w:rPr>
                <w:rFonts w:ascii="Times New Roman" w:hAnsi="Times New Roman" w:cs="Times New Roman"/>
                <w:sz w:val="15"/>
                <w:szCs w:val="15"/>
              </w:rPr>
              <w:t>is the monthly average relative humidity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>（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>%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>）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>.</w:t>
            </w:r>
          </w:p>
        </w:tc>
      </w:tr>
    </w:tbl>
    <w:p w14:paraId="299E0212" w14:textId="77777777" w:rsidR="00685AFB" w:rsidRDefault="00685AFB"/>
    <w:p w14:paraId="2DC232F9" w14:textId="77777777" w:rsidR="00685AFB" w:rsidRDefault="00685AFB">
      <w:pPr>
        <w:jc w:val="center"/>
      </w:pPr>
    </w:p>
    <w:p w14:paraId="0E2A4A69" w14:textId="77777777" w:rsidR="00685AFB" w:rsidRDefault="00CA085F">
      <w:pPr>
        <w:pStyle w:val="Heading1"/>
        <w:spacing w:before="0" w:after="0" w:line="240" w:lineRule="auto"/>
        <w:jc w:val="center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 xml:space="preserve">Table </w:t>
      </w:r>
      <w:r>
        <w:rPr>
          <w:rFonts w:ascii="Times New Roman" w:hAnsi="Times New Roman" w:cs="Times New Roman" w:hint="eastAsia"/>
          <w:sz w:val="18"/>
          <w:szCs w:val="18"/>
        </w:rPr>
        <w:t>2</w:t>
      </w:r>
      <w:r>
        <w:rPr>
          <w:rFonts w:ascii="Times New Roman" w:hAnsi="Times New Roman" w:cs="Times New Roman"/>
          <w:sz w:val="18"/>
          <w:szCs w:val="18"/>
        </w:rPr>
        <w:t xml:space="preserve"> </w:t>
      </w:r>
      <w:r>
        <w:rPr>
          <w:rFonts w:ascii="Times New Roman" w:hAnsi="Times New Roman" w:cs="Times New Roman"/>
          <w:b w:val="0"/>
          <w:bCs/>
          <w:sz w:val="18"/>
          <w:szCs w:val="18"/>
        </w:rPr>
        <w:t>Measure indicator system of humanistic suitability of human settlements</w:t>
      </w:r>
    </w:p>
    <w:tbl>
      <w:tblPr>
        <w:tblStyle w:val="TableGrid"/>
        <w:tblW w:w="0" w:type="auto"/>
        <w:jc w:val="center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top w:w="0" w:type="dxa"/>
          <w:left w:w="108" w:type="dxa"/>
          <w:bottom w:w="0" w:type="dxa"/>
          <w:right w:w="108" w:type="dxa"/>
        </w:tblCellMar>
        <w:tblLook w:val="04A0" w:firstRow="1" w:lastRow="0" w:firstColumn="1" w:lastColumn="0" w:noHBand="0" w:noVBand="1"/>
      </w:tblPr>
      <w:tblGrid>
        <w:gridCol w:w="990"/>
        <w:gridCol w:w="3473"/>
        <w:gridCol w:w="4059"/>
      </w:tblGrid>
      <w:tr w:rsidR="00685AFB" w14:paraId="1D5EA80A" w14:textId="77777777">
        <w:trPr>
          <w:jc w:val="center"/>
        </w:trPr>
        <w:tc>
          <w:tcPr>
            <w:tcW w:w="990" w:type="dxa"/>
            <w:tcBorders>
              <w:top w:val="single" w:sz="4" w:space="0" w:color="auto"/>
              <w:bottom w:val="single" w:sz="4" w:space="0" w:color="auto"/>
            </w:tcBorders>
          </w:tcPr>
          <w:p w14:paraId="07754A5B" w14:textId="77777777" w:rsidR="00685AFB" w:rsidRDefault="00CA085F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Measure indicator</w:t>
            </w:r>
          </w:p>
        </w:tc>
        <w:tc>
          <w:tcPr>
            <w:tcW w:w="3473" w:type="dxa"/>
            <w:tcBorders>
              <w:top w:val="single" w:sz="4" w:space="0" w:color="auto"/>
              <w:bottom w:val="single" w:sz="4" w:space="0" w:color="auto"/>
            </w:tcBorders>
          </w:tcPr>
          <w:p w14:paraId="39B23EFB" w14:textId="77777777" w:rsidR="00685AFB" w:rsidRDefault="00CA085F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 xml:space="preserve">Calculation 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>formula</w:t>
            </w:r>
          </w:p>
        </w:tc>
        <w:tc>
          <w:tcPr>
            <w:tcW w:w="4059" w:type="dxa"/>
            <w:tcBorders>
              <w:top w:val="single" w:sz="4" w:space="0" w:color="auto"/>
              <w:bottom w:val="single" w:sz="4" w:space="0" w:color="auto"/>
            </w:tcBorders>
          </w:tcPr>
          <w:p w14:paraId="0626E653" w14:textId="77777777" w:rsidR="00685AFB" w:rsidRDefault="00CA085F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Parameter Description</w:t>
            </w:r>
          </w:p>
        </w:tc>
      </w:tr>
      <w:tr w:rsidR="00685AFB" w14:paraId="004F6AE9" w14:textId="77777777">
        <w:trPr>
          <w:jc w:val="center"/>
        </w:trPr>
        <w:tc>
          <w:tcPr>
            <w:tcW w:w="990" w:type="dxa"/>
            <w:tcBorders>
              <w:top w:val="single" w:sz="4" w:space="0" w:color="auto"/>
            </w:tcBorders>
            <w:vAlign w:val="center"/>
          </w:tcPr>
          <w:p w14:paraId="53614FB7" w14:textId="77777777" w:rsidR="00685AFB" w:rsidRDefault="00CA085F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Land cover index</w:t>
            </w:r>
          </w:p>
        </w:tc>
        <w:tc>
          <w:tcPr>
            <w:tcW w:w="3473" w:type="dxa"/>
            <w:tcBorders>
              <w:top w:val="single" w:sz="4" w:space="0" w:color="auto"/>
            </w:tcBorders>
            <w:vAlign w:val="center"/>
          </w:tcPr>
          <w:p w14:paraId="573BEF47" w14:textId="77777777" w:rsidR="00685AFB" w:rsidRDefault="00CA085F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bCs/>
                <w:noProof/>
                <w:position w:val="-18"/>
                <w:sz w:val="15"/>
                <w:szCs w:val="15"/>
              </w:rPr>
              <w:object w:dxaOrig="1656" w:dyaOrig="306" w14:anchorId="3D6B4A9B">
                <v:shape id="_x0000_i1028" type="#_x0000_t75" alt="" style="width:83pt;height:15.45pt;mso-width-percent:0;mso-height-percent:0;mso-width-percent:0;mso-height-percent:0" o:ole="">
                  <v:imagedata r:id="rId15" o:title=""/>
                </v:shape>
                <o:OLEObject Type="Embed" ProgID="Equation.KSEE3" ShapeID="_x0000_i1028" DrawAspect="Content" ObjectID="_1676384018" r:id="rId16"/>
              </w:object>
            </w:r>
          </w:p>
        </w:tc>
        <w:tc>
          <w:tcPr>
            <w:tcW w:w="4059" w:type="dxa"/>
            <w:tcBorders>
              <w:top w:val="single" w:sz="4" w:space="0" w:color="auto"/>
            </w:tcBorders>
            <w:vAlign w:val="center"/>
          </w:tcPr>
          <w:p w14:paraId="315761CB" w14:textId="77777777" w:rsidR="00685AFB" w:rsidRDefault="00CA085F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bCs/>
                <w:i/>
                <w:iCs/>
                <w:sz w:val="15"/>
                <w:szCs w:val="15"/>
              </w:rPr>
              <w:t xml:space="preserve">LCI </w:t>
            </w:r>
            <w:r>
              <w:rPr>
                <w:rFonts w:ascii="Times New Roman" w:hAnsi="Times New Roman" w:cs="Times New Roman"/>
                <w:bCs/>
                <w:sz w:val="15"/>
                <w:szCs w:val="15"/>
              </w:rPr>
              <w:t xml:space="preserve">is land cover index; </w:t>
            </w:r>
            <w:r>
              <w:rPr>
                <w:rFonts w:ascii="Times New Roman" w:hAnsi="Times New Roman" w:cs="Times New Roman"/>
                <w:bCs/>
                <w:i/>
                <w:iCs/>
                <w:sz w:val="15"/>
                <w:szCs w:val="15"/>
              </w:rPr>
              <w:t>LT</w:t>
            </w:r>
            <w:r>
              <w:rPr>
                <w:rFonts w:ascii="Times New Roman" w:hAnsi="Times New Roman" w:cs="Times New Roman"/>
                <w:bCs/>
                <w:i/>
                <w:iCs/>
                <w:sz w:val="15"/>
                <w:szCs w:val="15"/>
                <w:vertAlign w:val="subscript"/>
              </w:rPr>
              <w:t>i</w:t>
            </w:r>
            <w:r>
              <w:rPr>
                <w:rFonts w:ascii="Times New Roman" w:hAnsi="Times New Roman" w:cs="Times New Roman"/>
                <w:bCs/>
                <w:sz w:val="15"/>
                <w:szCs w:val="15"/>
              </w:rPr>
              <w:t xml:space="preserve"> is the weight of each land use type,</w:t>
            </w:r>
            <w:r>
              <w:rPr>
                <w:rFonts w:ascii="Times New Roman" w:hAnsi="Times New Roman" w:cs="Times New Roman"/>
                <w:bCs/>
                <w:i/>
                <w:iCs/>
                <w:sz w:val="15"/>
                <w:szCs w:val="15"/>
              </w:rPr>
              <w:t xml:space="preserve">i </w:t>
            </w:r>
            <w:r>
              <w:rPr>
                <w:rFonts w:ascii="Times New Roman" w:hAnsi="Times New Roman" w:cs="Times New Roman"/>
                <w:bCs/>
                <w:sz w:val="15"/>
                <w:szCs w:val="15"/>
              </w:rPr>
              <w:t>= 1,2,</w:t>
            </w:r>
            <w:r>
              <w:rPr>
                <w:rFonts w:ascii="Times New Roman" w:eastAsiaTheme="majorEastAsia" w:hAnsi="Times New Roman" w:cs="Times New Roman"/>
                <w:bCs/>
                <w:sz w:val="15"/>
                <w:szCs w:val="15"/>
              </w:rPr>
              <w:t>…</w:t>
            </w:r>
            <w:r>
              <w:rPr>
                <w:rFonts w:ascii="Times New Roman" w:hAnsi="Times New Roman" w:cs="Times New Roman"/>
                <w:bCs/>
                <w:sz w:val="15"/>
                <w:szCs w:val="15"/>
              </w:rPr>
              <w:t xml:space="preserve">,18,they represent 18 second land use types, referring to previous research results </w:t>
            </w:r>
            <w:r>
              <w:rPr>
                <w:rFonts w:ascii="Times New Roman" w:hAnsi="Times New Roman" w:cs="Times New Roman"/>
                <w:bCs/>
                <w:sz w:val="15"/>
                <w:szCs w:val="15"/>
              </w:rPr>
              <w:fldChar w:fldCharType="begin"/>
            </w:r>
            <w:r>
              <w:rPr>
                <w:rFonts w:ascii="Times New Roman" w:hAnsi="Times New Roman" w:cs="Times New Roman"/>
                <w:bCs/>
                <w:sz w:val="15"/>
                <w:szCs w:val="15"/>
              </w:rPr>
              <w:instrText xml:space="preserve"> ADDIN NE.Ref.{2234AA4B-7116-470B-A095-90493378AF24}</w:instrText>
            </w:r>
            <w:r>
              <w:rPr>
                <w:rFonts w:ascii="Times New Roman" w:hAnsi="Times New Roman" w:cs="Times New Roman"/>
                <w:bCs/>
                <w:sz w:val="15"/>
                <w:szCs w:val="15"/>
              </w:rPr>
              <w:fldChar w:fldCharType="separate"/>
            </w:r>
            <w:r>
              <w:rPr>
                <w:rFonts w:ascii="Times New Roman" w:eastAsia="Times New Roman" w:hAnsi="Times New Roman" w:cs="Times New Roman"/>
                <w:color w:val="080000"/>
                <w:sz w:val="15"/>
              </w:rPr>
              <w:t>(Maimaiti et al. 2017)</w:t>
            </w:r>
            <w:r>
              <w:rPr>
                <w:rFonts w:ascii="Times New Roman" w:hAnsi="Times New Roman" w:cs="Times New Roman"/>
                <w:bCs/>
                <w:sz w:val="15"/>
                <w:szCs w:val="15"/>
              </w:rPr>
              <w:fldChar w:fldCharType="end"/>
            </w:r>
            <w:r>
              <w:rPr>
                <w:rFonts w:ascii="Times New Roman" w:hAnsi="Times New Roman" w:cs="Times New Roman"/>
                <w:bCs/>
                <w:sz w:val="15"/>
                <w:szCs w:val="15"/>
              </w:rPr>
              <w:t>,combined with the actual land use conditions in Liaoning Province to get the weights (Table 4)</w:t>
            </w:r>
            <w:r>
              <w:rPr>
                <w:rFonts w:ascii="Times New Roman" w:hAnsi="Times New Roman" w:cs="Times New Roman"/>
                <w:bCs/>
                <w:sz w:val="15"/>
                <w:szCs w:val="15"/>
              </w:rPr>
              <w:t xml:space="preserve">. </w:t>
            </w:r>
            <w:r>
              <w:rPr>
                <w:rFonts w:ascii="Times New Roman" w:hAnsi="Times New Roman" w:cs="Times New Roman"/>
                <w:bCs/>
                <w:i/>
                <w:iCs/>
                <w:sz w:val="15"/>
                <w:szCs w:val="15"/>
              </w:rPr>
              <w:t xml:space="preserve">NDVI </w:t>
            </w:r>
            <w:r>
              <w:rPr>
                <w:rFonts w:ascii="Times New Roman" w:hAnsi="Times New Roman" w:cs="Times New Roman"/>
                <w:bCs/>
                <w:sz w:val="15"/>
                <w:szCs w:val="15"/>
              </w:rPr>
              <w:t xml:space="preserve">is the regional normalized 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 xml:space="preserve">difference </w:t>
            </w:r>
            <w:r>
              <w:rPr>
                <w:rFonts w:ascii="Times New Roman" w:hAnsi="Times New Roman" w:cs="Times New Roman"/>
                <w:bCs/>
                <w:sz w:val="15"/>
                <w:szCs w:val="15"/>
              </w:rPr>
              <w:t>vegetation index of Liaoning Province, which is obtained by processing the MODIS vegetation index digital image (MYD13Q1, a composite product of the 250m vegetation index for 16 days).</w:t>
            </w:r>
          </w:p>
        </w:tc>
      </w:tr>
      <w:tr w:rsidR="00685AFB" w14:paraId="6025E0BF" w14:textId="77777777">
        <w:trPr>
          <w:jc w:val="center"/>
        </w:trPr>
        <w:tc>
          <w:tcPr>
            <w:tcW w:w="990" w:type="dxa"/>
            <w:vAlign w:val="center"/>
          </w:tcPr>
          <w:p w14:paraId="01C52F09" w14:textId="77777777" w:rsidR="00685AFB" w:rsidRDefault="00CA085F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 xml:space="preserve">Nighttime light 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>index</w:t>
            </w:r>
          </w:p>
        </w:tc>
        <w:tc>
          <w:tcPr>
            <w:tcW w:w="3473" w:type="dxa"/>
            <w:vAlign w:val="center"/>
          </w:tcPr>
          <w:p w14:paraId="04AA1D34" w14:textId="77777777" w:rsidR="00685AFB" w:rsidRDefault="00CA085F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ENVI, ArcGIS10.2 spatial processing</w:t>
            </w:r>
          </w:p>
        </w:tc>
        <w:tc>
          <w:tcPr>
            <w:tcW w:w="4059" w:type="dxa"/>
            <w:vAlign w:val="center"/>
          </w:tcPr>
          <w:p w14:paraId="0D2F06D5" w14:textId="77777777" w:rsidR="00685AFB" w:rsidRDefault="00CA085F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bCs/>
                <w:sz w:val="15"/>
                <w:szCs w:val="15"/>
              </w:rPr>
              <w:t>The gray value range is 0~63.</w:t>
            </w:r>
          </w:p>
        </w:tc>
      </w:tr>
      <w:tr w:rsidR="00685AFB" w14:paraId="4F0DAB4F" w14:textId="77777777">
        <w:trPr>
          <w:jc w:val="center"/>
        </w:trPr>
        <w:tc>
          <w:tcPr>
            <w:tcW w:w="990" w:type="dxa"/>
            <w:vAlign w:val="center"/>
          </w:tcPr>
          <w:p w14:paraId="282BECE5" w14:textId="77777777" w:rsidR="00685AFB" w:rsidRDefault="00CA085F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Land traffic accessibility index</w:t>
            </w:r>
          </w:p>
        </w:tc>
        <w:tc>
          <w:tcPr>
            <w:tcW w:w="3473" w:type="dxa"/>
            <w:vAlign w:val="center"/>
          </w:tcPr>
          <w:p w14:paraId="382BE5C2" w14:textId="77777777" w:rsidR="00685AFB" w:rsidRDefault="00CA085F">
            <w:pPr>
              <w:jc w:val="center"/>
              <w:rPr>
                <w:rFonts w:ascii="Times New Roman" w:hAnsi="Times New Roman" w:cs="Times New Roman"/>
                <w:bCs/>
                <w:position w:val="-64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bCs/>
                <w:noProof/>
                <w:position w:val="-64"/>
                <w:sz w:val="15"/>
                <w:szCs w:val="15"/>
              </w:rPr>
              <w:object w:dxaOrig="1349" w:dyaOrig="964" w14:anchorId="73C0671C">
                <v:shape id="_x0000_i1027" type="#_x0000_t75" alt="" style="width:67.6pt;height:48.5pt;mso-width-percent:0;mso-height-percent:0;mso-width-percent:0;mso-height-percent:0" o:ole="">
                  <v:imagedata r:id="rId17" o:title=""/>
                </v:shape>
                <o:OLEObject Type="Embed" ProgID="Equation.KSEE3" ShapeID="_x0000_i1027" DrawAspect="Content" ObjectID="_1676384019" r:id="rId18"/>
              </w:object>
            </w:r>
          </w:p>
          <w:p w14:paraId="071A11C8" w14:textId="77777777" w:rsidR="00685AFB" w:rsidRDefault="00CA085F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bCs/>
                <w:noProof/>
                <w:position w:val="-20"/>
                <w:sz w:val="15"/>
                <w:szCs w:val="15"/>
              </w:rPr>
              <w:object w:dxaOrig="974" w:dyaOrig="277" w14:anchorId="408F8F7D">
                <v:shape id="_x0000_i1026" type="#_x0000_t75" alt="" style="width:48.5pt;height:13.95pt;mso-width-percent:0;mso-height-percent:0;mso-width-percent:0;mso-height-percent:0" o:ole="">
                  <v:imagedata r:id="rId19" o:title=""/>
                </v:shape>
                <o:OLEObject Type="Embed" ProgID="Equation.KSEE3" ShapeID="_x0000_i1026" DrawAspect="Content" ObjectID="_1676384020" r:id="rId20"/>
              </w:object>
            </w:r>
          </w:p>
        </w:tc>
        <w:tc>
          <w:tcPr>
            <w:tcW w:w="4059" w:type="dxa"/>
            <w:vAlign w:val="center"/>
          </w:tcPr>
          <w:p w14:paraId="0E28D204" w14:textId="77777777" w:rsidR="00685AFB" w:rsidRDefault="00CA085F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bCs/>
                <w:i/>
                <w:iCs/>
                <w:sz w:val="15"/>
                <w:szCs w:val="15"/>
              </w:rPr>
              <w:t>A</w:t>
            </w:r>
            <w:r>
              <w:rPr>
                <w:rFonts w:ascii="Times New Roman" w:hAnsi="Times New Roman" w:cs="Times New Roman"/>
                <w:bCs/>
                <w:i/>
                <w:iCs/>
                <w:sz w:val="15"/>
                <w:szCs w:val="15"/>
                <w:vertAlign w:val="subscript"/>
              </w:rPr>
              <w:t xml:space="preserve">i </w:t>
            </w:r>
            <w:r>
              <w:rPr>
                <w:rFonts w:ascii="Times New Roman" w:hAnsi="Times New Roman" w:cs="Times New Roman"/>
                <w:bCs/>
                <w:sz w:val="15"/>
                <w:szCs w:val="15"/>
              </w:rPr>
              <w:t>is the weighted average travel time of node</w:t>
            </w:r>
            <w:r>
              <w:rPr>
                <w:rFonts w:ascii="Times New Roman" w:hAnsi="Times New Roman" w:cs="Times New Roman"/>
                <w:bCs/>
                <w:i/>
                <w:iCs/>
                <w:sz w:val="15"/>
                <w:szCs w:val="15"/>
              </w:rPr>
              <w:t xml:space="preserve"> i</w:t>
            </w:r>
            <w:r>
              <w:rPr>
                <w:rFonts w:ascii="Times New Roman" w:hAnsi="Times New Roman" w:cs="Times New Roman"/>
                <w:bCs/>
                <w:sz w:val="15"/>
                <w:szCs w:val="15"/>
              </w:rPr>
              <w:t>,</w:t>
            </w:r>
            <w:proofErr w:type="gramStart"/>
            <w:r>
              <w:rPr>
                <w:rFonts w:ascii="Times New Roman" w:hAnsi="Times New Roman" w:cs="Times New Roman"/>
                <w:bCs/>
                <w:sz w:val="15"/>
                <w:szCs w:val="15"/>
              </w:rPr>
              <w:t>The</w:t>
            </w:r>
            <w:proofErr w:type="gramEnd"/>
            <w:r>
              <w:rPr>
                <w:rFonts w:ascii="Times New Roman" w:hAnsi="Times New Roman" w:cs="Times New Roman"/>
                <w:bCs/>
                <w:sz w:val="15"/>
                <w:szCs w:val="15"/>
              </w:rPr>
              <w:t xml:space="preserve"> smaller the value of </w:t>
            </w:r>
            <w:r>
              <w:rPr>
                <w:rFonts w:ascii="Times New Roman" w:hAnsi="Times New Roman" w:cs="Times New Roman"/>
                <w:bCs/>
                <w:i/>
                <w:iCs/>
                <w:sz w:val="15"/>
                <w:szCs w:val="15"/>
              </w:rPr>
              <w:t>A</w:t>
            </w:r>
            <w:r>
              <w:rPr>
                <w:rFonts w:ascii="Times New Roman" w:hAnsi="Times New Roman" w:cs="Times New Roman"/>
                <w:bCs/>
                <w:i/>
                <w:iCs/>
                <w:sz w:val="15"/>
                <w:szCs w:val="15"/>
                <w:vertAlign w:val="subscript"/>
              </w:rPr>
              <w:t xml:space="preserve">i </w:t>
            </w:r>
            <w:r>
              <w:rPr>
                <w:rFonts w:ascii="Times New Roman" w:hAnsi="Times New Roman" w:cs="Times New Roman"/>
                <w:bCs/>
                <w:sz w:val="15"/>
                <w:szCs w:val="15"/>
              </w:rPr>
              <w:t>is the better ;</w:t>
            </w:r>
            <w:r>
              <w:rPr>
                <w:rFonts w:ascii="Times New Roman" w:hAnsi="Times New Roman" w:cs="Times New Roman"/>
                <w:bCs/>
                <w:i/>
                <w:iCs/>
                <w:sz w:val="15"/>
                <w:szCs w:val="15"/>
              </w:rPr>
              <w:t>T</w:t>
            </w:r>
            <w:r>
              <w:rPr>
                <w:rFonts w:ascii="Times New Roman" w:hAnsi="Times New Roman" w:cs="Times New Roman"/>
                <w:bCs/>
                <w:i/>
                <w:iCs/>
                <w:sz w:val="15"/>
                <w:szCs w:val="15"/>
                <w:vertAlign w:val="subscript"/>
              </w:rPr>
              <w:t>i</w:t>
            </w:r>
            <w:r>
              <w:rPr>
                <w:rFonts w:ascii="Times New Roman" w:hAnsi="Times New Roman" w:cs="Times New Roman"/>
                <w:bCs/>
                <w:sz w:val="15"/>
                <w:szCs w:val="15"/>
                <w:vertAlign w:val="subscript"/>
              </w:rPr>
              <w:t xml:space="preserve">j </w:t>
            </w:r>
            <w:r>
              <w:rPr>
                <w:rFonts w:ascii="Times New Roman" w:hAnsi="Times New Roman" w:cs="Times New Roman"/>
                <w:bCs/>
                <w:sz w:val="15"/>
                <w:szCs w:val="15"/>
              </w:rPr>
              <w:t xml:space="preserve">is the shortest travel time from node </w:t>
            </w:r>
            <w:r>
              <w:rPr>
                <w:rFonts w:ascii="Times New Roman" w:hAnsi="Times New Roman" w:cs="Times New Roman"/>
                <w:bCs/>
                <w:i/>
                <w:iCs/>
                <w:sz w:val="15"/>
                <w:szCs w:val="15"/>
              </w:rPr>
              <w:t xml:space="preserve">i </w:t>
            </w:r>
            <w:r>
              <w:rPr>
                <w:rFonts w:ascii="Times New Roman" w:hAnsi="Times New Roman" w:cs="Times New Roman"/>
                <w:bCs/>
                <w:sz w:val="15"/>
                <w:szCs w:val="15"/>
              </w:rPr>
              <w:t xml:space="preserve">to node </w:t>
            </w:r>
            <w:r>
              <w:rPr>
                <w:rFonts w:ascii="Times New Roman" w:hAnsi="Times New Roman" w:cs="Times New Roman"/>
                <w:bCs/>
                <w:i/>
                <w:iCs/>
                <w:sz w:val="15"/>
                <w:szCs w:val="15"/>
              </w:rPr>
              <w:t>j</w:t>
            </w:r>
            <w:r>
              <w:rPr>
                <w:rFonts w:ascii="Times New Roman" w:hAnsi="Times New Roman" w:cs="Times New Roman"/>
                <w:bCs/>
                <w:sz w:val="15"/>
                <w:szCs w:val="15"/>
              </w:rPr>
              <w:t>;</w:t>
            </w:r>
            <w:r>
              <w:rPr>
                <w:rFonts w:ascii="Times New Roman" w:hAnsi="Times New Roman" w:cs="Times New Roman"/>
                <w:bCs/>
                <w:i/>
                <w:iCs/>
                <w:sz w:val="15"/>
                <w:szCs w:val="15"/>
              </w:rPr>
              <w:t>M</w:t>
            </w:r>
            <w:r>
              <w:rPr>
                <w:rFonts w:ascii="Times New Roman" w:hAnsi="Times New Roman" w:cs="Times New Roman"/>
                <w:bCs/>
                <w:i/>
                <w:iCs/>
                <w:sz w:val="15"/>
                <w:szCs w:val="15"/>
                <w:vertAlign w:val="subscript"/>
              </w:rPr>
              <w:t xml:space="preserve">j </w:t>
            </w:r>
            <w:r>
              <w:rPr>
                <w:rFonts w:ascii="Times New Roman" w:hAnsi="Times New Roman" w:cs="Times New Roman"/>
                <w:bCs/>
                <w:sz w:val="15"/>
                <w:szCs w:val="15"/>
              </w:rPr>
              <w:t xml:space="preserve">is the weight of node </w:t>
            </w:r>
            <w:r>
              <w:rPr>
                <w:rFonts w:ascii="Times New Roman" w:hAnsi="Times New Roman" w:cs="Times New Roman"/>
                <w:bCs/>
                <w:i/>
                <w:iCs/>
                <w:sz w:val="15"/>
                <w:szCs w:val="15"/>
              </w:rPr>
              <w:t>j</w:t>
            </w:r>
            <w:r>
              <w:rPr>
                <w:rFonts w:ascii="Times New Roman" w:hAnsi="Times New Roman" w:cs="Times New Roman"/>
                <w:bCs/>
                <w:sz w:val="15"/>
                <w:szCs w:val="15"/>
              </w:rPr>
              <w:t>;</w:t>
            </w:r>
            <w:r>
              <w:rPr>
                <w:rFonts w:ascii="Times New Roman" w:hAnsi="Times New Roman" w:cs="Times New Roman"/>
                <w:bCs/>
                <w:i/>
                <w:iCs/>
                <w:sz w:val="15"/>
                <w:szCs w:val="15"/>
              </w:rPr>
              <w:t>P</w:t>
            </w:r>
            <w:r>
              <w:rPr>
                <w:rFonts w:ascii="Times New Roman" w:hAnsi="Times New Roman" w:cs="Times New Roman"/>
                <w:bCs/>
                <w:i/>
                <w:iCs/>
                <w:sz w:val="15"/>
                <w:szCs w:val="15"/>
                <w:vertAlign w:val="subscript"/>
              </w:rPr>
              <w:t xml:space="preserve">j </w:t>
            </w:r>
            <w:r>
              <w:rPr>
                <w:rFonts w:ascii="Times New Roman" w:hAnsi="Times New Roman" w:cs="Times New Roman"/>
                <w:bCs/>
                <w:sz w:val="15"/>
                <w:szCs w:val="15"/>
              </w:rPr>
              <w:t xml:space="preserve">is the total population of node </w:t>
            </w:r>
            <w:r>
              <w:rPr>
                <w:rFonts w:ascii="Times New Roman" w:hAnsi="Times New Roman" w:cs="Times New Roman"/>
                <w:bCs/>
                <w:i/>
                <w:iCs/>
                <w:sz w:val="15"/>
                <w:szCs w:val="15"/>
              </w:rPr>
              <w:t>j</w:t>
            </w:r>
            <w:r>
              <w:rPr>
                <w:rFonts w:ascii="Times New Roman" w:hAnsi="Times New Roman" w:cs="Times New Roman"/>
                <w:bCs/>
                <w:sz w:val="15"/>
                <w:szCs w:val="15"/>
              </w:rPr>
              <w:t>;</w:t>
            </w:r>
            <w:r>
              <w:rPr>
                <w:rFonts w:ascii="Times New Roman" w:hAnsi="Times New Roman" w:cs="Times New Roman"/>
                <w:bCs/>
                <w:i/>
                <w:iCs/>
                <w:sz w:val="15"/>
                <w:szCs w:val="15"/>
              </w:rPr>
              <w:t>G</w:t>
            </w:r>
            <w:r>
              <w:rPr>
                <w:rFonts w:ascii="Times New Roman" w:hAnsi="Times New Roman" w:cs="Times New Roman"/>
                <w:bCs/>
                <w:i/>
                <w:iCs/>
                <w:sz w:val="15"/>
                <w:szCs w:val="15"/>
                <w:vertAlign w:val="subscript"/>
              </w:rPr>
              <w:t xml:space="preserve">j </w:t>
            </w:r>
            <w:r>
              <w:rPr>
                <w:rFonts w:ascii="Times New Roman" w:hAnsi="Times New Roman" w:cs="Times New Roman"/>
                <w:bCs/>
                <w:sz w:val="15"/>
                <w:szCs w:val="15"/>
              </w:rPr>
              <w:t xml:space="preserve">is the total GDP of node </w:t>
            </w:r>
            <w:r>
              <w:rPr>
                <w:rFonts w:ascii="Times New Roman" w:hAnsi="Times New Roman" w:cs="Times New Roman"/>
                <w:bCs/>
                <w:i/>
                <w:iCs/>
                <w:sz w:val="15"/>
                <w:szCs w:val="15"/>
              </w:rPr>
              <w:t>j</w:t>
            </w:r>
            <w:r>
              <w:rPr>
                <w:rFonts w:ascii="Times New Roman" w:hAnsi="Times New Roman" w:cs="Times New Roman"/>
                <w:bCs/>
                <w:sz w:val="15"/>
                <w:szCs w:val="15"/>
              </w:rPr>
              <w:t>.</w:t>
            </w:r>
          </w:p>
        </w:tc>
      </w:tr>
      <w:tr w:rsidR="00685AFB" w14:paraId="51CB1D5E" w14:textId="77777777">
        <w:trPr>
          <w:jc w:val="center"/>
        </w:trPr>
        <w:tc>
          <w:tcPr>
            <w:tcW w:w="990" w:type="dxa"/>
            <w:tcBorders>
              <w:bottom w:val="single" w:sz="4" w:space="0" w:color="auto"/>
            </w:tcBorders>
            <w:vAlign w:val="center"/>
          </w:tcPr>
          <w:p w14:paraId="5A71D6F4" w14:textId="77777777" w:rsidR="00685AFB" w:rsidRDefault="00CA085F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Air quality index</w:t>
            </w:r>
          </w:p>
        </w:tc>
        <w:tc>
          <w:tcPr>
            <w:tcW w:w="3473" w:type="dxa"/>
            <w:tcBorders>
              <w:bottom w:val="single" w:sz="4" w:space="0" w:color="auto"/>
            </w:tcBorders>
            <w:vAlign w:val="center"/>
          </w:tcPr>
          <w:p w14:paraId="5C504600" w14:textId="77777777" w:rsidR="00685AFB" w:rsidRDefault="00CA085F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noProof/>
                <w:position w:val="-64"/>
                <w:sz w:val="15"/>
                <w:szCs w:val="15"/>
              </w:rPr>
              <w:object w:dxaOrig="3253" w:dyaOrig="844" w14:anchorId="024B8432">
                <v:shape id="_x0000_i1025" type="#_x0000_t75" alt="" style="width:162.35pt;height:41.9pt;mso-width-percent:0;mso-height-percent:0;mso-width-percent:0;mso-height-percent:0" o:ole="">
                  <v:imagedata r:id="rId21" o:title=""/>
                </v:shape>
                <o:OLEObject Type="Embed" ProgID="Equation.KSEE3" ShapeID="_x0000_i1025" DrawAspect="Content" ObjectID="_1676384021" r:id="rId22"/>
              </w:object>
            </w:r>
          </w:p>
        </w:tc>
        <w:tc>
          <w:tcPr>
            <w:tcW w:w="4059" w:type="dxa"/>
            <w:tcBorders>
              <w:bottom w:val="single" w:sz="4" w:space="0" w:color="auto"/>
            </w:tcBorders>
            <w:vAlign w:val="center"/>
          </w:tcPr>
          <w:p w14:paraId="0E9A5568" w14:textId="77777777" w:rsidR="00685AFB" w:rsidRDefault="00CA085F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i/>
                <w:iCs/>
                <w:sz w:val="15"/>
                <w:szCs w:val="15"/>
              </w:rPr>
              <w:t>AQI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 xml:space="preserve"> is Air quality index,the larger the value, the more serious the air pollution;</w:t>
            </w:r>
            <w:r>
              <w:rPr>
                <w:rFonts w:ascii="Times New Roman" w:hAnsi="Times New Roman" w:cs="Times New Roman"/>
                <w:i/>
                <w:iCs/>
                <w:sz w:val="15"/>
                <w:szCs w:val="15"/>
              </w:rPr>
              <w:t>IAQI</w:t>
            </w:r>
            <w:r>
              <w:rPr>
                <w:rFonts w:ascii="Times New Roman" w:hAnsi="Times New Roman" w:cs="Times New Roman"/>
                <w:i/>
                <w:iCs/>
                <w:sz w:val="15"/>
                <w:szCs w:val="15"/>
                <w:vertAlign w:val="subscript"/>
              </w:rPr>
              <w:t>i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 xml:space="preserve"> is the air quality index of pollutant</w:t>
            </w:r>
            <w:r>
              <w:rPr>
                <w:rFonts w:ascii="Times New Roman" w:hAnsi="Times New Roman" w:cs="Times New Roman"/>
                <w:i/>
                <w:iCs/>
                <w:sz w:val="15"/>
                <w:szCs w:val="15"/>
              </w:rPr>
              <w:t xml:space="preserve"> i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>;</w:t>
            </w:r>
            <w:r>
              <w:rPr>
                <w:rFonts w:ascii="Times New Roman" w:hAnsi="Times New Roman" w:cs="Times New Roman"/>
                <w:i/>
                <w:iCs/>
                <w:sz w:val="15"/>
                <w:szCs w:val="15"/>
              </w:rPr>
              <w:t>C</w:t>
            </w:r>
            <w:r>
              <w:rPr>
                <w:rFonts w:ascii="Times New Roman" w:hAnsi="Times New Roman" w:cs="Times New Roman"/>
                <w:i/>
                <w:iCs/>
                <w:sz w:val="15"/>
                <w:szCs w:val="15"/>
                <w:vertAlign w:val="subscript"/>
              </w:rPr>
              <w:t>i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 xml:space="preserve"> is the concentration of pollutant</w:t>
            </w:r>
            <w:r>
              <w:rPr>
                <w:rFonts w:ascii="Times New Roman" w:hAnsi="Times New Roman" w:cs="Times New Roman"/>
                <w:i/>
                <w:iCs/>
                <w:sz w:val="15"/>
                <w:szCs w:val="15"/>
              </w:rPr>
              <w:t xml:space="preserve"> i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>;</w:t>
            </w:r>
            <w:r>
              <w:rPr>
                <w:rFonts w:ascii="Times New Roman" w:hAnsi="Times New Roman" w:cs="Times New Roman"/>
                <w:i/>
                <w:iCs/>
                <w:sz w:val="15"/>
                <w:szCs w:val="15"/>
              </w:rPr>
              <w:t>C</w:t>
            </w:r>
            <w:r>
              <w:rPr>
                <w:rFonts w:ascii="Times New Roman" w:hAnsi="Times New Roman" w:cs="Times New Roman"/>
                <w:i/>
                <w:iCs/>
                <w:sz w:val="15"/>
                <w:szCs w:val="15"/>
                <w:vertAlign w:val="subscript"/>
              </w:rPr>
              <w:t>up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>、</w:t>
            </w:r>
            <w:r>
              <w:rPr>
                <w:rFonts w:ascii="Times New Roman" w:hAnsi="Times New Roman" w:cs="Times New Roman"/>
                <w:i/>
                <w:iCs/>
                <w:sz w:val="15"/>
                <w:szCs w:val="15"/>
              </w:rPr>
              <w:t>C</w:t>
            </w:r>
            <w:r>
              <w:rPr>
                <w:rFonts w:ascii="Times New Roman" w:hAnsi="Times New Roman" w:cs="Times New Roman"/>
                <w:i/>
                <w:iCs/>
                <w:sz w:val="15"/>
                <w:szCs w:val="15"/>
                <w:vertAlign w:val="subscript"/>
              </w:rPr>
              <w:t xml:space="preserve">low 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 xml:space="preserve">are the high and low values of the corresponding concentration interval of </w:t>
            </w:r>
            <w:r>
              <w:rPr>
                <w:rFonts w:ascii="Times New Roman" w:hAnsi="Times New Roman" w:cs="Times New Roman"/>
                <w:i/>
                <w:iCs/>
                <w:sz w:val="15"/>
                <w:szCs w:val="15"/>
              </w:rPr>
              <w:lastRenderedPageBreak/>
              <w:t>C</w:t>
            </w:r>
            <w:r>
              <w:rPr>
                <w:rFonts w:ascii="Times New Roman" w:hAnsi="Times New Roman" w:cs="Times New Roman"/>
                <w:i/>
                <w:iCs/>
                <w:sz w:val="15"/>
                <w:szCs w:val="15"/>
                <w:vertAlign w:val="subscript"/>
              </w:rPr>
              <w:t>i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>;</w:t>
            </w:r>
            <w:r>
              <w:rPr>
                <w:rFonts w:ascii="Times New Roman" w:hAnsi="Times New Roman" w:cs="Times New Roman"/>
                <w:i/>
                <w:iCs/>
                <w:sz w:val="15"/>
                <w:szCs w:val="15"/>
              </w:rPr>
              <w:t>IAQI</w:t>
            </w:r>
            <w:r>
              <w:rPr>
                <w:rFonts w:ascii="Times New Roman" w:hAnsi="Times New Roman" w:cs="Times New Roman"/>
                <w:i/>
                <w:iCs/>
                <w:sz w:val="15"/>
                <w:szCs w:val="15"/>
                <w:vertAlign w:val="subscript"/>
              </w:rPr>
              <w:t>u</w:t>
            </w:r>
            <w:r>
              <w:rPr>
                <w:rFonts w:ascii="Times New Roman" w:hAnsi="Times New Roman" w:cs="Times New Roman"/>
                <w:i/>
                <w:iCs/>
                <w:sz w:val="15"/>
                <w:szCs w:val="15"/>
                <w:vertAlign w:val="subscript"/>
              </w:rPr>
              <w:t>p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>、</w:t>
            </w:r>
            <w:r>
              <w:rPr>
                <w:rFonts w:ascii="Times New Roman" w:hAnsi="Times New Roman" w:cs="Times New Roman"/>
                <w:i/>
                <w:iCs/>
                <w:sz w:val="15"/>
                <w:szCs w:val="15"/>
              </w:rPr>
              <w:t>IAQI</w:t>
            </w:r>
            <w:r>
              <w:rPr>
                <w:rFonts w:ascii="Times New Roman" w:hAnsi="Times New Roman" w:cs="Times New Roman"/>
                <w:i/>
                <w:iCs/>
                <w:sz w:val="15"/>
                <w:szCs w:val="15"/>
                <w:vertAlign w:val="subscript"/>
              </w:rPr>
              <w:t>low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 xml:space="preserve"> are the air quality index of </w:t>
            </w:r>
            <w:r>
              <w:rPr>
                <w:rFonts w:ascii="Times New Roman" w:hAnsi="Times New Roman" w:cs="Times New Roman"/>
                <w:i/>
                <w:iCs/>
                <w:sz w:val="15"/>
                <w:szCs w:val="15"/>
              </w:rPr>
              <w:t>C</w:t>
            </w:r>
            <w:r>
              <w:rPr>
                <w:rFonts w:ascii="Times New Roman" w:hAnsi="Times New Roman" w:cs="Times New Roman"/>
                <w:i/>
                <w:iCs/>
                <w:sz w:val="15"/>
                <w:szCs w:val="15"/>
                <w:vertAlign w:val="subscript"/>
              </w:rPr>
              <w:t>up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 xml:space="preserve"> and </w:t>
            </w:r>
            <w:r>
              <w:rPr>
                <w:rFonts w:ascii="Times New Roman" w:hAnsi="Times New Roman" w:cs="Times New Roman"/>
                <w:i/>
                <w:iCs/>
                <w:sz w:val="15"/>
                <w:szCs w:val="15"/>
              </w:rPr>
              <w:t>C</w:t>
            </w:r>
            <w:r>
              <w:rPr>
                <w:rFonts w:ascii="Times New Roman" w:hAnsi="Times New Roman" w:cs="Times New Roman"/>
                <w:i/>
                <w:iCs/>
                <w:sz w:val="15"/>
                <w:szCs w:val="15"/>
                <w:vertAlign w:val="subscript"/>
              </w:rPr>
              <w:t>low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>;</w:t>
            </w:r>
            <w:r>
              <w:rPr>
                <w:rFonts w:ascii="Times New Roman" w:hAnsi="Times New Roman" w:cs="Times New Roman"/>
                <w:i/>
                <w:iCs/>
                <w:sz w:val="15"/>
                <w:szCs w:val="15"/>
              </w:rPr>
              <w:t xml:space="preserve">n 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>is the number of pollutants.</w:t>
            </w:r>
          </w:p>
        </w:tc>
      </w:tr>
    </w:tbl>
    <w:p w14:paraId="78328DE4" w14:textId="77777777" w:rsidR="00685AFB" w:rsidRDefault="00685AFB"/>
    <w:p w14:paraId="467A4F80" w14:textId="77777777" w:rsidR="00685AFB" w:rsidRDefault="00685AFB"/>
    <w:sectPr w:rsidR="00685AF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6"/>
  <w:embedSystemFonts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685AFB"/>
    <w:rsid w:val="003D1D43"/>
    <w:rsid w:val="00685AFB"/>
    <w:rsid w:val="00CA085F"/>
    <w:rsid w:val="58F32B2C"/>
    <w:rsid w:val="6A3939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4A7807F8"/>
  <w15:docId w15:val="{F1D283B7-F254-4D47-B630-00A9EE4C7C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SimSu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eastAsia="zh-CN"/>
    </w:rPr>
  </w:style>
  <w:style w:type="paragraph" w:styleId="Heading1">
    <w:name w:val="heading 1"/>
    <w:basedOn w:val="Normal"/>
    <w:next w:val="Normal"/>
    <w:qFormat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2.bin"/><Relationship Id="rId13" Type="http://schemas.openxmlformats.org/officeDocument/2006/relationships/image" Target="media/image5.wmf"/><Relationship Id="rId18" Type="http://schemas.openxmlformats.org/officeDocument/2006/relationships/oleObject" Target="embeddings/oleObject7.bin"/><Relationship Id="rId3" Type="http://schemas.openxmlformats.org/officeDocument/2006/relationships/settings" Target="settings.xml"/><Relationship Id="rId21" Type="http://schemas.openxmlformats.org/officeDocument/2006/relationships/image" Target="media/image9.wmf"/><Relationship Id="rId7" Type="http://schemas.openxmlformats.org/officeDocument/2006/relationships/image" Target="media/image2.wmf"/><Relationship Id="rId12" Type="http://schemas.openxmlformats.org/officeDocument/2006/relationships/oleObject" Target="embeddings/oleObject4.bin"/><Relationship Id="rId17" Type="http://schemas.openxmlformats.org/officeDocument/2006/relationships/image" Target="media/image7.wmf"/><Relationship Id="rId2" Type="http://schemas.openxmlformats.org/officeDocument/2006/relationships/styles" Target="styles.xml"/><Relationship Id="rId16" Type="http://schemas.openxmlformats.org/officeDocument/2006/relationships/oleObject" Target="embeddings/oleObject6.bin"/><Relationship Id="rId20" Type="http://schemas.openxmlformats.org/officeDocument/2006/relationships/oleObject" Target="embeddings/oleObject8.bin"/><Relationship Id="rId1" Type="http://schemas.openxmlformats.org/officeDocument/2006/relationships/customXml" Target="../customXml/item1.xml"/><Relationship Id="rId6" Type="http://schemas.openxmlformats.org/officeDocument/2006/relationships/oleObject" Target="embeddings/oleObject1.bin"/><Relationship Id="rId11" Type="http://schemas.openxmlformats.org/officeDocument/2006/relationships/image" Target="media/image4.wmf"/><Relationship Id="rId24" Type="http://schemas.openxmlformats.org/officeDocument/2006/relationships/theme" Target="theme/theme1.xml"/><Relationship Id="rId5" Type="http://schemas.openxmlformats.org/officeDocument/2006/relationships/image" Target="media/image1.wmf"/><Relationship Id="rId15" Type="http://schemas.openxmlformats.org/officeDocument/2006/relationships/image" Target="media/image6.wmf"/><Relationship Id="rId23" Type="http://schemas.openxmlformats.org/officeDocument/2006/relationships/fontTable" Target="fontTable.xml"/><Relationship Id="rId10" Type="http://schemas.openxmlformats.org/officeDocument/2006/relationships/oleObject" Target="embeddings/oleObject3.bin"/><Relationship Id="rId19" Type="http://schemas.openxmlformats.org/officeDocument/2006/relationships/image" Target="media/image8.wmf"/><Relationship Id="rId4" Type="http://schemas.openxmlformats.org/officeDocument/2006/relationships/webSettings" Target="webSettings.xml"/><Relationship Id="rId9" Type="http://schemas.openxmlformats.org/officeDocument/2006/relationships/image" Target="media/image3.wmf"/><Relationship Id="rId14" Type="http://schemas.openxmlformats.org/officeDocument/2006/relationships/oleObject" Target="embeddings/oleObject5.bin"/><Relationship Id="rId22" Type="http://schemas.openxmlformats.org/officeDocument/2006/relationships/oleObject" Target="embeddings/oleObject9.bin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404</Words>
  <Characters>2306</Characters>
  <Application>Microsoft Office Word</Application>
  <DocSecurity>0</DocSecurity>
  <Lines>19</Lines>
  <Paragraphs>5</Paragraphs>
  <ScaleCrop>false</ScaleCrop>
  <Company/>
  <LinksUpToDate>false</LinksUpToDate>
  <CharactersWithSpaces>2705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Microsoft Office User</cp:lastModifiedBy>
  <cp:revision>2</cp:revision>
  <dcterms:created xsi:type="dcterms:W3CDTF">2021-03-05T00:04:00Z</dcterms:created>
  <dcterms:modified xsi:type="dcterms:W3CDTF">2021-03-05T00:04:00Z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