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B43947" w14:textId="6F9DD45A" w:rsidR="00F85F74" w:rsidRDefault="00F85F74">
      <w:pPr>
        <w:rPr>
          <w:color w:val="000000" w:themeColor="text1"/>
        </w:rPr>
      </w:pPr>
    </w:p>
    <w:p w14:paraId="14E866C0" w14:textId="32BA9683" w:rsidR="00F85F74" w:rsidRDefault="00F85F74">
      <w:pPr>
        <w:rPr>
          <w:color w:val="000000" w:themeColor="text1"/>
        </w:rPr>
      </w:pPr>
    </w:p>
    <w:p w14:paraId="3B2CF35C" w14:textId="4680ED1C" w:rsidR="00F85F74" w:rsidRDefault="00F85F74">
      <w:pPr>
        <w:rPr>
          <w:color w:val="000000" w:themeColor="text1"/>
        </w:rPr>
      </w:pPr>
    </w:p>
    <w:p w14:paraId="5B151919" w14:textId="5370AA53" w:rsidR="00F85F74" w:rsidRDefault="00F85F74">
      <w:pPr>
        <w:rPr>
          <w:color w:val="000000" w:themeColor="text1"/>
        </w:rPr>
      </w:pPr>
    </w:p>
    <w:p w14:paraId="24430E9E" w14:textId="3B947C6B" w:rsidR="00F85F74" w:rsidRDefault="00F85F74">
      <w:pPr>
        <w:rPr>
          <w:color w:val="000000" w:themeColor="text1"/>
        </w:rPr>
      </w:pPr>
    </w:p>
    <w:p w14:paraId="4A75F77A" w14:textId="2AA3DEA9" w:rsidR="00F85F74" w:rsidRDefault="00F85F74">
      <w:pPr>
        <w:rPr>
          <w:color w:val="000000" w:themeColor="text1"/>
        </w:rPr>
      </w:pPr>
    </w:p>
    <w:p w14:paraId="6BA1BCFA" w14:textId="36DBBCE1" w:rsidR="00F85F74" w:rsidRDefault="00F85F74">
      <w:pPr>
        <w:rPr>
          <w:color w:val="000000" w:themeColor="text1"/>
        </w:rPr>
      </w:pPr>
    </w:p>
    <w:p w14:paraId="26E9D988" w14:textId="744B0F6B" w:rsidR="00F85F74" w:rsidRDefault="00F85F74">
      <w:pPr>
        <w:rPr>
          <w:color w:val="000000" w:themeColor="text1"/>
        </w:rPr>
      </w:pPr>
    </w:p>
    <w:p w14:paraId="7E9B73FA" w14:textId="2CBD449E" w:rsidR="00F85F74" w:rsidRDefault="00F85F74">
      <w:pPr>
        <w:rPr>
          <w:color w:val="000000" w:themeColor="text1"/>
        </w:rPr>
      </w:pPr>
    </w:p>
    <w:p w14:paraId="73FE328B" w14:textId="79E5F3D5" w:rsidR="00F85F74" w:rsidRDefault="00F85F74">
      <w:pPr>
        <w:rPr>
          <w:color w:val="000000" w:themeColor="text1"/>
        </w:rPr>
      </w:pPr>
    </w:p>
    <w:p w14:paraId="05C81D9B" w14:textId="69247416" w:rsidR="00F85F74" w:rsidRDefault="00F85F74">
      <w:pPr>
        <w:rPr>
          <w:color w:val="000000" w:themeColor="text1"/>
        </w:rPr>
      </w:pPr>
    </w:p>
    <w:p w14:paraId="36865359" w14:textId="5A3851A0" w:rsidR="00F85F74" w:rsidRDefault="00F85F74">
      <w:pPr>
        <w:rPr>
          <w:color w:val="000000" w:themeColor="text1"/>
        </w:rPr>
      </w:pPr>
    </w:p>
    <w:p w14:paraId="41E1A1AA" w14:textId="77777777" w:rsidR="00F85F74" w:rsidRPr="00FD54EA" w:rsidRDefault="00F85F74">
      <w:pPr>
        <w:rPr>
          <w:color w:val="000000" w:themeColor="text1"/>
        </w:rPr>
      </w:pPr>
    </w:p>
    <w:p w14:paraId="4A92EF2B" w14:textId="7EEB0899" w:rsidR="00BE09F0" w:rsidRPr="00F85F74" w:rsidRDefault="00FD54EA" w:rsidP="00F85F74">
      <w:pPr>
        <w:pStyle w:val="Heading2"/>
        <w:rPr>
          <w:color w:val="000000" w:themeColor="text1"/>
        </w:rPr>
      </w:pPr>
      <w:bookmarkStart w:id="0" w:name="_kix90g5h4z5g" w:colFirst="0" w:colLast="0"/>
      <w:bookmarkStart w:id="1" w:name="_vynieiyc5vj4" w:colFirst="0" w:colLast="0"/>
      <w:bookmarkEnd w:id="0"/>
      <w:bookmarkEnd w:id="1"/>
      <w:r w:rsidRPr="00FD54EA">
        <w:rPr>
          <w:color w:val="000000" w:themeColor="text1"/>
        </w:rPr>
        <w:t>Extended data</w:t>
      </w:r>
      <w:bookmarkStart w:id="2" w:name="_uv0v7gvxn8md" w:colFirst="0" w:colLast="0"/>
      <w:bookmarkEnd w:id="2"/>
      <w:r w:rsidRPr="00FD54EA">
        <w:rPr>
          <w:color w:val="000000" w:themeColor="text1"/>
          <w:sz w:val="24"/>
          <w:szCs w:val="24"/>
        </w:rPr>
        <w:br/>
      </w:r>
      <w:r w:rsidRPr="00FD54EA">
        <w:rPr>
          <w:color w:val="000000" w:themeColor="text1"/>
        </w:rPr>
        <w:br w:type="page"/>
      </w:r>
    </w:p>
    <w:p w14:paraId="2697CC1A" w14:textId="6AC5B22D" w:rsidR="00BE09F0" w:rsidRPr="00FD54EA" w:rsidRDefault="00FD54EA">
      <w:pPr>
        <w:pStyle w:val="Heading6"/>
        <w:rPr>
          <w:color w:val="000000" w:themeColor="text1"/>
        </w:rPr>
      </w:pPr>
      <w:bookmarkStart w:id="3" w:name="_upbd1friobk3" w:colFirst="0" w:colLast="0"/>
      <w:bookmarkEnd w:id="3"/>
      <w:r w:rsidRPr="00FD54EA">
        <w:rPr>
          <w:noProof/>
          <w:color w:val="000000" w:themeColor="text1"/>
        </w:rPr>
        <w:lastRenderedPageBreak/>
        <w:drawing>
          <wp:inline distT="114300" distB="114300" distL="114300" distR="114300" wp14:anchorId="70B280BE" wp14:editId="67F978E7">
            <wp:extent cx="5130000" cy="6480000"/>
            <wp:effectExtent l="0" t="0" r="0" b="0"/>
            <wp:docPr id="9"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8"/>
                    <a:srcRect/>
                    <a:stretch>
                      <a:fillRect/>
                    </a:stretch>
                  </pic:blipFill>
                  <pic:spPr>
                    <a:xfrm>
                      <a:off x="0" y="0"/>
                      <a:ext cx="5130000" cy="6480000"/>
                    </a:xfrm>
                    <a:prstGeom prst="rect">
                      <a:avLst/>
                    </a:prstGeom>
                    <a:ln/>
                  </pic:spPr>
                </pic:pic>
              </a:graphicData>
            </a:graphic>
          </wp:inline>
        </w:drawing>
      </w:r>
      <w:bookmarkStart w:id="4" w:name="_oy0w9qisn4li" w:colFirst="0" w:colLast="0"/>
      <w:bookmarkEnd w:id="4"/>
      <w:r w:rsidR="00E17CC5">
        <w:rPr>
          <w:color w:val="000000" w:themeColor="text1"/>
        </w:rPr>
        <w:br/>
      </w:r>
      <w:r w:rsidRPr="00FD54EA">
        <w:rPr>
          <w:color w:val="000000" w:themeColor="text1"/>
          <w:sz w:val="24"/>
          <w:szCs w:val="24"/>
        </w:rPr>
        <w:t xml:space="preserve">Extended Data Figure 1: </w:t>
      </w:r>
      <w:r w:rsidRPr="00FD54EA">
        <w:rPr>
          <w:color w:val="000000" w:themeColor="text1"/>
        </w:rPr>
        <w:t>Spatial patterns of the 15 food system outcome indicators - grouped by health, inclusion, environment and economy - for the reference BASE</w:t>
      </w:r>
      <w:r w:rsidRPr="00FD54EA">
        <w:rPr>
          <w:color w:val="000000" w:themeColor="text1"/>
          <w:vertAlign w:val="subscript"/>
        </w:rPr>
        <w:t>SSP2</w:t>
      </w:r>
      <w:r w:rsidRPr="00FD54EA">
        <w:rPr>
          <w:color w:val="000000" w:themeColor="text1"/>
        </w:rPr>
        <w:t xml:space="preserve"> scenario in 2020 and 2050, and the food system transformation pathway FST</w:t>
      </w:r>
      <w:r w:rsidRPr="00FD54EA">
        <w:rPr>
          <w:color w:val="000000" w:themeColor="text1"/>
          <w:vertAlign w:val="subscript"/>
        </w:rPr>
        <w:t xml:space="preserve">SDP </w:t>
      </w:r>
      <w:r w:rsidRPr="00FD54EA">
        <w:rPr>
          <w:color w:val="000000" w:themeColor="text1"/>
        </w:rPr>
        <w:t>in 2050. Spatial resolution differs by indicator (Extended Data Table 2), and we use a Mollweide projection (area-preserving projection) for environmental indicators, and a Cartogram projection (areas proportional to population or agricultural workers) for health, inclusion and economy indicators.</w:t>
      </w:r>
    </w:p>
    <w:p w14:paraId="287DCC3A" w14:textId="77777777" w:rsidR="00BE09F0" w:rsidRPr="00FD54EA" w:rsidRDefault="00BE09F0">
      <w:pPr>
        <w:rPr>
          <w:color w:val="000000" w:themeColor="text1"/>
        </w:rPr>
      </w:pPr>
    </w:p>
    <w:p w14:paraId="7D10A22F" w14:textId="77777777" w:rsidR="00BE09F0" w:rsidRPr="00FD54EA" w:rsidRDefault="00FD54EA">
      <w:pPr>
        <w:pStyle w:val="Heading6"/>
        <w:rPr>
          <w:color w:val="000000" w:themeColor="text1"/>
        </w:rPr>
      </w:pPr>
      <w:bookmarkStart w:id="5" w:name="_4izcbf442kr5" w:colFirst="0" w:colLast="0"/>
      <w:bookmarkEnd w:id="5"/>
      <w:r w:rsidRPr="00FD54EA">
        <w:rPr>
          <w:noProof/>
          <w:color w:val="000000" w:themeColor="text1"/>
        </w:rPr>
        <w:lastRenderedPageBreak/>
        <w:drawing>
          <wp:inline distT="114300" distB="114300" distL="114300" distR="114300" wp14:anchorId="668F0EB5" wp14:editId="19342B65">
            <wp:extent cx="5943600" cy="2552700"/>
            <wp:effectExtent l="0" t="0" r="0" b="0"/>
            <wp:docPr id="17"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9"/>
                    <a:srcRect/>
                    <a:stretch>
                      <a:fillRect/>
                    </a:stretch>
                  </pic:blipFill>
                  <pic:spPr>
                    <a:xfrm>
                      <a:off x="0" y="0"/>
                      <a:ext cx="5943600" cy="2552700"/>
                    </a:xfrm>
                    <a:prstGeom prst="rect">
                      <a:avLst/>
                    </a:prstGeom>
                    <a:ln/>
                  </pic:spPr>
                </pic:pic>
              </a:graphicData>
            </a:graphic>
          </wp:inline>
        </w:drawing>
      </w:r>
      <w:r w:rsidRPr="00FD54EA">
        <w:rPr>
          <w:color w:val="000000" w:themeColor="text1"/>
        </w:rPr>
        <w:t>Extended Data Figure 2: Projections for the five baseline pathways of the Shared Socioeconomic Pathways (BASE</w:t>
      </w:r>
      <w:r w:rsidRPr="00FD54EA">
        <w:rPr>
          <w:color w:val="000000" w:themeColor="text1"/>
          <w:vertAlign w:val="subscript"/>
        </w:rPr>
        <w:t>SSPs</w:t>
      </w:r>
      <w:r w:rsidRPr="00FD54EA">
        <w:rPr>
          <w:color w:val="000000" w:themeColor="text1"/>
        </w:rPr>
        <w:t>) and for the Food-system Sustainable-Development-Pathway (FST</w:t>
      </w:r>
      <w:r w:rsidRPr="00FD54EA">
        <w:rPr>
          <w:color w:val="000000" w:themeColor="text1"/>
          <w:vertAlign w:val="subscript"/>
        </w:rPr>
        <w:t>SDP</w:t>
      </w:r>
      <w:r w:rsidRPr="00FD54EA">
        <w:rPr>
          <w:color w:val="000000" w:themeColor="text1"/>
        </w:rPr>
        <w:t>), relative to the state in the year 2020. Coloring indicates desirable developments since the year 2020 in green and undesirable in red.</w:t>
      </w:r>
    </w:p>
    <w:p w14:paraId="022AF278" w14:textId="77777777" w:rsidR="00BE09F0" w:rsidRPr="00FD54EA" w:rsidRDefault="00FD54EA">
      <w:pPr>
        <w:pStyle w:val="Heading6"/>
        <w:rPr>
          <w:color w:val="000000" w:themeColor="text1"/>
        </w:rPr>
      </w:pPr>
      <w:bookmarkStart w:id="6" w:name="_bmyxz59vi1wl" w:colFirst="0" w:colLast="0"/>
      <w:bookmarkEnd w:id="6"/>
      <w:r w:rsidRPr="00FD54EA">
        <w:rPr>
          <w:noProof/>
          <w:color w:val="000000" w:themeColor="text1"/>
        </w:rPr>
        <w:lastRenderedPageBreak/>
        <w:drawing>
          <wp:inline distT="114300" distB="114300" distL="114300" distR="114300" wp14:anchorId="01717BEA" wp14:editId="79AB78A7">
            <wp:extent cx="5943600" cy="4203700"/>
            <wp:effectExtent l="0" t="0" r="0" b="0"/>
            <wp:docPr id="30"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10"/>
                    <a:srcRect/>
                    <a:stretch>
                      <a:fillRect/>
                    </a:stretch>
                  </pic:blipFill>
                  <pic:spPr>
                    <a:xfrm>
                      <a:off x="0" y="0"/>
                      <a:ext cx="5943600" cy="4203700"/>
                    </a:xfrm>
                    <a:prstGeom prst="rect">
                      <a:avLst/>
                    </a:prstGeom>
                    <a:ln/>
                  </pic:spPr>
                </pic:pic>
              </a:graphicData>
            </a:graphic>
          </wp:inline>
        </w:drawing>
      </w:r>
      <w:r w:rsidRPr="00FD54EA">
        <w:rPr>
          <w:color w:val="000000" w:themeColor="text1"/>
        </w:rPr>
        <w:t>Extended Data Figure 3: Interaction effect of combining measures in packages. Bars show the individual outcomes of the measures. The upper number with the empty triangle shows the sum of the individual effects of measures. The lower number with the solid triangle shows the combined effect of a package. Green numbers are co-benefits, red numbers are trade-offs. Synergies occur when the combined effect is positive and larger than the sum of the individual effects, dampening when it is smaller than the sum.</w:t>
      </w:r>
    </w:p>
    <w:p w14:paraId="44A48FC7" w14:textId="77777777" w:rsidR="00BE09F0" w:rsidRPr="00FD54EA" w:rsidRDefault="00BE09F0">
      <w:pPr>
        <w:rPr>
          <w:color w:val="000000" w:themeColor="text1"/>
        </w:rPr>
      </w:pPr>
    </w:p>
    <w:p w14:paraId="782CA93F" w14:textId="77777777" w:rsidR="00BE09F0" w:rsidRPr="00FD54EA" w:rsidRDefault="00BE09F0">
      <w:pPr>
        <w:rPr>
          <w:color w:val="000000" w:themeColor="text1"/>
        </w:rPr>
      </w:pPr>
    </w:p>
    <w:p w14:paraId="6465D291" w14:textId="77777777" w:rsidR="00BE09F0" w:rsidRPr="00FD54EA" w:rsidRDefault="00FD54EA">
      <w:pPr>
        <w:pStyle w:val="Heading6"/>
        <w:rPr>
          <w:color w:val="000000" w:themeColor="text1"/>
        </w:rPr>
      </w:pPr>
      <w:bookmarkStart w:id="7" w:name="_czv0j2fksxyi" w:colFirst="0" w:colLast="0"/>
      <w:bookmarkEnd w:id="7"/>
      <w:r w:rsidRPr="00FD54EA">
        <w:rPr>
          <w:noProof/>
          <w:color w:val="000000" w:themeColor="text1"/>
        </w:rPr>
        <w:lastRenderedPageBreak/>
        <w:drawing>
          <wp:inline distT="114300" distB="114300" distL="114300" distR="114300" wp14:anchorId="424084CC" wp14:editId="40335B4E">
            <wp:extent cx="5943600" cy="3378200"/>
            <wp:effectExtent l="0" t="0" r="0" b="0"/>
            <wp:docPr id="26"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1"/>
                    <a:srcRect/>
                    <a:stretch>
                      <a:fillRect/>
                    </a:stretch>
                  </pic:blipFill>
                  <pic:spPr>
                    <a:xfrm>
                      <a:off x="0" y="0"/>
                      <a:ext cx="5943600" cy="3378200"/>
                    </a:xfrm>
                    <a:prstGeom prst="rect">
                      <a:avLst/>
                    </a:prstGeom>
                    <a:ln/>
                  </pic:spPr>
                </pic:pic>
              </a:graphicData>
            </a:graphic>
          </wp:inline>
        </w:drawing>
      </w:r>
      <w:r w:rsidRPr="00FD54EA">
        <w:rPr>
          <w:color w:val="000000" w:themeColor="text1"/>
        </w:rPr>
        <w:t>Extended Data Figure 4: A food system transformation has co-benefits (green) and trade-offs (red). This plot shows the combined effect of 23 food system measures on 15 outcome indicators. It is calculated as the difference between FST</w:t>
      </w:r>
      <w:r w:rsidRPr="00FD54EA">
        <w:rPr>
          <w:color w:val="000000" w:themeColor="text1"/>
          <w:vertAlign w:val="subscript"/>
        </w:rPr>
        <w:t>SSP2</w:t>
      </w:r>
      <w:r w:rsidRPr="00FD54EA">
        <w:rPr>
          <w:color w:val="000000" w:themeColor="text1"/>
        </w:rPr>
        <w:t xml:space="preserve"> and BASE</w:t>
      </w:r>
      <w:r w:rsidRPr="00FD54EA">
        <w:rPr>
          <w:color w:val="000000" w:themeColor="text1"/>
          <w:vertAlign w:val="subscript"/>
        </w:rPr>
        <w:t>SSP2</w:t>
      </w:r>
      <w:r w:rsidRPr="00FD54EA">
        <w:rPr>
          <w:color w:val="000000" w:themeColor="text1"/>
        </w:rPr>
        <w:t xml:space="preserve"> scenarios, not including the CrossSector transformation impacts. Spatial resolution differs by indicator (Extended Data Table 2), and we use a Mollweide projection (area-preserving projection, per-ha values are per total cell area) for environmental indicators, and a Cartogram projection (areas proportional to population or agricultural workers) for health, inclusion and economy indicators.</w:t>
      </w:r>
    </w:p>
    <w:p w14:paraId="314BE81B" w14:textId="77777777" w:rsidR="00BE09F0" w:rsidRPr="00FD54EA" w:rsidRDefault="00FD54EA">
      <w:pPr>
        <w:spacing w:before="240"/>
        <w:rPr>
          <w:color w:val="000000" w:themeColor="text1"/>
        </w:rPr>
      </w:pPr>
      <w:r w:rsidRPr="00FD54EA">
        <w:rPr>
          <w:color w:val="000000" w:themeColor="text1"/>
        </w:rPr>
        <w:t xml:space="preserve"> </w:t>
      </w:r>
    </w:p>
    <w:p w14:paraId="48142F12" w14:textId="77777777" w:rsidR="00BE09F0" w:rsidRPr="00FD54EA" w:rsidRDefault="00BE09F0">
      <w:pPr>
        <w:spacing w:before="240"/>
        <w:rPr>
          <w:color w:val="000000" w:themeColor="text1"/>
        </w:rPr>
      </w:pPr>
    </w:p>
    <w:p w14:paraId="28B7C3B2" w14:textId="366E7D38" w:rsidR="00BE09F0" w:rsidRPr="00FD54EA" w:rsidRDefault="00FD54EA" w:rsidP="00F85F74">
      <w:pPr>
        <w:pStyle w:val="Heading6"/>
        <w:rPr>
          <w:color w:val="000000" w:themeColor="text1"/>
        </w:rPr>
      </w:pPr>
      <w:bookmarkStart w:id="8" w:name="_7d2k4lcu5yvl" w:colFirst="0" w:colLast="0"/>
      <w:bookmarkEnd w:id="8"/>
      <w:r w:rsidRPr="00FD54EA">
        <w:rPr>
          <w:noProof/>
          <w:color w:val="000000" w:themeColor="text1"/>
        </w:rPr>
        <w:lastRenderedPageBreak/>
        <w:drawing>
          <wp:inline distT="114300" distB="114300" distL="114300" distR="114300" wp14:anchorId="0D4286F9" wp14:editId="4C40A472">
            <wp:extent cx="5943600" cy="3733800"/>
            <wp:effectExtent l="0" t="0" r="0" b="0"/>
            <wp:docPr id="11"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2"/>
                    <a:srcRect/>
                    <a:stretch>
                      <a:fillRect/>
                    </a:stretch>
                  </pic:blipFill>
                  <pic:spPr>
                    <a:xfrm>
                      <a:off x="0" y="0"/>
                      <a:ext cx="5943600" cy="3733800"/>
                    </a:xfrm>
                    <a:prstGeom prst="rect">
                      <a:avLst/>
                    </a:prstGeom>
                    <a:ln/>
                  </pic:spPr>
                </pic:pic>
              </a:graphicData>
            </a:graphic>
          </wp:inline>
        </w:drawing>
      </w:r>
      <w:r w:rsidRPr="00FD54EA">
        <w:rPr>
          <w:color w:val="000000" w:themeColor="text1"/>
        </w:rPr>
        <w:t>Extended Data Figure 5: Illustration of the Potsdam Integrated Assessment Modeling framework (PIAM) and further models integrated for this study. Arrows indicate the parameters exchanged between models, black font indicated model names as well as the core outcome indicators each model estimates. Note that information between soft-linked PIAM models is not necessarily exchanged during run time but is taken from consistent offline simulations.</w:t>
      </w:r>
      <w:bookmarkStart w:id="9" w:name="_a83jmilmzjsx" w:colFirst="0" w:colLast="0"/>
      <w:bookmarkEnd w:id="9"/>
    </w:p>
    <w:p w14:paraId="2CDB593C" w14:textId="77777777" w:rsidR="00BE09F0" w:rsidRPr="00FD54EA" w:rsidRDefault="00BE09F0">
      <w:pPr>
        <w:rPr>
          <w:color w:val="000000" w:themeColor="text1"/>
        </w:rPr>
      </w:pPr>
    </w:p>
    <w:p w14:paraId="75FB16E7" w14:textId="77777777" w:rsidR="00BE09F0" w:rsidRPr="00FD54EA" w:rsidRDefault="00FD54EA">
      <w:pPr>
        <w:rPr>
          <w:color w:val="000000" w:themeColor="text1"/>
        </w:rPr>
      </w:pPr>
      <w:r w:rsidRPr="00FD54EA">
        <w:rPr>
          <w:color w:val="000000" w:themeColor="text1"/>
        </w:rPr>
        <w:br w:type="page"/>
      </w:r>
    </w:p>
    <w:p w14:paraId="3CAAA064" w14:textId="77777777" w:rsidR="00BE09F0" w:rsidRPr="00FD54EA" w:rsidRDefault="00BE09F0">
      <w:pPr>
        <w:rPr>
          <w:color w:val="000000" w:themeColor="text1"/>
        </w:rPr>
      </w:pPr>
    </w:p>
    <w:tbl>
      <w:tblPr>
        <w:tblStyle w:val="a"/>
        <w:tblW w:w="10206" w:type="dxa"/>
        <w:tblBorders>
          <w:top w:val="single" w:sz="6" w:space="0" w:color="000000"/>
          <w:bottom w:val="single" w:sz="6" w:space="0" w:color="000000"/>
          <w:insideH w:val="single" w:sz="6" w:space="0" w:color="000000"/>
        </w:tblBorders>
        <w:tblLayout w:type="fixed"/>
        <w:tblLook w:val="0600" w:firstRow="0" w:lastRow="0" w:firstColumn="0" w:lastColumn="0" w:noHBand="1" w:noVBand="1"/>
      </w:tblPr>
      <w:tblGrid>
        <w:gridCol w:w="1003"/>
        <w:gridCol w:w="9203"/>
      </w:tblGrid>
      <w:tr w:rsidR="00FD54EA" w:rsidRPr="00FD54EA" w14:paraId="2D055BEA" w14:textId="77777777" w:rsidTr="00F67720">
        <w:tc>
          <w:tcPr>
            <w:tcW w:w="1055" w:type="dxa"/>
            <w:tcMar>
              <w:top w:w="40" w:type="dxa"/>
              <w:left w:w="40" w:type="dxa"/>
              <w:bottom w:w="40" w:type="dxa"/>
              <w:right w:w="40" w:type="dxa"/>
            </w:tcMar>
            <w:vAlign w:val="bottom"/>
          </w:tcPr>
          <w:p w14:paraId="78D7FB8F" w14:textId="77777777" w:rsidR="00BE09F0" w:rsidRPr="00FD54EA" w:rsidRDefault="00FD54EA">
            <w:pPr>
              <w:widowControl w:val="0"/>
              <w:rPr>
                <w:color w:val="000000" w:themeColor="text1"/>
                <w:sz w:val="10"/>
                <w:szCs w:val="10"/>
              </w:rPr>
            </w:pPr>
            <w:r w:rsidRPr="00FD54EA">
              <w:rPr>
                <w:color w:val="000000" w:themeColor="text1"/>
                <w:sz w:val="10"/>
                <w:szCs w:val="10"/>
              </w:rPr>
              <w:t>FSM name</w:t>
            </w:r>
          </w:p>
        </w:tc>
        <w:tc>
          <w:tcPr>
            <w:tcW w:w="9730" w:type="dxa"/>
            <w:tcMar>
              <w:top w:w="40" w:type="dxa"/>
              <w:left w:w="40" w:type="dxa"/>
              <w:bottom w:w="40" w:type="dxa"/>
              <w:right w:w="40" w:type="dxa"/>
            </w:tcMar>
            <w:vAlign w:val="bottom"/>
          </w:tcPr>
          <w:p w14:paraId="10DA97FC" w14:textId="77777777" w:rsidR="00BE09F0" w:rsidRPr="00FD54EA" w:rsidRDefault="00FD54EA">
            <w:pPr>
              <w:widowControl w:val="0"/>
              <w:rPr>
                <w:color w:val="000000" w:themeColor="text1"/>
                <w:sz w:val="10"/>
                <w:szCs w:val="10"/>
              </w:rPr>
            </w:pPr>
            <w:r w:rsidRPr="00FD54EA">
              <w:rPr>
                <w:color w:val="000000" w:themeColor="text1"/>
                <w:sz w:val="10"/>
                <w:szCs w:val="10"/>
              </w:rPr>
              <w:t>Description</w:t>
            </w:r>
          </w:p>
        </w:tc>
      </w:tr>
      <w:tr w:rsidR="00FD54EA" w:rsidRPr="00FD54EA" w14:paraId="75A7E07B" w14:textId="77777777" w:rsidTr="00F67720">
        <w:tc>
          <w:tcPr>
            <w:tcW w:w="1055" w:type="dxa"/>
            <w:tcMar>
              <w:top w:w="40" w:type="dxa"/>
              <w:left w:w="40" w:type="dxa"/>
              <w:bottom w:w="40" w:type="dxa"/>
              <w:right w:w="40" w:type="dxa"/>
            </w:tcMar>
            <w:vAlign w:val="bottom"/>
          </w:tcPr>
          <w:p w14:paraId="41A3F0C8" w14:textId="77777777" w:rsidR="00BE09F0" w:rsidRPr="00FD54EA" w:rsidRDefault="00FD54EA">
            <w:pPr>
              <w:widowControl w:val="0"/>
              <w:rPr>
                <w:color w:val="000000" w:themeColor="text1"/>
                <w:sz w:val="10"/>
                <w:szCs w:val="10"/>
              </w:rPr>
            </w:pPr>
            <w:r w:rsidRPr="00FD54EA">
              <w:rPr>
                <w:color w:val="000000" w:themeColor="text1"/>
                <w:sz w:val="10"/>
                <w:szCs w:val="10"/>
              </w:rPr>
              <w:t>LowProcessed</w:t>
            </w:r>
          </w:p>
        </w:tc>
        <w:tc>
          <w:tcPr>
            <w:tcW w:w="9730" w:type="dxa"/>
            <w:tcMar>
              <w:top w:w="40" w:type="dxa"/>
              <w:left w:w="40" w:type="dxa"/>
              <w:bottom w:w="40" w:type="dxa"/>
              <w:right w:w="40" w:type="dxa"/>
            </w:tcMar>
            <w:vAlign w:val="bottom"/>
          </w:tcPr>
          <w:p w14:paraId="4958FB27" w14:textId="516B1FF6" w:rsidR="00BE09F0" w:rsidRPr="00FD54EA" w:rsidRDefault="00FD54EA">
            <w:pPr>
              <w:widowControl w:val="0"/>
              <w:rPr>
                <w:color w:val="000000" w:themeColor="text1"/>
                <w:sz w:val="10"/>
                <w:szCs w:val="10"/>
              </w:rPr>
            </w:pPr>
            <w:r w:rsidRPr="00FD54EA">
              <w:rPr>
                <w:color w:val="000000" w:themeColor="text1"/>
                <w:sz w:val="10"/>
                <w:szCs w:val="10"/>
              </w:rPr>
              <w:t>The intake of sugars is capped at the recommended intake by the planetary health diet</w:t>
            </w:r>
            <w:r w:rsidR="009E54D2">
              <w:rPr>
                <w:color w:val="000000" w:themeColor="text1"/>
                <w:sz w:val="10"/>
                <w:szCs w:val="10"/>
              </w:rPr>
              <w:fldChar w:fldCharType="begin"/>
            </w:r>
            <w:r w:rsidR="009E54D2">
              <w:rPr>
                <w:color w:val="000000" w:themeColor="text1"/>
                <w:sz w:val="10"/>
                <w:szCs w:val="10"/>
              </w:rPr>
              <w:instrText xml:space="preserve"> ADDIN ZOTERO_ITEM CSL_CITATION {"citationID":"cmifVdlr","properties":{"formattedCitation":"\\super 6,7\\nosupersub{}","plainCitation":"6,7","noteIndex":0},"citationItems":[{"id":5201,"uris":["http://zotero.org/users/694717/items/VJL5MMFA"],"itemData":{"id":5201,"type":"article-journal","container-title":"The Lancet","DOI":"10.1016/S0140-6736(18)31788-4","ISSN":"01406736","language":"en","source":"Crossref","title":"Food in the Anthropocene: the EAT–Lancet Commission on healthy diets from sustainable food systems","title-short":"Food in the Anthropocene","URL":"https://linkinghub.elsevier.com/retrieve/pii/S0140673618317884","author":[{"family":"Willett","given":"Walter"},{"family":"Rockström","given":"Johan"},{"family":"Loken","given":"Brent"},{"family":"Springmann","given":"Marco"},{"family":"Lang","given":"Tim"},{"family":"Vermeulen","given":"Sonja"},{"family":"Garnett","given":"Tara"},{"family":"Tilman","given":"David"},{"family":"DeClerck","given":"Fabrice"},{"family":"Wood","given":"Amanda"},{"family":"Jonell","given":"Malin"},{"family":"Clark","given":"Michael"},{"family":"Gordon","given":"Line J"},{"family":"Fanzo","given":"Jessica"},{"family":"Hawkes","given":"Corinna"},{"family":"Zurayk","given":"Rami"},{"family":"Rivera","given":"Juan A"},{"family":"De Vries","given":"Wim"},{"family":"Majele Sibanda","given":"Lindiwe"},{"family":"Afshin","given":"Ashkan"},{"family":"Chaudhary","given":"Abhishek"},{"family":"Herrero","given":"Mario"},{"family":"Agustina","given":"Rina"},{"family":"Branca","given":"Francesco"},{"family":"Lartey","given":"Anna"},{"family":"Fan","given":"Shenggen"},{"family":"Crona","given":"Beatrice"},{"family":"Fox","given":"Elizabeth"},{"family":"Bignet","given":"Victoria"},{"family":"Troell","given":"Max"},{"family":"Lindahl","given":"Therese"},{"family":"Singh","given":"Sudhvir"},{"family":"Cornell","given":"Sarah E"},{"family":"Srinath Reddy","given":"K"},{"family":"Narain","given":"Sunita"},{"family":"Nishtar","given":"Sania"},{"family":"Murray","given":"Christopher J L"}],"accessed":{"date-parts":[["2019",1,18]]},"issued":{"date-parts":[["2019",1]]}}},{"id":4899,"uris":["http://zotero.org/users/694717/items/HZSFD8Y9"],"itemData":{"id":4899,"type":"article-journal","abstract":"The food system is a major driver of climate change, changes in land use, depletion of freshwater resources, and pollution of aquatic and terrestrial ecosystems through excessive nitrogen and phosphorus inputs. Here we show that between 2010 and 2050, as a result of expected changes in population and income levels, the environmental effects of the food system could increase by 50–90% in the absence of technological changes and dedicated mitigation measures, reaching levels that are beyond the planetary boundaries that define a safe operating space for humanity. We analyse several options for reducing the environmental effects of the food system, including dietary changes towards healthier, more plant-based diets, improvements in technologies and management, and reductions in food loss and waste. We find that no single measure is enough to keep these effects within all planetary boundaries simultaneously, and that a synergistic combination of measures will be needed to sufficiently mitigate the projected increase in environmental pressures.","container-title":"Nature","DOI":"10.1038/s41586-018-0594-0","ISSN":"1476-4687","language":"en","license":"2018 Springer Nature Limited","source":"www.nature.com","title":"Options for keeping the food system within environmental limits","URL":"https://www.nature.com/articles/s41586-018-0594-0","author":[{"family":"Springmann","given":"Marco"},{"family":"Clark","given":"Michael"},{"family":"Mason-D’Croz","given":"Daniel"},{"family":"Wiebe","given":"Keith"},{"family":"Bodirsky","given":"Benjamin Leon"},{"family":"Lassaletta","given":"Luis"},{"family":"Vries","given":"Wim","dropping-particle":"de"},{"family":"Vermeulen","given":"Sonja J."},{"family":"Herrero","given":"Mario"},{"family":"Carlson","given":"Kimberly M."},{"family":"Jonell","given":"Malin"},{"family":"Troell","given":"Max"},{"family":"DeClerck","given":"Fabrice"},{"family":"Gordon","given":"Line J."},{"family":"Zurayk","given":"Rami"},{"family":"Scarborough","given":"Peter"},{"family":"Rayner","given":"Mike"},{"family":"Loken","given":"Brent"},{"family":"Fanzo","given":"Jess"},{"family":"Godfray","given":"H. Charles J."},{"family":"Tilman","given":"David"},{"family":"Rockström","given":"Johan"},{"family":"Willett","given":"Walter"}],"accessed":{"date-parts":[["2018",10,10]]},"issued":{"date-parts":[["2018",10,10]]}}}],"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6,7</w:t>
            </w:r>
            <w:r w:rsidR="009E54D2">
              <w:rPr>
                <w:color w:val="000000" w:themeColor="text1"/>
                <w:sz w:val="10"/>
                <w:szCs w:val="10"/>
              </w:rPr>
              <w:fldChar w:fldCharType="end"/>
            </w:r>
            <w:r w:rsidRPr="00FD54EA">
              <w:rPr>
                <w:color w:val="000000" w:themeColor="text1"/>
                <w:sz w:val="10"/>
                <w:szCs w:val="10"/>
              </w:rPr>
              <w:t>, while the intake of plant-based oils and fats are converged towards the planetary health diet. Alcohol consumption was limited to a maximum of 1.4% of calorie intake</w:t>
            </w:r>
            <w:r w:rsidR="009E54D2">
              <w:rPr>
                <w:color w:val="000000" w:themeColor="text1"/>
                <w:sz w:val="10"/>
                <w:szCs w:val="10"/>
              </w:rPr>
              <w:fldChar w:fldCharType="begin"/>
            </w:r>
            <w:r w:rsidR="009E54D2">
              <w:rPr>
                <w:color w:val="000000" w:themeColor="text1"/>
                <w:sz w:val="10"/>
                <w:szCs w:val="10"/>
              </w:rPr>
              <w:instrText xml:space="preserve"> ADDIN ZOTERO_ITEM CSL_CITATION {"citationID":"QK8LZz9w","properties":{"formattedCitation":"\\super 60\\nosupersub{}","plainCitation":"60","noteIndex":0},"citationItems":[{"id":9285,"uris":["http://zotero.org/users/694717/items/M63U7G8W"],"itemData":{"id":9285,"type":"article-journal","abstract":"Plant-based diets have been linked to both health beneﬁts and a lower climate impact. However, plant-based diets may represent both healthy and unhealthy dietary practices. The present study aimed to develop a nationally adapted healthy plant-based diet based on the global EAT-Lancet reference diet. Development took place in a series of steps. First, the original EAT-Lancet reference diet was evaluated based on food availability, i.e., using Danish food data (Model 1). Then, the model was further modiﬁed to reﬂect national food based dietary guidelines (FBDG) and characteristics of current consumption pattern, e.g., by including processed food, discretionary foods and beverages in the diet (Model 2). The contents of macronutrients, vitamins and minerals, except for vitamin D and iodine, were found to be suﬃcient for Model 2, according to the recommended nutrient density to be used for planning diets for groups of individuals aged 6–65 years. In addition, the study gave an insight into the nutrients and foods to be aware of in planning a predominantly plant-based diet, thereby providing directions for future revisions of sustainable FBDGs. These include a stronger emphasis on the intake of legumes, nuts and seeds, fruit and vegetables including dark green vegetables, whole-grain products and vegetable oils as well as lowering meat intake.","container-title":"Nutrients","DOI":"10.3390/nu12030738","ISSN":"2072-6643","issue":"3","journalAbbreviation":"Nutrients","language":"en","page":"738","source":"DOI.org (Crossref)","title":"Development of a Danish Adapted Healthy Plant-Based Diet Based on the EAT-Lancet Reference Diet","volume":"12","author":[{"family":"Lassen","given":"Anne D."},{"family":"Christensen","given":"Lene M."},{"family":"Trolle","given":"Ellen"}],"issued":{"date-parts":[["2020",3,11]]}}}],"schema":"https://github.com/citation-style-language/schema/raw/master/csl-citation.json"}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60</w:t>
            </w:r>
            <w:r w:rsidR="009E54D2">
              <w:rPr>
                <w:color w:val="000000" w:themeColor="text1"/>
                <w:sz w:val="10"/>
                <w:szCs w:val="10"/>
              </w:rPr>
              <w:fldChar w:fldCharType="end"/>
            </w:r>
            <w:r w:rsidRPr="00FD54EA">
              <w:rPr>
                <w:color w:val="000000" w:themeColor="text1"/>
                <w:sz w:val="10"/>
                <w:szCs w:val="10"/>
              </w:rPr>
              <w:t>. In the health model we assume that grains are consumed as wholegrains. The consumption of staple foods (cereals, roots, tubers) is adjusted to keep total food calorie intake constant.</w:t>
            </w:r>
          </w:p>
        </w:tc>
      </w:tr>
      <w:tr w:rsidR="00FD54EA" w:rsidRPr="00FD54EA" w14:paraId="3FD0DF17" w14:textId="77777777" w:rsidTr="00F67720">
        <w:tc>
          <w:tcPr>
            <w:tcW w:w="1055" w:type="dxa"/>
            <w:tcMar>
              <w:top w:w="40" w:type="dxa"/>
              <w:left w:w="40" w:type="dxa"/>
              <w:bottom w:w="40" w:type="dxa"/>
              <w:right w:w="40" w:type="dxa"/>
            </w:tcMar>
            <w:vAlign w:val="bottom"/>
          </w:tcPr>
          <w:p w14:paraId="445BBC4E" w14:textId="77777777" w:rsidR="00BE09F0" w:rsidRPr="00FD54EA" w:rsidRDefault="00FD54EA">
            <w:pPr>
              <w:widowControl w:val="0"/>
              <w:rPr>
                <w:color w:val="000000" w:themeColor="text1"/>
                <w:sz w:val="10"/>
                <w:szCs w:val="10"/>
              </w:rPr>
            </w:pPr>
            <w:r w:rsidRPr="00FD54EA">
              <w:rPr>
                <w:color w:val="000000" w:themeColor="text1"/>
                <w:sz w:val="10"/>
                <w:szCs w:val="10"/>
              </w:rPr>
              <w:t>HighLegumes</w:t>
            </w:r>
          </w:p>
        </w:tc>
        <w:tc>
          <w:tcPr>
            <w:tcW w:w="9730" w:type="dxa"/>
            <w:shd w:val="clear" w:color="auto" w:fill="auto"/>
            <w:tcMar>
              <w:top w:w="40" w:type="dxa"/>
              <w:left w:w="40" w:type="dxa"/>
              <w:bottom w:w="40" w:type="dxa"/>
              <w:right w:w="40" w:type="dxa"/>
            </w:tcMar>
            <w:vAlign w:val="bottom"/>
          </w:tcPr>
          <w:p w14:paraId="0E53CC4A" w14:textId="45A6EF4D" w:rsidR="00BE09F0" w:rsidRPr="00FD54EA" w:rsidRDefault="00FD54EA">
            <w:pPr>
              <w:widowControl w:val="0"/>
              <w:rPr>
                <w:color w:val="000000" w:themeColor="text1"/>
                <w:sz w:val="10"/>
                <w:szCs w:val="10"/>
              </w:rPr>
            </w:pPr>
            <w:r w:rsidRPr="00FD54EA">
              <w:rPr>
                <w:color w:val="000000" w:themeColor="text1"/>
                <w:sz w:val="10"/>
                <w:szCs w:val="10"/>
              </w:rPr>
              <w:t>The intake of legumes is increased to the recommendation by the planetary health diet</w:t>
            </w:r>
            <w:r w:rsidR="009E54D2">
              <w:rPr>
                <w:color w:val="000000" w:themeColor="text1"/>
                <w:sz w:val="10"/>
                <w:szCs w:val="10"/>
              </w:rPr>
              <w:fldChar w:fldCharType="begin"/>
            </w:r>
            <w:r w:rsidR="009E54D2">
              <w:rPr>
                <w:color w:val="000000" w:themeColor="text1"/>
                <w:sz w:val="10"/>
                <w:szCs w:val="10"/>
              </w:rPr>
              <w:instrText xml:space="preserve"> ADDIN ZOTERO_ITEM CSL_CITATION {"citationID":"jWNeEYJu","properties":{"formattedCitation":"\\super 6,7\\nosupersub{}","plainCitation":"6,7","noteIndex":0},"citationItems":[{"id":5201,"uris":["http://zotero.org/users/694717/items/VJL5MMFA"],"itemData":{"id":5201,"type":"article-journal","container-title":"The Lancet","DOI":"10.1016/S0140-6736(18)31788-4","ISSN":"01406736","language":"en","source":"Crossref","title":"Food in the Anthropocene: the EAT–Lancet Commission on healthy diets from sustainable food systems","title-short":"Food in the Anthropocene","URL":"https://linkinghub.elsevier.com/retrieve/pii/S0140673618317884","author":[{"family":"Willett","given":"Walter"},{"family":"Rockström","given":"Johan"},{"family":"Loken","given":"Brent"},{"family":"Springmann","given":"Marco"},{"family":"Lang","given":"Tim"},{"family":"Vermeulen","given":"Sonja"},{"family":"Garnett","given":"Tara"},{"family":"Tilman","given":"David"},{"family":"DeClerck","given":"Fabrice"},{"family":"Wood","given":"Amanda"},{"family":"Jonell","given":"Malin"},{"family":"Clark","given":"Michael"},{"family":"Gordon","given":"Line J"},{"family":"Fanzo","given":"Jessica"},{"family":"Hawkes","given":"Corinna"},{"family":"Zurayk","given":"Rami"},{"family":"Rivera","given":"Juan A"},{"family":"De Vries","given":"Wim"},{"family":"Majele Sibanda","given":"Lindiwe"},{"family":"Afshin","given":"Ashkan"},{"family":"Chaudhary","given":"Abhishek"},{"family":"Herrero","given":"Mario"},{"family":"Agustina","given":"Rina"},{"family":"Branca","given":"Francesco"},{"family":"Lartey","given":"Anna"},{"family":"Fan","given":"Shenggen"},{"family":"Crona","given":"Beatrice"},{"family":"Fox","given":"Elizabeth"},{"family":"Bignet","given":"Victoria"},{"family":"Troell","given":"Max"},{"family":"Lindahl","given":"Therese"},{"family":"Singh","given":"Sudhvir"},{"family":"Cornell","given":"Sarah E"},{"family":"Srinath Reddy","given":"K"},{"family":"Narain","given":"Sunita"},{"family":"Nishtar","given":"Sania"},{"family":"Murray","given":"Christopher J L"}],"accessed":{"date-parts":[["2019",1,18]]},"issued":{"date-parts":[["2019",1]]}}},{"id":4899,"uris":["http://zotero.org/users/694717/items/HZSFD8Y9"],"itemData":{"id":4899,"type":"article-journal","abstract":"The food system is a major driver of climate change, changes in land use, depletion of freshwater resources, and pollution of aquatic and terrestrial ecosystems through excessive nitrogen and phosphorus inputs. Here we show that between 2010 and 2050, as a result of expected changes in population and income levels, the environmental effects of the food system could increase by 50–90% in the absence of technological changes and dedicated mitigation measures, reaching levels that are beyond the planetary boundaries that define a safe operating space for humanity. We analyse several options for reducing the environmental effects of the food system, including dietary changes towards healthier, more plant-based diets, improvements in technologies and management, and reductions in food loss and waste. We find that no single measure is enough to keep these effects within all planetary boundaries simultaneously, and that a synergistic combination of measures will be needed to sufficiently mitigate the projected increase in environmental pressures.","container-title":"Nature","DOI":"10.1038/s41586-018-0594-0","ISSN":"1476-4687","language":"en","license":"2018 Springer Nature Limited","source":"www.nature.com","title":"Options for keeping the food system within environmental limits","URL":"https://www.nature.com/articles/s41586-018-0594-0","author":[{"family":"Springmann","given":"Marco"},{"family":"Clark","given":"Michael"},{"family":"Mason-D’Croz","given":"Daniel"},{"family":"Wiebe","given":"Keith"},{"family":"Bodirsky","given":"Benjamin Leon"},{"family":"Lassaletta","given":"Luis"},{"family":"Vries","given":"Wim","dropping-particle":"de"},{"family":"Vermeulen","given":"Sonja J."},{"family":"Herrero","given":"Mario"},{"family":"Carlson","given":"Kimberly M."},{"family":"Jonell","given":"Malin"},{"family":"Troell","given":"Max"},{"family":"DeClerck","given":"Fabrice"},{"family":"Gordon","given":"Line J."},{"family":"Zurayk","given":"Rami"},{"family":"Scarborough","given":"Peter"},{"family":"Rayner","given":"Mike"},{"family":"Loken","given":"Brent"},{"family":"Fanzo","given":"Jess"},{"family":"Godfray","given":"H. Charles J."},{"family":"Tilman","given":"David"},{"family":"Rockström","given":"Johan"},{"family":"Willett","given":"Walter"}],"accessed":{"date-parts":[["2018",10,10]]},"issued":{"date-parts":[["2018",10,10]]}}}],"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6,7</w:t>
            </w:r>
            <w:r w:rsidR="009E54D2">
              <w:rPr>
                <w:color w:val="000000" w:themeColor="text1"/>
                <w:sz w:val="10"/>
                <w:szCs w:val="10"/>
              </w:rPr>
              <w:fldChar w:fldCharType="end"/>
            </w:r>
            <w:r w:rsidRPr="00FD54EA">
              <w:rPr>
                <w:color w:val="000000" w:themeColor="text1"/>
                <w:sz w:val="10"/>
                <w:szCs w:val="10"/>
              </w:rPr>
              <w:t xml:space="preserve"> in countries where these values are not already fulfilled. The consumption of staple foods (cereals, roots, tubers) is reduced to keep total food calorie intake constant.</w:t>
            </w:r>
          </w:p>
        </w:tc>
      </w:tr>
      <w:tr w:rsidR="00FD54EA" w:rsidRPr="00FD54EA" w14:paraId="372337BB" w14:textId="77777777" w:rsidTr="00F67720">
        <w:tc>
          <w:tcPr>
            <w:tcW w:w="1055" w:type="dxa"/>
            <w:tcMar>
              <w:top w:w="40" w:type="dxa"/>
              <w:left w:w="40" w:type="dxa"/>
              <w:bottom w:w="40" w:type="dxa"/>
              <w:right w:w="40" w:type="dxa"/>
            </w:tcMar>
            <w:vAlign w:val="bottom"/>
          </w:tcPr>
          <w:p w14:paraId="4B0B55A3" w14:textId="77777777" w:rsidR="00BE09F0" w:rsidRPr="00FD54EA" w:rsidRDefault="00FD54EA">
            <w:pPr>
              <w:widowControl w:val="0"/>
              <w:rPr>
                <w:color w:val="000000" w:themeColor="text1"/>
                <w:sz w:val="10"/>
                <w:szCs w:val="10"/>
              </w:rPr>
            </w:pPr>
            <w:r w:rsidRPr="00FD54EA">
              <w:rPr>
                <w:color w:val="000000" w:themeColor="text1"/>
                <w:sz w:val="10"/>
                <w:szCs w:val="10"/>
              </w:rPr>
              <w:t>LowMonogastrics</w:t>
            </w:r>
          </w:p>
        </w:tc>
        <w:tc>
          <w:tcPr>
            <w:tcW w:w="9730" w:type="dxa"/>
            <w:tcMar>
              <w:top w:w="40" w:type="dxa"/>
              <w:left w:w="40" w:type="dxa"/>
              <w:bottom w:w="40" w:type="dxa"/>
              <w:right w:w="40" w:type="dxa"/>
            </w:tcMar>
            <w:vAlign w:val="bottom"/>
          </w:tcPr>
          <w:p w14:paraId="0CE137B8" w14:textId="468FF1E5" w:rsidR="00BE09F0" w:rsidRPr="00FD54EA" w:rsidRDefault="00FD54EA">
            <w:pPr>
              <w:widowControl w:val="0"/>
              <w:rPr>
                <w:color w:val="000000" w:themeColor="text1"/>
                <w:sz w:val="10"/>
                <w:szCs w:val="10"/>
              </w:rPr>
            </w:pPr>
            <w:r w:rsidRPr="00FD54EA">
              <w:rPr>
                <w:color w:val="000000" w:themeColor="text1"/>
                <w:sz w:val="10"/>
                <w:szCs w:val="10"/>
              </w:rPr>
              <w:t>The intake of poultry meat, monogastric meat and eggs is capped at the recommended intake of the planetary health diet</w:t>
            </w:r>
            <w:r w:rsidR="009E54D2">
              <w:rPr>
                <w:color w:val="000000" w:themeColor="text1"/>
                <w:sz w:val="10"/>
                <w:szCs w:val="10"/>
              </w:rPr>
              <w:fldChar w:fldCharType="begin"/>
            </w:r>
            <w:r w:rsidR="009E54D2">
              <w:rPr>
                <w:color w:val="000000" w:themeColor="text1"/>
                <w:sz w:val="10"/>
                <w:szCs w:val="10"/>
              </w:rPr>
              <w:instrText xml:space="preserve"> ADDIN ZOTERO_ITEM CSL_CITATION {"citationID":"0id1R5yq","properties":{"formattedCitation":"\\super 6,7\\nosupersub{}","plainCitation":"6,7","noteIndex":0},"citationItems":[{"id":5201,"uris":["http://zotero.org/users/694717/items/VJL5MMFA"],"itemData":{"id":5201,"type":"article-journal","container-title":"The Lancet","DOI":"10.1016/S0140-6736(18)31788-4","ISSN":"01406736","language":"en","source":"Crossref","title":"Food in the Anthropocene: the EAT–Lancet Commission on healthy diets from sustainable food systems","title-short":"Food in the Anthropocene","URL":"https://linkinghub.elsevier.com/retrieve/pii/S0140673618317884","author":[{"family":"Willett","given":"Walter"},{"family":"Rockström","given":"Johan"},{"family":"Loken","given":"Brent"},{"family":"Springmann","given":"Marco"},{"family":"Lang","given":"Tim"},{"family":"Vermeulen","given":"Sonja"},{"family":"Garnett","given":"Tara"},{"family":"Tilman","given":"David"},{"family":"DeClerck","given":"Fabrice"},{"family":"Wood","given":"Amanda"},{"family":"Jonell","given":"Malin"},{"family":"Clark","given":"Michael"},{"family":"Gordon","given":"Line J"},{"family":"Fanzo","given":"Jessica"},{"family":"Hawkes","given":"Corinna"},{"family":"Zurayk","given":"Rami"},{"family":"Rivera","given":"Juan A"},{"family":"De Vries","given":"Wim"},{"family":"Majele Sibanda","given":"Lindiwe"},{"family":"Afshin","given":"Ashkan"},{"family":"Chaudhary","given":"Abhishek"},{"family":"Herrero","given":"Mario"},{"family":"Agustina","given":"Rina"},{"family":"Branca","given":"Francesco"},{"family":"Lartey","given":"Anna"},{"family":"Fan","given":"Shenggen"},{"family":"Crona","given":"Beatrice"},{"family":"Fox","given":"Elizabeth"},{"family":"Bignet","given":"Victoria"},{"family":"Troell","given":"Max"},{"family":"Lindahl","given":"Therese"},{"family":"Singh","given":"Sudhvir"},{"family":"Cornell","given":"Sarah E"},{"family":"Srinath Reddy","given":"K"},{"family":"Narain","given":"Sunita"},{"family":"Nishtar","given":"Sania"},{"family":"Murray","given":"Christopher J L"}],"accessed":{"date-parts":[["2019",1,18]]},"issued":{"date-parts":[["2019",1]]}}},{"id":4899,"uris":["http://zotero.org/users/694717/items/HZSFD8Y9"],"itemData":{"id":4899,"type":"article-journal","abstract":"The food system is a major driver of climate change, changes in land use, depletion of freshwater resources, and pollution of aquatic and terrestrial ecosystems through excessive nitrogen and phosphorus inputs. Here we show that between 2010 and 2050, as a result of expected changes in population and income levels, the environmental effects of the food system could increase by 50–90% in the absence of technological changes and dedicated mitigation measures, reaching levels that are beyond the planetary boundaries that define a safe operating space for humanity. We analyse several options for reducing the environmental effects of the food system, including dietary changes towards healthier, more plant-based diets, improvements in technologies and management, and reductions in food loss and waste. We find that no single measure is enough to keep these effects within all planetary boundaries simultaneously, and that a synergistic combination of measures will be needed to sufficiently mitigate the projected increase in environmental pressures.","container-title":"Nature","DOI":"10.1038/s41586-018-0594-0","ISSN":"1476-4687","language":"en","license":"2018 Springer Nature Limited","source":"www.nature.com","title":"Options for keeping the food system within environmental limits","URL":"https://www.nature.com/articles/s41586-018-0594-0","author":[{"family":"Springmann","given":"Marco"},{"family":"Clark","given":"Michael"},{"family":"Mason-D’Croz","given":"Daniel"},{"family":"Wiebe","given":"Keith"},{"family":"Bodirsky","given":"Benjamin Leon"},{"family":"Lassaletta","given":"Luis"},{"family":"Vries","given":"Wim","dropping-particle":"de"},{"family":"Vermeulen","given":"Sonja J."},{"family":"Herrero","given":"Mario"},{"family":"Carlson","given":"Kimberly M."},{"family":"Jonell","given":"Malin"},{"family":"Troell","given":"Max"},{"family":"DeClerck","given":"Fabrice"},{"family":"Gordon","given":"Line J."},{"family":"Zurayk","given":"Rami"},{"family":"Scarborough","given":"Peter"},{"family":"Rayner","given":"Mike"},{"family":"Loken","given":"Brent"},{"family":"Fanzo","given":"Jess"},{"family":"Godfray","given":"H. Charles J."},{"family":"Tilman","given":"David"},{"family":"Rockström","given":"Johan"},{"family":"Willett","given":"Walter"}],"accessed":{"date-parts":[["2018",10,10]]},"issued":{"date-parts":[["2018",10,10]]}}}],"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6,7</w:t>
            </w:r>
            <w:r w:rsidR="009E54D2">
              <w:rPr>
                <w:color w:val="000000" w:themeColor="text1"/>
                <w:sz w:val="10"/>
                <w:szCs w:val="10"/>
              </w:rPr>
              <w:fldChar w:fldCharType="end"/>
            </w:r>
            <w:r w:rsidRPr="00FD54EA">
              <w:rPr>
                <w:color w:val="000000" w:themeColor="text1"/>
                <w:sz w:val="10"/>
                <w:szCs w:val="10"/>
              </w:rPr>
              <w:t>. The consumption of staple foods (cereals, roots, tubers) is adjusted to keep total food calorie intake constant.</w:t>
            </w:r>
          </w:p>
        </w:tc>
      </w:tr>
      <w:tr w:rsidR="00FD54EA" w:rsidRPr="00FD54EA" w14:paraId="7D53783F" w14:textId="77777777" w:rsidTr="00F67720">
        <w:tc>
          <w:tcPr>
            <w:tcW w:w="1055" w:type="dxa"/>
            <w:tcMar>
              <w:top w:w="40" w:type="dxa"/>
              <w:left w:w="40" w:type="dxa"/>
              <w:bottom w:w="40" w:type="dxa"/>
              <w:right w:w="40" w:type="dxa"/>
            </w:tcMar>
            <w:vAlign w:val="bottom"/>
          </w:tcPr>
          <w:p w14:paraId="5D1DC903" w14:textId="77777777" w:rsidR="00BE09F0" w:rsidRPr="00FD54EA" w:rsidRDefault="00FD54EA">
            <w:pPr>
              <w:widowControl w:val="0"/>
              <w:rPr>
                <w:color w:val="000000" w:themeColor="text1"/>
                <w:sz w:val="10"/>
                <w:szCs w:val="10"/>
              </w:rPr>
            </w:pPr>
            <w:r w:rsidRPr="00FD54EA">
              <w:rPr>
                <w:color w:val="000000" w:themeColor="text1"/>
                <w:sz w:val="10"/>
                <w:szCs w:val="10"/>
              </w:rPr>
              <w:t>LowRuminants</w:t>
            </w:r>
          </w:p>
        </w:tc>
        <w:tc>
          <w:tcPr>
            <w:tcW w:w="9730" w:type="dxa"/>
            <w:tcMar>
              <w:top w:w="40" w:type="dxa"/>
              <w:left w:w="40" w:type="dxa"/>
              <w:bottom w:w="40" w:type="dxa"/>
              <w:right w:w="40" w:type="dxa"/>
            </w:tcMar>
            <w:vAlign w:val="bottom"/>
          </w:tcPr>
          <w:p w14:paraId="5AB56E40" w14:textId="2E9D44F4" w:rsidR="00BE09F0" w:rsidRPr="00FD54EA" w:rsidRDefault="00FD54EA">
            <w:pPr>
              <w:widowControl w:val="0"/>
              <w:rPr>
                <w:color w:val="000000" w:themeColor="text1"/>
                <w:sz w:val="10"/>
                <w:szCs w:val="10"/>
              </w:rPr>
            </w:pPr>
            <w:r w:rsidRPr="00FD54EA">
              <w:rPr>
                <w:color w:val="000000" w:themeColor="text1"/>
                <w:sz w:val="10"/>
                <w:szCs w:val="10"/>
              </w:rPr>
              <w:t>The intake of ruminant meat and milk products is capped at the recommended intake of the planetary health diet</w:t>
            </w:r>
            <w:r w:rsidR="009E54D2">
              <w:rPr>
                <w:color w:val="000000" w:themeColor="text1"/>
                <w:sz w:val="10"/>
                <w:szCs w:val="10"/>
              </w:rPr>
              <w:fldChar w:fldCharType="begin"/>
            </w:r>
            <w:r w:rsidR="009E54D2">
              <w:rPr>
                <w:color w:val="000000" w:themeColor="text1"/>
                <w:sz w:val="10"/>
                <w:szCs w:val="10"/>
              </w:rPr>
              <w:instrText xml:space="preserve"> ADDIN ZOTERO_ITEM CSL_CITATION {"citationID":"XgUhZ3Ri","properties":{"formattedCitation":"\\super 6,7\\nosupersub{}","plainCitation":"6,7","noteIndex":0},"citationItems":[{"id":5201,"uris":["http://zotero.org/users/694717/items/VJL5MMFA"],"itemData":{"id":5201,"type":"article-journal","container-title":"The Lancet","DOI":"10.1016/S0140-6736(18)31788-4","ISSN":"01406736","language":"en","source":"Crossref","title":"Food in the Anthropocene: the EAT–Lancet Commission on healthy diets from sustainable food systems","title-short":"Food in the Anthropocene","URL":"https://linkinghub.elsevier.com/retrieve/pii/S0140673618317884","author":[{"family":"Willett","given":"Walter"},{"family":"Rockström","given":"Johan"},{"family":"Loken","given":"Brent"},{"family":"Springmann","given":"Marco"},{"family":"Lang","given":"Tim"},{"family":"Vermeulen","given":"Sonja"},{"family":"Garnett","given":"Tara"},{"family":"Tilman","given":"David"},{"family":"DeClerck","given":"Fabrice"},{"family":"Wood","given":"Amanda"},{"family":"Jonell","given":"Malin"},{"family":"Clark","given":"Michael"},{"family":"Gordon","given":"Line J"},{"family":"Fanzo","given":"Jessica"},{"family":"Hawkes","given":"Corinna"},{"family":"Zurayk","given":"Rami"},{"family":"Rivera","given":"Juan A"},{"family":"De Vries","given":"Wim"},{"family":"Majele Sibanda","given":"Lindiwe"},{"family":"Afshin","given":"Ashkan"},{"family":"Chaudhary","given":"Abhishek"},{"family":"Herrero","given":"Mario"},{"family":"Agustina","given":"Rina"},{"family":"Branca","given":"Francesco"},{"family":"Lartey","given":"Anna"},{"family":"Fan","given":"Shenggen"},{"family":"Crona","given":"Beatrice"},{"family":"Fox","given":"Elizabeth"},{"family":"Bignet","given":"Victoria"},{"family":"Troell","given":"Max"},{"family":"Lindahl","given":"Therese"},{"family":"Singh","given":"Sudhvir"},{"family":"Cornell","given":"Sarah E"},{"family":"Srinath Reddy","given":"K"},{"family":"Narain","given":"Sunita"},{"family":"Nishtar","given":"Sania"},{"family":"Murray","given":"Christopher J L"}],"accessed":{"date-parts":[["2019",1,18]]},"issued":{"date-parts":[["2019",1]]}}},{"id":4899,"uris":["http://zotero.org/users/694717/items/HZSFD8Y9"],"itemData":{"id":4899,"type":"article-journal","abstract":"The food system is a major driver of climate change, changes in land use, depletion of freshwater resources, and pollution of aquatic and terrestrial ecosystems through excessive nitrogen and phosphorus inputs. Here we show that between 2010 and 2050, as a result of expected changes in population and income levels, the environmental effects of the food system could increase by 50–90% in the absence of technological changes and dedicated mitigation measures, reaching levels that are beyond the planetary boundaries that define a safe operating space for humanity. We analyse several options for reducing the environmental effects of the food system, including dietary changes towards healthier, more plant-based diets, improvements in technologies and management, and reductions in food loss and waste. We find that no single measure is enough to keep these effects within all planetary boundaries simultaneously, and that a synergistic combination of measures will be needed to sufficiently mitigate the projected increase in environmental pressures.","container-title":"Nature","DOI":"10.1038/s41586-018-0594-0","ISSN":"1476-4687","language":"en","license":"2018 Springer Nature Limited","source":"www.nature.com","title":"Options for keeping the food system within environmental limits","URL":"https://www.nature.com/articles/s41586-018-0594-0","author":[{"family":"Springmann","given":"Marco"},{"family":"Clark","given":"Michael"},{"family":"Mason-D’Croz","given":"Daniel"},{"family":"Wiebe","given":"Keith"},{"family":"Bodirsky","given":"Benjamin Leon"},{"family":"Lassaletta","given":"Luis"},{"family":"Vries","given":"Wim","dropping-particle":"de"},{"family":"Vermeulen","given":"Sonja J."},{"family":"Herrero","given":"Mario"},{"family":"Carlson","given":"Kimberly M."},{"family":"Jonell","given":"Malin"},{"family":"Troell","given":"Max"},{"family":"DeClerck","given":"Fabrice"},{"family":"Gordon","given":"Line J."},{"family":"Zurayk","given":"Rami"},{"family":"Scarborough","given":"Peter"},{"family":"Rayner","given":"Mike"},{"family":"Loken","given":"Brent"},{"family":"Fanzo","given":"Jess"},{"family":"Godfray","given":"H. Charles J."},{"family":"Tilman","given":"David"},{"family":"Rockström","given":"Johan"},{"family":"Willett","given":"Walter"}],"accessed":{"date-parts":[["2018",10,10]]},"issued":{"date-parts":[["2018",10,10]]}}}],"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6,7</w:t>
            </w:r>
            <w:r w:rsidR="009E54D2">
              <w:rPr>
                <w:color w:val="000000" w:themeColor="text1"/>
                <w:sz w:val="10"/>
                <w:szCs w:val="10"/>
              </w:rPr>
              <w:fldChar w:fldCharType="end"/>
            </w:r>
            <w:r w:rsidRPr="00FD54EA">
              <w:rPr>
                <w:color w:val="000000" w:themeColor="text1"/>
                <w:sz w:val="10"/>
                <w:szCs w:val="10"/>
              </w:rPr>
              <w:t>. The consumption of staple foods (cereals, roots, tubers) is adjusted to keep total food calorie intake constant.</w:t>
            </w:r>
          </w:p>
        </w:tc>
      </w:tr>
      <w:tr w:rsidR="00FD54EA" w:rsidRPr="00FD54EA" w14:paraId="7093D55A" w14:textId="77777777" w:rsidTr="00F67720">
        <w:tc>
          <w:tcPr>
            <w:tcW w:w="1055" w:type="dxa"/>
            <w:tcMar>
              <w:top w:w="40" w:type="dxa"/>
              <w:left w:w="40" w:type="dxa"/>
              <w:bottom w:w="40" w:type="dxa"/>
              <w:right w:w="40" w:type="dxa"/>
            </w:tcMar>
            <w:vAlign w:val="bottom"/>
          </w:tcPr>
          <w:p w14:paraId="0638F16A" w14:textId="77777777" w:rsidR="00BE09F0" w:rsidRPr="00FD54EA" w:rsidRDefault="00FD54EA">
            <w:pPr>
              <w:widowControl w:val="0"/>
              <w:rPr>
                <w:color w:val="000000" w:themeColor="text1"/>
                <w:sz w:val="10"/>
                <w:szCs w:val="10"/>
              </w:rPr>
            </w:pPr>
            <w:r w:rsidRPr="00FD54EA">
              <w:rPr>
                <w:color w:val="000000" w:themeColor="text1"/>
                <w:sz w:val="10"/>
                <w:szCs w:val="10"/>
              </w:rPr>
              <w:t>DietVegFruisNutsSeeds</w:t>
            </w:r>
          </w:p>
        </w:tc>
        <w:tc>
          <w:tcPr>
            <w:tcW w:w="9730" w:type="dxa"/>
            <w:tcMar>
              <w:top w:w="40" w:type="dxa"/>
              <w:left w:w="40" w:type="dxa"/>
              <w:bottom w:w="40" w:type="dxa"/>
              <w:right w:w="40" w:type="dxa"/>
            </w:tcMar>
            <w:vAlign w:val="bottom"/>
          </w:tcPr>
          <w:p w14:paraId="519231F8" w14:textId="24049AB1" w:rsidR="00BE09F0" w:rsidRPr="00FD54EA" w:rsidRDefault="00FD54EA">
            <w:pPr>
              <w:widowControl w:val="0"/>
              <w:rPr>
                <w:color w:val="000000" w:themeColor="text1"/>
                <w:sz w:val="10"/>
                <w:szCs w:val="10"/>
              </w:rPr>
            </w:pPr>
            <w:r w:rsidRPr="00FD54EA">
              <w:rPr>
                <w:color w:val="000000" w:themeColor="text1"/>
                <w:sz w:val="10"/>
                <w:szCs w:val="10"/>
              </w:rPr>
              <w:t>The intake of vegetables, fruits, nuts and seeds is increased to levels recommended by the planetary health diet</w:t>
            </w:r>
            <w:r w:rsidR="009E54D2">
              <w:rPr>
                <w:color w:val="000000" w:themeColor="text1"/>
                <w:sz w:val="10"/>
                <w:szCs w:val="10"/>
              </w:rPr>
              <w:fldChar w:fldCharType="begin"/>
            </w:r>
            <w:r w:rsidR="009E54D2">
              <w:rPr>
                <w:color w:val="000000" w:themeColor="text1"/>
                <w:sz w:val="10"/>
                <w:szCs w:val="10"/>
              </w:rPr>
              <w:instrText xml:space="preserve"> ADDIN ZOTERO_ITEM CSL_CITATION {"citationID":"LN0dnOna","properties":{"formattedCitation":"\\super 6,7\\nosupersub{}","plainCitation":"6,7","noteIndex":0},"citationItems":[{"id":5201,"uris":["http://zotero.org/users/694717/items/VJL5MMFA"],"itemData":{"id":5201,"type":"article-journal","container-title":"The Lancet","DOI":"10.1016/S0140-6736(18)31788-4","ISSN":"01406736","language":"en","source":"Crossref","title":"Food in the Anthropocene: the EAT–Lancet Commission on healthy diets from sustainable food systems","title-short":"Food in the Anthropocene","URL":"https://linkinghub.elsevier.com/retrieve/pii/S0140673618317884","author":[{"family":"Willett","given":"Walter"},{"family":"Rockström","given":"Johan"},{"family":"Loken","given":"Brent"},{"family":"Springmann","given":"Marco"},{"family":"Lang","given":"Tim"},{"family":"Vermeulen","given":"Sonja"},{"family":"Garnett","given":"Tara"},{"family":"Tilman","given":"David"},{"family":"DeClerck","given":"Fabrice"},{"family":"Wood","given":"Amanda"},{"family":"Jonell","given":"Malin"},{"family":"Clark","given":"Michael"},{"family":"Gordon","given":"Line J"},{"family":"Fanzo","given":"Jessica"},{"family":"Hawkes","given":"Corinna"},{"family":"Zurayk","given":"Rami"},{"family":"Rivera","given":"Juan A"},{"family":"De Vries","given":"Wim"},{"family":"Majele Sibanda","given":"Lindiwe"},{"family":"Afshin","given":"Ashkan"},{"family":"Chaudhary","given":"Abhishek"},{"family":"Herrero","given":"Mario"},{"family":"Agustina","given":"Rina"},{"family":"Branca","given":"Francesco"},{"family":"Lartey","given":"Anna"},{"family":"Fan","given":"Shenggen"},{"family":"Crona","given":"Beatrice"},{"family":"Fox","given":"Elizabeth"},{"family":"Bignet","given":"Victoria"},{"family":"Troell","given":"Max"},{"family":"Lindahl","given":"Therese"},{"family":"Singh","given":"Sudhvir"},{"family":"Cornell","given":"Sarah E"},{"family":"Srinath Reddy","given":"K"},{"family":"Narain","given":"Sunita"},{"family":"Nishtar","given":"Sania"},{"family":"Murray","given":"Christopher J L"}],"accessed":{"date-parts":[["2019",1,18]]},"issued":{"date-parts":[["2019",1]]}}},{"id":4899,"uris":["http://zotero.org/users/694717/items/HZSFD8Y9"],"itemData":{"id":4899,"type":"article-journal","abstract":"The food system is a major driver of climate change, changes in land use, depletion of freshwater resources, and pollution of aquatic and terrestrial ecosystems through excessive nitrogen and phosphorus inputs. Here we show that between 2010 and 2050, as a result of expected changes in population and income levels, the environmental effects of the food system could increase by 50–90% in the absence of technological changes and dedicated mitigation measures, reaching levels that are beyond the planetary boundaries that define a safe operating space for humanity. We analyse several options for reducing the environmental effects of the food system, including dietary changes towards healthier, more plant-based diets, improvements in technologies and management, and reductions in food loss and waste. We find that no single measure is enough to keep these effects within all planetary boundaries simultaneously, and that a synergistic combination of measures will be needed to sufficiently mitigate the projected increase in environmental pressures.","container-title":"Nature","DOI":"10.1038/s41586-018-0594-0","ISSN":"1476-4687","language":"en","license":"2018 Springer Nature Limited","source":"www.nature.com","title":"Options for keeping the food system within environmental limits","URL":"https://www.nature.com/articles/s41586-018-0594-0","author":[{"family":"Springmann","given":"Marco"},{"family":"Clark","given":"Michael"},{"family":"Mason-D’Croz","given":"Daniel"},{"family":"Wiebe","given":"Keith"},{"family":"Bodirsky","given":"Benjamin Leon"},{"family":"Lassaletta","given":"Luis"},{"family":"Vries","given":"Wim","dropping-particle":"de"},{"family":"Vermeulen","given":"Sonja J."},{"family":"Herrero","given":"Mario"},{"family":"Carlson","given":"Kimberly M."},{"family":"Jonell","given":"Malin"},{"family":"Troell","given":"Max"},{"family":"DeClerck","given":"Fabrice"},{"family":"Gordon","given":"Line J."},{"family":"Zurayk","given":"Rami"},{"family":"Scarborough","given":"Peter"},{"family":"Rayner","given":"Mike"},{"family":"Loken","given":"Brent"},{"family":"Fanzo","given":"Jess"},{"family":"Godfray","given":"H. Charles J."},{"family":"Tilman","given":"David"},{"family":"Rockström","given":"Johan"},{"family":"Willett","given":"Walter"}],"accessed":{"date-parts":[["2018",10,10]]},"issued":{"date-parts":[["2018",10,10]]}}}],"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6,7</w:t>
            </w:r>
            <w:r w:rsidR="009E54D2">
              <w:rPr>
                <w:color w:val="000000" w:themeColor="text1"/>
                <w:sz w:val="10"/>
                <w:szCs w:val="10"/>
              </w:rPr>
              <w:fldChar w:fldCharType="end"/>
            </w:r>
            <w:r w:rsidRPr="00FD54EA">
              <w:rPr>
                <w:color w:val="000000" w:themeColor="text1"/>
                <w:sz w:val="10"/>
                <w:szCs w:val="10"/>
              </w:rPr>
              <w:t>. The consumption of staple foods (cereals, roots, tubers) is adjusted to keep total food calorie intake constant.</w:t>
            </w:r>
          </w:p>
        </w:tc>
      </w:tr>
      <w:tr w:rsidR="00FD54EA" w:rsidRPr="00FD54EA" w14:paraId="2FE1642E" w14:textId="77777777" w:rsidTr="00F67720">
        <w:tc>
          <w:tcPr>
            <w:tcW w:w="1055" w:type="dxa"/>
            <w:tcMar>
              <w:top w:w="40" w:type="dxa"/>
              <w:left w:w="40" w:type="dxa"/>
              <w:bottom w:w="40" w:type="dxa"/>
              <w:right w:w="40" w:type="dxa"/>
            </w:tcMar>
            <w:vAlign w:val="bottom"/>
          </w:tcPr>
          <w:p w14:paraId="726CCADD" w14:textId="77777777" w:rsidR="00BE09F0" w:rsidRPr="00FD54EA" w:rsidRDefault="00FD54EA">
            <w:pPr>
              <w:widowControl w:val="0"/>
              <w:rPr>
                <w:color w:val="000000" w:themeColor="text1"/>
                <w:sz w:val="10"/>
                <w:szCs w:val="10"/>
              </w:rPr>
            </w:pPr>
            <w:r w:rsidRPr="00FD54EA">
              <w:rPr>
                <w:color w:val="000000" w:themeColor="text1"/>
                <w:sz w:val="10"/>
                <w:szCs w:val="10"/>
              </w:rPr>
              <w:t>HalfOverweight</w:t>
            </w:r>
          </w:p>
        </w:tc>
        <w:tc>
          <w:tcPr>
            <w:tcW w:w="9730" w:type="dxa"/>
            <w:tcMar>
              <w:top w:w="40" w:type="dxa"/>
              <w:left w:w="40" w:type="dxa"/>
              <w:bottom w:w="40" w:type="dxa"/>
              <w:right w:w="40" w:type="dxa"/>
            </w:tcMar>
            <w:vAlign w:val="bottom"/>
          </w:tcPr>
          <w:p w14:paraId="52AF7326" w14:textId="77777777" w:rsidR="00BE09F0" w:rsidRPr="00FD54EA" w:rsidRDefault="00FD54EA">
            <w:pPr>
              <w:widowControl w:val="0"/>
              <w:rPr>
                <w:color w:val="000000" w:themeColor="text1"/>
                <w:sz w:val="10"/>
                <w:szCs w:val="10"/>
              </w:rPr>
            </w:pPr>
            <w:r w:rsidRPr="00FD54EA">
              <w:rPr>
                <w:color w:val="000000" w:themeColor="text1"/>
                <w:sz w:val="10"/>
                <w:szCs w:val="10"/>
              </w:rPr>
              <w:t>Calorie intake is reduced to achieve a reduction of overweight and obesity by 50% relative to the BASE scenario. Calorie reduction is BMI-class, country, age-group and sex specific. Intake of half of the people overweight or obese (BMI&gt;25 for adults, BMI +/-1STD for children) is reduced to intake recommended for a healthy BMI (20-25, BMI &lt;+1STD). Relative dietary composition is not affected. Intake of people in other BMI-classes is not affected.</w:t>
            </w:r>
          </w:p>
        </w:tc>
      </w:tr>
      <w:tr w:rsidR="00FD54EA" w:rsidRPr="00FD54EA" w14:paraId="2BE51059" w14:textId="77777777" w:rsidTr="00F67720">
        <w:tc>
          <w:tcPr>
            <w:tcW w:w="1055" w:type="dxa"/>
            <w:tcMar>
              <w:top w:w="40" w:type="dxa"/>
              <w:left w:w="40" w:type="dxa"/>
              <w:bottom w:w="40" w:type="dxa"/>
              <w:right w:w="40" w:type="dxa"/>
            </w:tcMar>
            <w:vAlign w:val="bottom"/>
          </w:tcPr>
          <w:p w14:paraId="74CCF759" w14:textId="77777777" w:rsidR="00BE09F0" w:rsidRPr="00FD54EA" w:rsidRDefault="00FD54EA">
            <w:pPr>
              <w:widowControl w:val="0"/>
              <w:rPr>
                <w:color w:val="000000" w:themeColor="text1"/>
                <w:sz w:val="10"/>
                <w:szCs w:val="10"/>
              </w:rPr>
            </w:pPr>
            <w:r w:rsidRPr="00FD54EA">
              <w:rPr>
                <w:color w:val="000000" w:themeColor="text1"/>
                <w:sz w:val="10"/>
                <w:szCs w:val="10"/>
              </w:rPr>
              <w:t>NoUnderweight</w:t>
            </w:r>
          </w:p>
        </w:tc>
        <w:tc>
          <w:tcPr>
            <w:tcW w:w="9730" w:type="dxa"/>
            <w:tcMar>
              <w:top w:w="40" w:type="dxa"/>
              <w:left w:w="40" w:type="dxa"/>
              <w:bottom w:w="40" w:type="dxa"/>
              <w:right w:w="40" w:type="dxa"/>
            </w:tcMar>
            <w:vAlign w:val="bottom"/>
          </w:tcPr>
          <w:p w14:paraId="763A0BD6" w14:textId="77777777" w:rsidR="00BE09F0" w:rsidRPr="00FD54EA" w:rsidRDefault="00FD54EA">
            <w:pPr>
              <w:widowControl w:val="0"/>
              <w:rPr>
                <w:color w:val="000000" w:themeColor="text1"/>
                <w:sz w:val="10"/>
                <w:szCs w:val="10"/>
              </w:rPr>
            </w:pPr>
            <w:r w:rsidRPr="00FD54EA">
              <w:rPr>
                <w:color w:val="000000" w:themeColor="text1"/>
                <w:sz w:val="10"/>
                <w:szCs w:val="10"/>
              </w:rPr>
              <w:t>Calorie intake is increased in line with a complete eradication of underweight until 2050 for all age cohorts and sex classes in all countries. Calorie increase is BMI-class, country, age-group and sex specific. Caloric intake of adults with BMI&lt;20 and children with BMII &lt; -1STD is increased to the intake recommended for a healthy BMI (20-25, BMI &lt;+1STD). Relative dietary composition is not affected. Intake of people in other BMI-classes is not affected.</w:t>
            </w:r>
          </w:p>
        </w:tc>
      </w:tr>
      <w:tr w:rsidR="00FD54EA" w:rsidRPr="00FD54EA" w14:paraId="4A3D8898" w14:textId="77777777" w:rsidTr="00F67720">
        <w:tc>
          <w:tcPr>
            <w:tcW w:w="1055" w:type="dxa"/>
            <w:tcMar>
              <w:top w:w="40" w:type="dxa"/>
              <w:left w:w="40" w:type="dxa"/>
              <w:bottom w:w="40" w:type="dxa"/>
              <w:right w:w="40" w:type="dxa"/>
            </w:tcMar>
            <w:vAlign w:val="bottom"/>
          </w:tcPr>
          <w:p w14:paraId="0DB0E6B3" w14:textId="77777777" w:rsidR="00BE09F0" w:rsidRPr="00FD54EA" w:rsidRDefault="00FD54EA">
            <w:pPr>
              <w:widowControl w:val="0"/>
              <w:rPr>
                <w:color w:val="000000" w:themeColor="text1"/>
                <w:sz w:val="10"/>
                <w:szCs w:val="10"/>
              </w:rPr>
            </w:pPr>
            <w:r w:rsidRPr="00FD54EA">
              <w:rPr>
                <w:color w:val="000000" w:themeColor="text1"/>
                <w:sz w:val="10"/>
                <w:szCs w:val="10"/>
              </w:rPr>
              <w:t>LowFoodWaste</w:t>
            </w:r>
          </w:p>
        </w:tc>
        <w:tc>
          <w:tcPr>
            <w:tcW w:w="9730" w:type="dxa"/>
            <w:shd w:val="clear" w:color="auto" w:fill="auto"/>
            <w:tcMar>
              <w:top w:w="40" w:type="dxa"/>
              <w:left w:w="40" w:type="dxa"/>
              <w:bottom w:w="40" w:type="dxa"/>
              <w:right w:w="40" w:type="dxa"/>
            </w:tcMar>
            <w:vAlign w:val="bottom"/>
          </w:tcPr>
          <w:p w14:paraId="568F15A0" w14:textId="77777777" w:rsidR="00BE09F0" w:rsidRPr="00FD54EA" w:rsidRDefault="00FD54EA">
            <w:pPr>
              <w:widowControl w:val="0"/>
              <w:rPr>
                <w:color w:val="000000" w:themeColor="text1"/>
                <w:sz w:val="10"/>
                <w:szCs w:val="10"/>
              </w:rPr>
            </w:pPr>
            <w:r w:rsidRPr="00FD54EA">
              <w:rPr>
                <w:color w:val="000000" w:themeColor="text1"/>
                <w:sz w:val="10"/>
                <w:szCs w:val="10"/>
              </w:rPr>
              <w:t>Food waste in households and retail (difference between calorie intake and FAO food availability) is reduced to a maximum of 20% of intake.</w:t>
            </w:r>
          </w:p>
        </w:tc>
      </w:tr>
      <w:tr w:rsidR="00FD54EA" w:rsidRPr="00FD54EA" w14:paraId="2870918D" w14:textId="77777777" w:rsidTr="00F67720">
        <w:tc>
          <w:tcPr>
            <w:tcW w:w="1055" w:type="dxa"/>
            <w:tcMar>
              <w:top w:w="40" w:type="dxa"/>
              <w:left w:w="40" w:type="dxa"/>
              <w:bottom w:w="40" w:type="dxa"/>
              <w:right w:w="40" w:type="dxa"/>
            </w:tcMar>
            <w:vAlign w:val="bottom"/>
          </w:tcPr>
          <w:p w14:paraId="35AE1785" w14:textId="77777777" w:rsidR="00BE09F0" w:rsidRPr="00FD54EA" w:rsidRDefault="00FD54EA">
            <w:pPr>
              <w:widowControl w:val="0"/>
              <w:rPr>
                <w:color w:val="000000" w:themeColor="text1"/>
                <w:sz w:val="10"/>
                <w:szCs w:val="10"/>
              </w:rPr>
            </w:pPr>
            <w:r w:rsidRPr="00FD54EA">
              <w:rPr>
                <w:color w:val="000000" w:themeColor="text1"/>
                <w:sz w:val="10"/>
                <w:szCs w:val="10"/>
              </w:rPr>
              <w:t>LibTrade</w:t>
            </w:r>
          </w:p>
        </w:tc>
        <w:tc>
          <w:tcPr>
            <w:tcW w:w="9730" w:type="dxa"/>
            <w:shd w:val="clear" w:color="auto" w:fill="auto"/>
            <w:tcMar>
              <w:top w:w="40" w:type="dxa"/>
              <w:left w:w="40" w:type="dxa"/>
              <w:bottom w:w="40" w:type="dxa"/>
              <w:right w:w="40" w:type="dxa"/>
            </w:tcMar>
            <w:vAlign w:val="bottom"/>
          </w:tcPr>
          <w:p w14:paraId="72C91D29" w14:textId="64613FC0" w:rsidR="00BE09F0" w:rsidRPr="00FD54EA" w:rsidRDefault="00FD54EA">
            <w:pPr>
              <w:widowControl w:val="0"/>
              <w:rPr>
                <w:color w:val="000000" w:themeColor="text1"/>
                <w:sz w:val="10"/>
                <w:szCs w:val="10"/>
              </w:rPr>
            </w:pPr>
            <w:r w:rsidRPr="00FD54EA">
              <w:rPr>
                <w:color w:val="000000" w:themeColor="text1"/>
                <w:sz w:val="10"/>
                <w:szCs w:val="10"/>
              </w:rPr>
              <w:t>Trade is less oriented along historical trade patterns and more along relative competitiveness. MAgPIE uses two trade pools</w:t>
            </w:r>
            <w:r w:rsidR="009E54D2">
              <w:rPr>
                <w:color w:val="000000" w:themeColor="text1"/>
                <w:sz w:val="10"/>
                <w:szCs w:val="10"/>
              </w:rPr>
              <w:fldChar w:fldCharType="begin"/>
            </w:r>
            <w:r w:rsidR="009E54D2">
              <w:rPr>
                <w:color w:val="000000" w:themeColor="text1"/>
                <w:sz w:val="10"/>
                <w:szCs w:val="10"/>
              </w:rPr>
              <w:instrText xml:space="preserve"> ADDIN ZOTERO_ITEM CSL_CITATION {"citationID":"83clVdnU","properties":{"formattedCitation":"\\super 61\\nosupersub{}","plainCitation":"61","noteIndex":0},"citationItems":[{"id":2090,"uris":["http://zotero.org/users/694717/items/FR48KJ9U"],"itemData":{"id":2090,"type":"article-journal","abstract":"An increasing demand for agricultural goods affects the pressure on global water resources over the coming decades. In order to quantify these effects, we have developed a new agroeconomic water scarcity indicator, considering explicitly economic processes in the agricultural system. The indicator is based on the water shadow price generated by an economic land use model linked to a global vegetation-hydrology model. Irrigation efficiency is implemented as a dynamic input depending on the level of economic development. We are able to simulate the heterogeneous distribution of water supply and agricultural water demand for irrigation through the spatially explicit representation of agricultural production. This allows in identifying regional hot spots of blue water scarcity and explicit shadow prices for water. We generate scenarios based on moderate policies regarding future trade liberalization and the control of livestock-based consumption, dependent on different population and gross domestic product (GDP) projections. Results indicate increased water scarcity in the future, especially in South Asia, the Middle East, and north Africa. In general, water shadow prices decrease with increasing liberalization, foremost in South Asia, Southeast Asia, and the Middle East. Policies to reduce livestock consumption in developed countries not only lower the domestic pressure on water but also alleviate water scarcity to a large extent in developing countries. It is shown that one of the two policy options would be insufficient for most regions to retain water scarcity in 2045 on levels comparable to 2005.","container-title":"Water Resources Research","DOI":"10.1002/wrcr.20188","ISSN":"1944-7973","issue":"6","language":"en","license":"©2013. American Geophysical Union. All Rights Reserved.","page":"3601–3617","source":"Wiley Online Library","title":"Blue water scarcity and the economic impacts of future agricultural trade and demand","volume":"49","author":[{"family":"Schmitz","given":"Christoph"},{"family":"Lotze-Campen","given":"Hermann"},{"family":"Gerten","given":"Dieter"},{"family":"Dietrich","given":"Jan Philipp"},{"family":"Bodirsky","given":"Benjamin"},{"family":"Biewald","given":"Anne"},{"family":"Popp","given":"Alexander"}],"issued":{"date-parts":[["2013"]]}}}],"schema":"https://github.com/citation-style-language/schema/raw/master/csl-citation.json"}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61</w:t>
            </w:r>
            <w:r w:rsidR="009E54D2">
              <w:rPr>
                <w:color w:val="000000" w:themeColor="text1"/>
                <w:sz w:val="10"/>
                <w:szCs w:val="10"/>
              </w:rPr>
              <w:fldChar w:fldCharType="end"/>
            </w:r>
            <w:r w:rsidRPr="00FD54EA">
              <w:rPr>
                <w:color w:val="000000" w:themeColor="text1"/>
                <w:sz w:val="10"/>
                <w:szCs w:val="10"/>
              </w:rPr>
              <w:t>: The "historic trade pool" is based on historical trade patterns, with importing countries importing a constant share of their domestic demand, and exporting countries providing a constant share of global trade. This reflects historical trade distortions and dependencies. The "liberal trade pool" is based on relative cost-competitiveness, in terms of production and trade margins and tariffs. In the LibTrade scenario, the share of the liberal trade pool is increased from 20% to 30% for crops, and from 10 to 20% for livestock and secondary products.</w:t>
            </w:r>
          </w:p>
        </w:tc>
      </w:tr>
      <w:tr w:rsidR="00FD54EA" w:rsidRPr="00FD54EA" w14:paraId="46F8A09E" w14:textId="77777777" w:rsidTr="00F67720">
        <w:tc>
          <w:tcPr>
            <w:tcW w:w="1055" w:type="dxa"/>
            <w:tcMar>
              <w:top w:w="40" w:type="dxa"/>
              <w:left w:w="40" w:type="dxa"/>
              <w:bottom w:w="40" w:type="dxa"/>
              <w:right w:w="40" w:type="dxa"/>
            </w:tcMar>
            <w:vAlign w:val="bottom"/>
          </w:tcPr>
          <w:p w14:paraId="018C982E" w14:textId="77777777" w:rsidR="00BE09F0" w:rsidRPr="00FD54EA" w:rsidRDefault="00FD54EA">
            <w:pPr>
              <w:widowControl w:val="0"/>
              <w:rPr>
                <w:color w:val="000000" w:themeColor="text1"/>
                <w:sz w:val="10"/>
                <w:szCs w:val="10"/>
              </w:rPr>
            </w:pPr>
            <w:r w:rsidRPr="00FD54EA">
              <w:rPr>
                <w:color w:val="000000" w:themeColor="text1"/>
                <w:sz w:val="10"/>
                <w:szCs w:val="10"/>
              </w:rPr>
              <w:t>MinWage</w:t>
            </w:r>
          </w:p>
        </w:tc>
        <w:tc>
          <w:tcPr>
            <w:tcW w:w="9730" w:type="dxa"/>
            <w:shd w:val="clear" w:color="auto" w:fill="auto"/>
            <w:tcMar>
              <w:top w:w="40" w:type="dxa"/>
              <w:left w:w="40" w:type="dxa"/>
              <w:bottom w:w="40" w:type="dxa"/>
              <w:right w:w="40" w:type="dxa"/>
            </w:tcMar>
            <w:vAlign w:val="bottom"/>
          </w:tcPr>
          <w:p w14:paraId="09B6DAE8" w14:textId="77777777" w:rsidR="00BE09F0" w:rsidRPr="00FD54EA" w:rsidRDefault="00FD54EA">
            <w:pPr>
              <w:widowControl w:val="0"/>
              <w:rPr>
                <w:color w:val="000000" w:themeColor="text1"/>
                <w:sz w:val="10"/>
                <w:szCs w:val="10"/>
              </w:rPr>
            </w:pPr>
            <w:r w:rsidRPr="00FD54EA">
              <w:rPr>
                <w:color w:val="000000" w:themeColor="text1"/>
                <w:sz w:val="10"/>
                <w:szCs w:val="10"/>
              </w:rPr>
              <w:t>A global minimum wage increases wages in the lower income countries. The minimum wage scenario increases wages to at least 3 USD05MER by 2050. In the model, it raises production costs, causes a labor substitution by capital, and increases nominal incomes.</w:t>
            </w:r>
          </w:p>
        </w:tc>
      </w:tr>
      <w:tr w:rsidR="00FD54EA" w:rsidRPr="00FD54EA" w14:paraId="0D66F1F0" w14:textId="77777777" w:rsidTr="00F67720">
        <w:trPr>
          <w:trHeight w:val="135"/>
        </w:trPr>
        <w:tc>
          <w:tcPr>
            <w:tcW w:w="1055" w:type="dxa"/>
            <w:tcMar>
              <w:top w:w="40" w:type="dxa"/>
              <w:left w:w="40" w:type="dxa"/>
              <w:bottom w:w="40" w:type="dxa"/>
              <w:right w:w="40" w:type="dxa"/>
            </w:tcMar>
            <w:vAlign w:val="bottom"/>
          </w:tcPr>
          <w:p w14:paraId="4B36A46D" w14:textId="77777777" w:rsidR="00BE09F0" w:rsidRPr="00FD54EA" w:rsidRDefault="00FD54EA">
            <w:pPr>
              <w:widowControl w:val="0"/>
              <w:rPr>
                <w:color w:val="000000" w:themeColor="text1"/>
                <w:sz w:val="10"/>
                <w:szCs w:val="10"/>
              </w:rPr>
            </w:pPr>
            <w:r w:rsidRPr="00FD54EA">
              <w:rPr>
                <w:color w:val="000000" w:themeColor="text1"/>
                <w:sz w:val="10"/>
                <w:szCs w:val="10"/>
              </w:rPr>
              <w:t>CapitalSubst</w:t>
            </w:r>
          </w:p>
        </w:tc>
        <w:tc>
          <w:tcPr>
            <w:tcW w:w="9730" w:type="dxa"/>
            <w:shd w:val="clear" w:color="auto" w:fill="auto"/>
            <w:tcMar>
              <w:top w:w="40" w:type="dxa"/>
              <w:left w:w="40" w:type="dxa"/>
              <w:bottom w:w="40" w:type="dxa"/>
              <w:right w:w="40" w:type="dxa"/>
            </w:tcMar>
            <w:vAlign w:val="bottom"/>
          </w:tcPr>
          <w:p w14:paraId="0A4ED5A6" w14:textId="77777777" w:rsidR="00BE09F0" w:rsidRPr="00FD54EA" w:rsidRDefault="00FD54EA">
            <w:pPr>
              <w:widowControl w:val="0"/>
              <w:rPr>
                <w:color w:val="000000" w:themeColor="text1"/>
                <w:sz w:val="10"/>
                <w:szCs w:val="10"/>
              </w:rPr>
            </w:pPr>
            <w:r w:rsidRPr="00FD54EA">
              <w:rPr>
                <w:color w:val="000000" w:themeColor="text1"/>
                <w:sz w:val="10"/>
                <w:szCs w:val="10"/>
              </w:rPr>
              <w:t>In countries with high capital intensity, capital is substituted by labor. We set a global target for the labor:capital share of 80:20. If countries exceed the capital share, we reduce the difference to this target by 50% until 2050. Substituting capital by labor increases employment but comes at additional production costs.</w:t>
            </w:r>
          </w:p>
        </w:tc>
      </w:tr>
      <w:tr w:rsidR="00FD54EA" w:rsidRPr="00FD54EA" w14:paraId="2BF05BCE" w14:textId="77777777" w:rsidTr="00F67720">
        <w:tc>
          <w:tcPr>
            <w:tcW w:w="1055" w:type="dxa"/>
            <w:tcMar>
              <w:top w:w="40" w:type="dxa"/>
              <w:left w:w="40" w:type="dxa"/>
              <w:bottom w:w="40" w:type="dxa"/>
              <w:right w:w="40" w:type="dxa"/>
            </w:tcMar>
            <w:vAlign w:val="bottom"/>
          </w:tcPr>
          <w:p w14:paraId="415C333E" w14:textId="77777777" w:rsidR="00BE09F0" w:rsidRPr="00FD54EA" w:rsidRDefault="00FD54EA">
            <w:pPr>
              <w:widowControl w:val="0"/>
              <w:rPr>
                <w:color w:val="000000" w:themeColor="text1"/>
                <w:sz w:val="10"/>
                <w:szCs w:val="10"/>
              </w:rPr>
            </w:pPr>
            <w:r w:rsidRPr="00FD54EA">
              <w:rPr>
                <w:color w:val="000000" w:themeColor="text1"/>
                <w:sz w:val="10"/>
                <w:szCs w:val="10"/>
              </w:rPr>
              <w:t>REDD+</w:t>
            </w:r>
          </w:p>
        </w:tc>
        <w:tc>
          <w:tcPr>
            <w:tcW w:w="9730" w:type="dxa"/>
            <w:shd w:val="clear" w:color="auto" w:fill="auto"/>
            <w:tcMar>
              <w:top w:w="40" w:type="dxa"/>
              <w:left w:w="40" w:type="dxa"/>
              <w:bottom w:w="40" w:type="dxa"/>
              <w:right w:w="40" w:type="dxa"/>
            </w:tcMar>
            <w:vAlign w:val="bottom"/>
          </w:tcPr>
          <w:p w14:paraId="0926AE10" w14:textId="047FE0BA" w:rsidR="00BE09F0" w:rsidRPr="00FD54EA" w:rsidRDefault="00FD54EA">
            <w:pPr>
              <w:widowControl w:val="0"/>
              <w:rPr>
                <w:color w:val="000000" w:themeColor="text1"/>
                <w:sz w:val="10"/>
                <w:szCs w:val="10"/>
              </w:rPr>
            </w:pPr>
            <w:r w:rsidRPr="00FD54EA">
              <w:rPr>
                <w:color w:val="000000" w:themeColor="text1"/>
                <w:sz w:val="10"/>
                <w:szCs w:val="10"/>
              </w:rPr>
              <w:t>Deforestation is disincentivized and regeneration of original vegetation is incentivized through a carbon price on C in aboveground vegetation in non-agricultural land. The “REDD+” scenario provides carbon-price induced incentives for reducing deforestation and for the regeneration of original vegetation</w:t>
            </w:r>
            <w:r w:rsidR="009E54D2">
              <w:rPr>
                <w:color w:val="000000" w:themeColor="text1"/>
                <w:sz w:val="10"/>
                <w:szCs w:val="10"/>
              </w:rPr>
              <w:fldChar w:fldCharType="begin"/>
            </w:r>
            <w:r w:rsidR="009E54D2">
              <w:rPr>
                <w:color w:val="000000" w:themeColor="text1"/>
                <w:sz w:val="10"/>
                <w:szCs w:val="10"/>
              </w:rPr>
              <w:instrText xml:space="preserve"> ADDIN ZOTERO_ITEM CSL_CITATION {"citationID":"HQMihBak","properties":{"formattedCitation":"\\super 62\\nosupersub{}","plainCitation":"62","noteIndex":0},"citationItems":[{"id":2581,"uris":["http://zotero.org/users/694717/items/8MM647IK"],"itemData":{"id":2581,"type":"article-journal","container-title":"Environmental Research Letters","DOI":"10.1088/1748-9326/9/6/064029","ISSN":"1748-9326","issue":"6","page":"064029","source":"CrossRef","title":"Investigating afforestation and bioenergy CCS as climate change mitigation strategies","volume":"9","author":[{"family":"Humpenöder","given":"Florian"},{"family":"Popp","given":"Alexander"},{"family":"Dietrich","given":"Jan Philip"},{"family":"Klein","given":"David"},{"family":"Lotze-Campen","given":"Hermann"},{"family":"Bonsch","given":"Markus"},{"family":"Bodirsky","given":"Benjamin Leon"},{"family":"Weindl","given":"Isabelle"},{"family":"Stevanovic","given":"Miodrag"},{"family":"Müller","given":"Christoph"}],"issued":{"date-parts":[["2014",5,1]]}}}],"schema":"https://github.com/citation-style-language/schema/raw/master/csl-citation.json"}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62</w:t>
            </w:r>
            <w:r w:rsidR="009E54D2">
              <w:rPr>
                <w:color w:val="000000" w:themeColor="text1"/>
                <w:sz w:val="10"/>
                <w:szCs w:val="10"/>
              </w:rPr>
              <w:fldChar w:fldCharType="end"/>
            </w:r>
            <w:r w:rsidRPr="00FD54EA">
              <w:rPr>
                <w:color w:val="000000" w:themeColor="text1"/>
                <w:sz w:val="10"/>
                <w:szCs w:val="10"/>
              </w:rPr>
              <w:t>. Regeneration uses growth curves and carbon stocks of natural vegetation based on LPJmL. The growth curves are parameterized based on</w:t>
            </w:r>
            <w:r w:rsidR="009E54D2">
              <w:rPr>
                <w:color w:val="000000" w:themeColor="text1"/>
                <w:sz w:val="10"/>
                <w:szCs w:val="10"/>
              </w:rPr>
              <w:t xml:space="preserve"> </w:t>
            </w:r>
            <w:r w:rsidR="009E54D2" w:rsidRPr="00FD54EA">
              <w:rPr>
                <w:color w:val="000000" w:themeColor="text1"/>
                <w:sz w:val="10"/>
                <w:szCs w:val="10"/>
              </w:rPr>
              <w:t>Braakhekke et al.</w:t>
            </w:r>
            <w:r w:rsidR="009E54D2">
              <w:rPr>
                <w:color w:val="000000" w:themeColor="text1"/>
                <w:sz w:val="10"/>
                <w:szCs w:val="10"/>
              </w:rPr>
              <w:fldChar w:fldCharType="begin"/>
            </w:r>
            <w:r w:rsidR="009E54D2">
              <w:rPr>
                <w:color w:val="000000" w:themeColor="text1"/>
                <w:sz w:val="10"/>
                <w:szCs w:val="10"/>
              </w:rPr>
              <w:instrText xml:space="preserve"> ADDIN ZOTERO_ITEM CSL_CITATION {"citationID":"j802XXrU","properties":{"formattedCitation":"\\super 63\\nosupersub{}","plainCitation":"63","noteIndex":0},"citationItems":[{"id":5909,"uris":["http://zotero.org/users/694717/items/BKXEP3BP"],"itemData":{"id":5909,"type":"article-journal","abstract":"To study global nitrogen (N) leaching from natural ecosystems under changing N deposition, climate, and atmospheric CO2, we performed a factorial model experiment for the period 1901–2006 with the N-enabled global terrestrial ecosystem model LPJ-GUESS (Lund–Potsdam–Jena General Ecosystem Simulator). In eight global simulations, we used either the true transient time series of N deposition, climate, and atmospheric CO2 as input or kept combinations of these drivers constant at initial values. The results show that N deposition is globally the strongest driver of simulated N leaching, individually causing an increase of 88 % by 1997–2006 relative to pre-industrial conditions. Climate change led globally to a 31 % increase in N leaching, but the size and direction of change varied among global regions: leaching generally increased in regions with high soil organic carbon storage and high initial N status, and decreased in regions with a positive trend in vegetation productivity or decreasing precipitation. Rising atmospheric CO2 generally caused decreased N leaching (33 % globally), with strongest effects in regions with high productivity and N availability. All drivers combined resulted in a rise of N leaching by 73 % with strongest increases in Europe, eastern North America and South-East Asia, where N deposition rates are highest. Decreases in N leaching were predicted for the Amazon and northern India. We further found that N loss by ﬁre regionally is a large term in the N budget, associated with lower N leaching, particularly in semi-arid biomes. Predicted global N leaching from natural lands rose from 13.6 Tg N yr−1 in 1901–1911 to 18.5 Tg N yr−1 in 1997–2006, accounting for reductions of natural land cover. Ecosystem N status (quantiﬁed as the reduction of vegetation productivity due to N limitation) shows a similar positive temporal trend but large spatial variability. Interestingly, this variability is more strongly related to vegetation type than N input. Similarly, the relationship between N status and (relative) N leaching is highly variable due to confounding factors such as soil water ﬂuxes, ﬁre occurrence, and growing season length. Nevertheless, our results suggest that regions with very high N deposition rates are approaching a state of N saturation.","container-title":"Earth System Dynamics","DOI":"10.5194/esd-8-1121-2017","ISSN":"2190-4987","issue":"4","journalAbbreviation":"Earth Syst. Dynam.","language":"en","page":"1121-1139","source":"DOI.org (Crossref)","title":"Nitrogen leaching from natural ecosystems under global change: a modelling study","title-short":"Nitrogen leaching from natural ecosystems under global change","volume":"8","author":[{"family":"Braakhekke","given":"Maarten C."},{"family":"Rebel","given":"Karin T."},{"family":"Dekker","given":"Stefan C."},{"family":"Smith","given":"Benjamin"},{"family":"Beusen","given":"Arthur H. W."},{"family":"Wassen","given":"Martin J."}],"issued":{"date-parts":[["2017",12,12]]}}}],"schema":"https://github.com/citation-style-language/schema/raw/master/csl-citation.json"}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63</w:t>
            </w:r>
            <w:r w:rsidR="009E54D2">
              <w:rPr>
                <w:color w:val="000000" w:themeColor="text1"/>
                <w:sz w:val="10"/>
                <w:szCs w:val="10"/>
              </w:rPr>
              <w:fldChar w:fldCharType="end"/>
            </w:r>
            <w:r w:rsidRPr="00FD54EA">
              <w:rPr>
                <w:color w:val="000000" w:themeColor="text1"/>
                <w:sz w:val="10"/>
                <w:szCs w:val="10"/>
              </w:rPr>
              <w:t>.</w:t>
            </w:r>
          </w:p>
        </w:tc>
      </w:tr>
      <w:tr w:rsidR="00FD54EA" w:rsidRPr="00FD54EA" w14:paraId="6896E9E8" w14:textId="77777777" w:rsidTr="00F67720">
        <w:tc>
          <w:tcPr>
            <w:tcW w:w="1055" w:type="dxa"/>
            <w:shd w:val="clear" w:color="auto" w:fill="auto"/>
            <w:tcMar>
              <w:top w:w="40" w:type="dxa"/>
              <w:left w:w="40" w:type="dxa"/>
              <w:bottom w:w="40" w:type="dxa"/>
              <w:right w:w="40" w:type="dxa"/>
            </w:tcMar>
            <w:vAlign w:val="bottom"/>
          </w:tcPr>
          <w:p w14:paraId="3EFEA5F5" w14:textId="77777777" w:rsidR="00BE09F0" w:rsidRPr="00FD54EA" w:rsidRDefault="00FD54EA">
            <w:pPr>
              <w:widowControl w:val="0"/>
              <w:rPr>
                <w:color w:val="000000" w:themeColor="text1"/>
                <w:sz w:val="10"/>
                <w:szCs w:val="10"/>
              </w:rPr>
            </w:pPr>
            <w:r w:rsidRPr="00FD54EA">
              <w:rPr>
                <w:color w:val="000000" w:themeColor="text1"/>
                <w:sz w:val="10"/>
                <w:szCs w:val="10"/>
              </w:rPr>
              <w:t>LandConservation</w:t>
            </w:r>
          </w:p>
        </w:tc>
        <w:tc>
          <w:tcPr>
            <w:tcW w:w="9730" w:type="dxa"/>
            <w:shd w:val="clear" w:color="auto" w:fill="auto"/>
            <w:tcMar>
              <w:top w:w="40" w:type="dxa"/>
              <w:left w:w="40" w:type="dxa"/>
              <w:bottom w:w="40" w:type="dxa"/>
              <w:right w:w="40" w:type="dxa"/>
            </w:tcMar>
            <w:vAlign w:val="bottom"/>
          </w:tcPr>
          <w:p w14:paraId="4A3183B7" w14:textId="1CD5B2BC" w:rsidR="00BE09F0" w:rsidRPr="00FD54EA" w:rsidRDefault="00FD54EA">
            <w:pPr>
              <w:widowControl w:val="0"/>
              <w:rPr>
                <w:color w:val="000000" w:themeColor="text1"/>
                <w:sz w:val="10"/>
                <w:szCs w:val="10"/>
              </w:rPr>
            </w:pPr>
            <w:r w:rsidRPr="00FD54EA">
              <w:rPr>
                <w:color w:val="000000" w:themeColor="text1"/>
                <w:sz w:val="10"/>
                <w:szCs w:val="10"/>
              </w:rPr>
              <w:t xml:space="preserve">By 2030, the ~15% of global land area under protection are doubled to 30%. We assume that the enlargement of protected areas includes both a reactive and proactive component </w:t>
            </w:r>
            <w:r w:rsidR="009E54D2">
              <w:rPr>
                <w:color w:val="000000" w:themeColor="text1"/>
                <w:sz w:val="10"/>
                <w:szCs w:val="10"/>
              </w:rPr>
              <w:fldChar w:fldCharType="begin"/>
            </w:r>
            <w:r w:rsidR="009E54D2">
              <w:rPr>
                <w:color w:val="000000" w:themeColor="text1"/>
                <w:sz w:val="10"/>
                <w:szCs w:val="10"/>
              </w:rPr>
              <w:instrText xml:space="preserve"> ADDIN ZOTERO_ITEM CSL_CITATION {"citationID":"Uzv1jqFt","properties":{"formattedCitation":"\\super 41,64\\nosupersub{}","plainCitation":"41,64","noteIndex":0},"citationItems":[{"id":9349,"uris":["http://zotero.org/users/694717/items/WN9M2RXW"],"itemData":{"id":9349,"type":"article-journal","abstract":"The location of and threats to biodiversity are distributed unevenly, so prioritization is essential to minimize biodiversity loss. To address this need, biodiversity conservation organizations have proposed nine templates of global priorities over the past decade. Here, we review the concepts, methods, results, impacts, and challenges of these prioritizations of conservation practice within the theoretical irreplaceability/vulnerability framework of systematic conservation planning. Most of the templates prioritize highly irreplaceable regions; some are reactive (prioritizing high vulnerability), and others are proactive (prioritizing low vulnerability). We hope this synthesis improves understanding of these prioritization approaches and that it results in more efficient allocation of geographically flexible conservation funding.","container-title":"Science","DOI":"10.1126/science.1127609","issue":"5783","note":"publisher: American Association for the Advancement of Science","page":"58-61","source":"science.org (Atypon)","title":"Global Biodiversity Conservation Priorities","volume":"313","author":[{"family":"Brooks","given":"T. M."},{"family":"Mittermeier","given":"R. A."},{"family":"Fonseca","given":"G. A. B.","non-dropping-particle":"da"},{"family":"Gerlach","given":"J."},{"family":"Hoffmann","given":"M."},{"family":"Lamoreux","given":"J. F."},{"family":"Mittermeier","given":"C. G."},{"family":"Pilgrim","given":"J. D."},{"family":"Rodrigues","given":"A. S. L."}],"issued":{"date-parts":[["2006",7,7]]}}},{"id":3671,"uris":["http://zotero.org/users/694717/items/G4X2BE84"],"itemData":{"id":3671,"type":"article-journal","abstract":"Ambitious climate targets, such as the 2 °C target, are likely to require the removal of carbon dioxide from the atmosphere. Afforestation is one such mitigation option but could, through the competition for land, also lead to food prices hikes. In addition, afforestation often decreases land-surface albedo and the amount of short-wave radiation reflected back to space, which results in a warming effect. In particular in the boreal zone, such biophysical warming effects following from afforestation are estimated to offset the cooling effect from carbon sequestration. We assessed the food price response of afforestation, and considered the albedo effect with scenarios in which afforestation was restricted to certain latitudinal zones. In our study, afforestation was incentivized by a globally uniform reward for carbon uptake in the terrestrial biosphere. This resulted in large-scale afforestation (2580 Mha globally) and substantial carbon sequestration (860 GtCO 2 ) up to the end of the century. However, it was also associated with an increase in food prices of about 80% by 2050 and a more than fourfold increase by 2100. When afforestation was restricted to the tropics the food price response was substantially reduced, while still almost 60% cumulative carbon sequestration was achieved. In the medium term, the increase in prices was then lower than the increase in income underlying our scenario projections. Moreover, our results indicate that more liberalised trade in agricultural commodities could buffer the food price increases following from afforestation in tropical regions.","container-title":"Environmental Research Letters","DOI":"10.1088/1748-9326/11/8/085001","ISSN":"1748-9326","issue":"8","journalAbbreviation":"Environ. Res. Lett.","language":"en","page":"085001","source":"Institute of Physics","title":"Afforestation to mitigate climate change: impacts on food prices under consideration of albedo effects","title-short":"Afforestation to mitigate climate change","volume":"11","author":[{"family":"Kreidenweis","given":"Ulrich"},{"family":"Humpenöder","given":"Florian"},{"family":"Stevanović","given":"Miodrag"},{"family":"Bodirsky","given":"Benjamin Leon"},{"literal":"Elmar Kriegler"},{"family":"Lotze-Campen","given":"Hermann"},{"family":"Popp","given":"Alexander"}],"issued":{"date-parts":[["2016"]]}}}],"schema":"https://github.com/citation-style-language/schema/raw/master/csl-citation.json"}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41,64</w:t>
            </w:r>
            <w:r w:rsidR="009E54D2">
              <w:rPr>
                <w:color w:val="000000" w:themeColor="text1"/>
                <w:sz w:val="10"/>
                <w:szCs w:val="10"/>
              </w:rPr>
              <w:fldChar w:fldCharType="end"/>
            </w:r>
            <w:r w:rsidRPr="00FD54EA">
              <w:rPr>
                <w:color w:val="000000" w:themeColor="text1"/>
                <w:sz w:val="10"/>
                <w:szCs w:val="10"/>
              </w:rPr>
              <w:t>. The reactive component focuses on biodiversity hotspots (BH), the proactive component considers large areas (&gt;500 km2) of unprotected intact forest landscapes (IFL), mainly in the Amazon and Congo basins and in the boreal zone.</w:t>
            </w:r>
          </w:p>
        </w:tc>
      </w:tr>
      <w:tr w:rsidR="00FD54EA" w:rsidRPr="00FD54EA" w14:paraId="2AB24045" w14:textId="77777777" w:rsidTr="00F67720">
        <w:tc>
          <w:tcPr>
            <w:tcW w:w="1055" w:type="dxa"/>
            <w:shd w:val="clear" w:color="auto" w:fill="auto"/>
            <w:tcMar>
              <w:top w:w="40" w:type="dxa"/>
              <w:left w:w="40" w:type="dxa"/>
              <w:bottom w:w="40" w:type="dxa"/>
              <w:right w:w="40" w:type="dxa"/>
            </w:tcMar>
            <w:vAlign w:val="bottom"/>
          </w:tcPr>
          <w:p w14:paraId="00984EBD" w14:textId="77777777" w:rsidR="00BE09F0" w:rsidRPr="00FD54EA" w:rsidRDefault="00FD54EA">
            <w:pPr>
              <w:widowControl w:val="0"/>
              <w:rPr>
                <w:color w:val="000000" w:themeColor="text1"/>
                <w:sz w:val="10"/>
                <w:szCs w:val="10"/>
              </w:rPr>
            </w:pPr>
            <w:r w:rsidRPr="00FD54EA">
              <w:rPr>
                <w:color w:val="000000" w:themeColor="text1"/>
                <w:sz w:val="10"/>
                <w:szCs w:val="10"/>
              </w:rPr>
              <w:t>PeatlandRewetting</w:t>
            </w:r>
          </w:p>
        </w:tc>
        <w:tc>
          <w:tcPr>
            <w:tcW w:w="9730" w:type="dxa"/>
            <w:shd w:val="clear" w:color="auto" w:fill="auto"/>
            <w:tcMar>
              <w:top w:w="40" w:type="dxa"/>
              <w:left w:w="40" w:type="dxa"/>
              <w:bottom w:w="40" w:type="dxa"/>
              <w:right w:w="40" w:type="dxa"/>
            </w:tcMar>
            <w:vAlign w:val="bottom"/>
          </w:tcPr>
          <w:p w14:paraId="6E1159E3" w14:textId="0B31DF3D" w:rsidR="00BE09F0" w:rsidRPr="00FD54EA" w:rsidRDefault="00FD54EA">
            <w:pPr>
              <w:widowControl w:val="0"/>
              <w:rPr>
                <w:color w:val="000000" w:themeColor="text1"/>
                <w:sz w:val="10"/>
                <w:szCs w:val="10"/>
              </w:rPr>
            </w:pPr>
            <w:r w:rsidRPr="00FD54EA">
              <w:rPr>
                <w:color w:val="000000" w:themeColor="text1"/>
                <w:sz w:val="10"/>
                <w:szCs w:val="10"/>
              </w:rPr>
              <w:t>Drainage of intact peatland is disincentivized and rewetting of drained peatlands is incentivized through the AFOLU GHG price. GHG emissions from drained und rewetted peatlands are estimated based on IPCC wetland GHG emissions factors</w:t>
            </w:r>
            <w:r w:rsidR="009E54D2">
              <w:rPr>
                <w:color w:val="000000" w:themeColor="text1"/>
                <w:sz w:val="10"/>
                <w:szCs w:val="10"/>
              </w:rPr>
              <w:fldChar w:fldCharType="begin"/>
            </w:r>
            <w:r w:rsidR="009E54D2">
              <w:rPr>
                <w:color w:val="000000" w:themeColor="text1"/>
                <w:sz w:val="10"/>
                <w:szCs w:val="10"/>
              </w:rPr>
              <w:instrText xml:space="preserve"> ADDIN ZOTERO_ITEM CSL_CITATION {"citationID":"27T7VMdr","properties":{"formattedCitation":"\\super 65\\nosupersub{}","plainCitation":"65","noteIndex":0},"citationItems":[{"id":6747,"uris":["http://zotero.org/users/694717/items/IMDJ9I4K"],"itemData":{"id":6747,"type":"article-journal","abstract":"Peatlands cover only about 3% the global land area, but store about twice as much carbon as global forest biomass. If intact peatlands are drained for agriculture or other human uses, peat oxidation can result in considerable CO2 emissions and other greenhouse gases (GHG) for decades or even centuries. Despite their importance, emissions from degraded peatlands have so far not been included explicitly in mitigation pathways compatible with the Paris Agreement. Such pathways include land-demanding mitigation options like bioenergy or afforestation with substantial consequences for the land system. Therefore, besides GHG emissions owing to the historic conversion of intact peatlands, the increased demand for land in current mitigation pathways could result in drainage of presently intact peatlands, e.g. for bioenergy production. Here, we present the first quantitative model-based projections of future peatland dynamics and associated GHG emissions in the context of a 2 °C mitigation pathway. Our spatially explicit land-use modelling approach with global coverage simultaneously accounts for future food demand, based on population and income projections, and land-based mitigation measures. Without dedicated peatland policy and even in the case of peatland protection, our results indicate that the land system would remain a net source of CO2 throughout the 21st century. This result is in contrast to the outcome of current mitigation pathways, in which the land system turns into a net carbon sink by 2100. However, our results indicate that it is possible to reconcile land use and GHG emissions in mitigation pathways through a peatland protection and restoration policy. According to our results, the land system would turn into a global net carbon sink by 2100, as projected by current mitigation pathways, if about 60% of present-day degraded peatlands would be rewetted in the coming decades, next to the protection of intact peatlands.","container-title":"Environmental Research Letters","DOI":"10.1088/1748-9326/abae2a","ISSN":"1748-9326","issue":"10","journalAbbreviation":"Environ. Res. Lett.","language":"en","note":"publisher: IOP Publishing","page":"104093","source":"Institute of Physics","title":"Peatland protection and restoration are key for climate change mitigation","volume":"15","author":[{"family":"Humpenöder","given":"Florian"},{"family":"Karstens","given":"Kristine"},{"family":"Lotze-Campen","given":"Hermann"},{"family":"Leifeld","given":"Jens"},{"family":"Menichetti","given":"Lorenzo"},{"family":"Barthelmes","given":"Alexandra"},{"family":"Popp","given":"Alexander"}],"issued":{"date-parts":[["2020",10]]}}}],"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65</w:t>
            </w:r>
            <w:r w:rsidR="009E54D2">
              <w:rPr>
                <w:color w:val="000000" w:themeColor="text1"/>
                <w:sz w:val="10"/>
                <w:szCs w:val="10"/>
              </w:rPr>
              <w:fldChar w:fldCharType="end"/>
            </w:r>
            <w:r w:rsidRPr="00FD54EA">
              <w:rPr>
                <w:color w:val="000000" w:themeColor="text1"/>
                <w:sz w:val="10"/>
                <w:szCs w:val="10"/>
              </w:rPr>
              <w:t>. Drainage of peatlands is linked to the expansion manged lands (cropland, pasture, forestry). Likewise, rewetting of peatlands is linked to the reduction of managed lands.</w:t>
            </w:r>
          </w:p>
        </w:tc>
      </w:tr>
      <w:tr w:rsidR="00FD54EA" w:rsidRPr="00FD54EA" w14:paraId="65F5125D" w14:textId="77777777" w:rsidTr="00F67720">
        <w:trPr>
          <w:trHeight w:val="64"/>
        </w:trPr>
        <w:tc>
          <w:tcPr>
            <w:tcW w:w="1055" w:type="dxa"/>
            <w:shd w:val="clear" w:color="auto" w:fill="auto"/>
            <w:tcMar>
              <w:top w:w="40" w:type="dxa"/>
              <w:left w:w="40" w:type="dxa"/>
              <w:bottom w:w="40" w:type="dxa"/>
              <w:right w:w="40" w:type="dxa"/>
            </w:tcMar>
            <w:vAlign w:val="bottom"/>
          </w:tcPr>
          <w:p w14:paraId="13585E2D" w14:textId="77777777" w:rsidR="00BE09F0" w:rsidRPr="00FD54EA" w:rsidRDefault="00FD54EA">
            <w:pPr>
              <w:widowControl w:val="0"/>
              <w:rPr>
                <w:color w:val="000000" w:themeColor="text1"/>
                <w:sz w:val="10"/>
                <w:szCs w:val="10"/>
              </w:rPr>
            </w:pPr>
            <w:r w:rsidRPr="00FD54EA">
              <w:rPr>
                <w:color w:val="000000" w:themeColor="text1"/>
                <w:sz w:val="10"/>
                <w:szCs w:val="10"/>
              </w:rPr>
              <w:t>WaterConservation</w:t>
            </w:r>
          </w:p>
        </w:tc>
        <w:tc>
          <w:tcPr>
            <w:tcW w:w="9730" w:type="dxa"/>
            <w:shd w:val="clear" w:color="auto" w:fill="auto"/>
            <w:tcMar>
              <w:top w:w="40" w:type="dxa"/>
              <w:left w:w="40" w:type="dxa"/>
              <w:bottom w:w="40" w:type="dxa"/>
              <w:right w:w="40" w:type="dxa"/>
            </w:tcMar>
            <w:vAlign w:val="bottom"/>
          </w:tcPr>
          <w:p w14:paraId="4021A649" w14:textId="390292B1" w:rsidR="00BE09F0" w:rsidRPr="00FD54EA" w:rsidRDefault="00FD54EA">
            <w:pPr>
              <w:widowControl w:val="0"/>
              <w:rPr>
                <w:color w:val="000000" w:themeColor="text1"/>
                <w:sz w:val="10"/>
                <w:szCs w:val="10"/>
              </w:rPr>
            </w:pPr>
            <w:r w:rsidRPr="00FD54EA">
              <w:rPr>
                <w:color w:val="000000" w:themeColor="text1"/>
                <w:sz w:val="10"/>
                <w:szCs w:val="10"/>
              </w:rPr>
              <w:t>Spatially explicit minimum environmental water flow requirements</w:t>
            </w:r>
            <w:r w:rsidR="009E54D2">
              <w:rPr>
                <w:color w:val="000000" w:themeColor="text1"/>
                <w:sz w:val="10"/>
                <w:szCs w:val="10"/>
              </w:rPr>
              <w:fldChar w:fldCharType="begin"/>
            </w:r>
            <w:r w:rsidR="009E54D2">
              <w:rPr>
                <w:color w:val="000000" w:themeColor="text1"/>
                <w:sz w:val="10"/>
                <w:szCs w:val="10"/>
              </w:rPr>
              <w:instrText xml:space="preserve"> ADDIN ZOTERO_ITEM CSL_CITATION {"citationID":"9fxuYqyq","properties":{"formattedCitation":"\\super 66\\nosupersub{}","plainCitation":"66","noteIndex":0},"citationItems":[{"id":6422,"uris":["http://zotero.org/users/694717/items/L2NYTCVM"],"itemData":{"id":6422,"type":"article-journal","abstract":"This paper presents a first attempt to estimate the volume of water required for the maintenance of freshwater-dependent ecosystems at the global scale. This total environmental water requirement consists of ecologically relevant low-flow and high-flow components and depends upon the objective of environmental water management. Both components are related to river flow variability and estimated by conceptual rules from discharge time series simulated by the global hydrology model. A water stress indicator is further defined, which shows what proportion of the utilizable water in world river basins is currently withdrawn for direct human use and where this use is in conflict with environmental water requirements. The paper presents an estimate of environmental water requirements for 128 major river basins and drainage regions of the world. It is shown that approximately 20 to 50 percent of the mean annual river flow in different basins needs to be allocated to freshwater-dependent ecosystems to maintain them in fair conditions. This is unlikely to be possible in many developing countries in Asia and North Africa, in parts of Australia, North America, and Europe, where current total direct water withdrawals (primarily for irrigation) already tap into the estimated environmental water requirements. Over 1.4 billion people currently live in river basins with high environmental water stress. This number will increase as water withdrawals grow and if environmental water allocations remain beyond the common practice in river basin management. This paper suggests that estimates of environmental water requirements should be the integral part of global water assessments and projections of global food production.","container-title":"Water International","DOI":"10.1080/02508060408691785","ISSN":"0250-8060","issue":"3","page":"307-317","source":"Taylor and Francis+NEJM","title":"A Pilot Global Assessment of Environmental Water Requirements and Scarcity","volume":"29","author":[{"family":"Smakhtin","given":"Vladimir"},{"family":"Revenga","given":"Carmen"},{"family":"Döll","given":"Petra"}],"issued":{"date-parts":[["2004",9,1]]}}}],"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66</w:t>
            </w:r>
            <w:r w:rsidR="009E54D2">
              <w:rPr>
                <w:color w:val="000000" w:themeColor="text1"/>
                <w:sz w:val="10"/>
                <w:szCs w:val="10"/>
              </w:rPr>
              <w:fldChar w:fldCharType="end"/>
            </w:r>
            <w:r w:rsidRPr="00FD54EA">
              <w:rPr>
                <w:color w:val="000000" w:themeColor="text1"/>
                <w:sz w:val="10"/>
                <w:szCs w:val="10"/>
              </w:rPr>
              <w:t xml:space="preserve"> have to be maintained and cannot be withdrawn (for irrigation or non-agricultural usage).</w:t>
            </w:r>
          </w:p>
        </w:tc>
      </w:tr>
      <w:tr w:rsidR="00FD54EA" w:rsidRPr="00FD54EA" w14:paraId="2AF9852D" w14:textId="77777777" w:rsidTr="00F67720">
        <w:tc>
          <w:tcPr>
            <w:tcW w:w="1055" w:type="dxa"/>
            <w:shd w:val="clear" w:color="auto" w:fill="auto"/>
            <w:tcMar>
              <w:top w:w="40" w:type="dxa"/>
              <w:left w:w="40" w:type="dxa"/>
              <w:bottom w:w="40" w:type="dxa"/>
              <w:right w:w="40" w:type="dxa"/>
            </w:tcMar>
            <w:vAlign w:val="bottom"/>
          </w:tcPr>
          <w:p w14:paraId="05CE5D72" w14:textId="77777777" w:rsidR="00BE09F0" w:rsidRPr="00FD54EA" w:rsidRDefault="00FD54EA">
            <w:pPr>
              <w:widowControl w:val="0"/>
              <w:rPr>
                <w:color w:val="000000" w:themeColor="text1"/>
                <w:sz w:val="10"/>
                <w:szCs w:val="10"/>
              </w:rPr>
            </w:pPr>
            <w:r w:rsidRPr="00FD54EA">
              <w:rPr>
                <w:color w:val="000000" w:themeColor="text1"/>
                <w:sz w:val="10"/>
                <w:szCs w:val="10"/>
              </w:rPr>
              <w:t>BiodivOffset</w:t>
            </w:r>
          </w:p>
        </w:tc>
        <w:tc>
          <w:tcPr>
            <w:tcW w:w="9730" w:type="dxa"/>
            <w:shd w:val="clear" w:color="auto" w:fill="auto"/>
            <w:tcMar>
              <w:top w:w="40" w:type="dxa"/>
              <w:left w:w="40" w:type="dxa"/>
              <w:bottom w:w="40" w:type="dxa"/>
              <w:right w:w="40" w:type="dxa"/>
            </w:tcMar>
            <w:vAlign w:val="bottom"/>
          </w:tcPr>
          <w:p w14:paraId="58E381DB" w14:textId="77777777" w:rsidR="00BE09F0" w:rsidRPr="00FD54EA" w:rsidRDefault="00FD54EA">
            <w:pPr>
              <w:widowControl w:val="0"/>
              <w:rPr>
                <w:color w:val="000000" w:themeColor="text1"/>
                <w:sz w:val="10"/>
                <w:szCs w:val="10"/>
              </w:rPr>
            </w:pPr>
            <w:r w:rsidRPr="00FD54EA">
              <w:rPr>
                <w:color w:val="000000" w:themeColor="text1"/>
                <w:sz w:val="10"/>
                <w:szCs w:val="10"/>
              </w:rPr>
              <w:t>The Biodiversity Intactness Index (BII) in each biome of each world region cannot decrease after 2020. BII reduction at one place can be compensated by increasing BII values in other places under the condition that they belong to the same biome in the same world region.</w:t>
            </w:r>
          </w:p>
        </w:tc>
      </w:tr>
      <w:tr w:rsidR="00FD54EA" w:rsidRPr="00FD54EA" w14:paraId="45DD1CE0" w14:textId="77777777" w:rsidTr="00F67720">
        <w:tc>
          <w:tcPr>
            <w:tcW w:w="1055" w:type="dxa"/>
            <w:tcMar>
              <w:top w:w="40" w:type="dxa"/>
              <w:left w:w="40" w:type="dxa"/>
              <w:bottom w:w="40" w:type="dxa"/>
              <w:right w:w="40" w:type="dxa"/>
            </w:tcMar>
            <w:vAlign w:val="bottom"/>
          </w:tcPr>
          <w:p w14:paraId="4176E84A" w14:textId="77777777" w:rsidR="00BE09F0" w:rsidRPr="00FD54EA" w:rsidRDefault="00FD54EA">
            <w:pPr>
              <w:widowControl w:val="0"/>
              <w:rPr>
                <w:color w:val="000000" w:themeColor="text1"/>
                <w:sz w:val="10"/>
                <w:szCs w:val="10"/>
              </w:rPr>
            </w:pPr>
            <w:r w:rsidRPr="00FD54EA">
              <w:rPr>
                <w:color w:val="000000" w:themeColor="text1"/>
                <w:sz w:val="10"/>
                <w:szCs w:val="10"/>
              </w:rPr>
              <w:t>NitrogenEff</w:t>
            </w:r>
          </w:p>
        </w:tc>
        <w:tc>
          <w:tcPr>
            <w:tcW w:w="9730" w:type="dxa"/>
            <w:shd w:val="clear" w:color="auto" w:fill="auto"/>
            <w:tcMar>
              <w:top w:w="40" w:type="dxa"/>
              <w:left w:w="40" w:type="dxa"/>
              <w:bottom w:w="40" w:type="dxa"/>
              <w:right w:w="40" w:type="dxa"/>
            </w:tcMar>
            <w:vAlign w:val="bottom"/>
          </w:tcPr>
          <w:p w14:paraId="09BA29AA" w14:textId="35415FB6" w:rsidR="00BE09F0" w:rsidRPr="00FD54EA" w:rsidRDefault="00FD54EA">
            <w:pPr>
              <w:widowControl w:val="0"/>
              <w:rPr>
                <w:color w:val="000000" w:themeColor="text1"/>
                <w:sz w:val="10"/>
                <w:szCs w:val="10"/>
              </w:rPr>
            </w:pPr>
            <w:r w:rsidRPr="00FD54EA">
              <w:rPr>
                <w:color w:val="000000" w:themeColor="text1"/>
                <w:sz w:val="10"/>
                <w:szCs w:val="10"/>
              </w:rPr>
              <w:t>Nitrogen uptake efficiency is increased through technical measures such as improved land manure application, spreader maintenance, improved agronomic practices, sub-optimal fertilizer applications, nitrification inhibitors and fertilizer free zones. We use maximum mitigation rates and the associated costs</w:t>
            </w:r>
            <w:r w:rsidR="009E54D2">
              <w:rPr>
                <w:color w:val="000000" w:themeColor="text1"/>
                <w:sz w:val="10"/>
                <w:szCs w:val="10"/>
              </w:rPr>
              <w:fldChar w:fldCharType="begin"/>
            </w:r>
            <w:r w:rsidR="009E54D2">
              <w:rPr>
                <w:color w:val="000000" w:themeColor="text1"/>
                <w:sz w:val="10"/>
                <w:szCs w:val="10"/>
              </w:rPr>
              <w:instrText xml:space="preserve"> ADDIN ZOTERO_ITEM CSL_CITATION {"citationID":"pMmPtn2M","properties":{"formattedCitation":"\\super 67\\nosupersub{}","plainCitation":"67","noteIndex":0},"citationItems":[{"id":9353,"uris":["http://zotero.org/users/694717/items/RWCSJXDM"],"itemData":{"id":9353,"type":"report","abstract":"Abstract\n          \n            Despite its projected crucial role in stringent, future global climate policy, non-CO\n            2\n            greenhouse gas (NCGG) mitigation remains a large uncertain factor that has received relatively little scientific attention. A revision of the estimated mitigation potential could have massive implications for the feasibility of global climate policy to reach the Paris Agreement climate goals. Here, we provide a systematic bottom-up estimate of the total uncertainty in NCGG mitigation, by developing “optimistic, default and pessimistic” long-term non-CO\n            2\n            marginal abatement cost (MAC) curves. The global 1.5-degree climate target is found to be out of reach under pessimistic MAC assumptions, as is the 2-degree target under high emission assumptions. MAC uncertainty translates into a large projected range in (all in a 2-degree scenario) relative NCGG reduction (40–58%), carbon budget (± 120 Gt CO\n            2\n            ) and policy costs (± 16%). Partly, the MAC uncertainty signifies a gap that could be bridged by human efforts, but largely it indicates uncertainty in technical limitations.","genre":"preprint","language":"en","note":"DOI: 10.21203/rs.3.rs-2238789/v1","publisher":"In Review","source":"DOI.org (Crossref)","title":"Uncertainty in non-CO2 greenhouse gas mitigation: Make-or-break for global climate policy feasibility","title-short":"Uncertainty in non-CO2 greenhouse gas mitigation","URL":"https://www.researchsquare.com/article/rs-2238789/v1","author":[{"family":"Harmsen","given":"Mathijs"},{"family":"Tabak","given":"Charlotte"},{"family":"Höglund-Isaksson","given":"Lena"},{"family":"Humpenöder","given":"Florian"},{"family":"Purohit","given":"Pallav"},{"family":"Vuuren","given":"Detlef","dropping-particle":"van"}],"accessed":{"date-parts":[["2023",4,23]]},"issued":{"date-parts":[["2023",1,9]]}}}],"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67</w:t>
            </w:r>
            <w:r w:rsidR="009E54D2">
              <w:rPr>
                <w:color w:val="000000" w:themeColor="text1"/>
                <w:sz w:val="10"/>
                <w:szCs w:val="10"/>
              </w:rPr>
              <w:fldChar w:fldCharType="end"/>
            </w:r>
            <w:r w:rsidRPr="00FD54EA">
              <w:rPr>
                <w:color w:val="000000" w:themeColor="text1"/>
                <w:sz w:val="10"/>
                <w:szCs w:val="10"/>
              </w:rPr>
              <w:t>, increasing labor and capital demand based on general regional cost shares in agricultural production. Mitigation rates are translated to changes in soil nitrogen uptake efficiency to improve the consistency with our nitrogen budgets.</w:t>
            </w:r>
          </w:p>
        </w:tc>
      </w:tr>
      <w:tr w:rsidR="00FD54EA" w:rsidRPr="00FD54EA" w14:paraId="1585F391" w14:textId="77777777" w:rsidTr="00F67720">
        <w:tc>
          <w:tcPr>
            <w:tcW w:w="1055" w:type="dxa"/>
            <w:shd w:val="clear" w:color="auto" w:fill="auto"/>
            <w:tcMar>
              <w:top w:w="40" w:type="dxa"/>
              <w:left w:w="40" w:type="dxa"/>
              <w:bottom w:w="40" w:type="dxa"/>
              <w:right w:w="40" w:type="dxa"/>
            </w:tcMar>
            <w:vAlign w:val="bottom"/>
          </w:tcPr>
          <w:p w14:paraId="4EA9871B" w14:textId="77777777" w:rsidR="00BE09F0" w:rsidRPr="00FD54EA" w:rsidRDefault="00FD54EA">
            <w:pPr>
              <w:widowControl w:val="0"/>
              <w:rPr>
                <w:color w:val="000000" w:themeColor="text1"/>
                <w:sz w:val="10"/>
                <w:szCs w:val="10"/>
              </w:rPr>
            </w:pPr>
            <w:r w:rsidRPr="00FD54EA">
              <w:rPr>
                <w:color w:val="000000" w:themeColor="text1"/>
                <w:sz w:val="10"/>
                <w:szCs w:val="10"/>
              </w:rPr>
              <w:t>CropRotations</w:t>
            </w:r>
          </w:p>
        </w:tc>
        <w:tc>
          <w:tcPr>
            <w:tcW w:w="9730" w:type="dxa"/>
            <w:shd w:val="clear" w:color="auto" w:fill="auto"/>
            <w:tcMar>
              <w:top w:w="40" w:type="dxa"/>
              <w:left w:w="40" w:type="dxa"/>
              <w:bottom w:w="40" w:type="dxa"/>
              <w:right w:w="40" w:type="dxa"/>
            </w:tcMar>
            <w:vAlign w:val="bottom"/>
          </w:tcPr>
          <w:p w14:paraId="58B0E675" w14:textId="77777777" w:rsidR="00BE09F0" w:rsidRPr="00FD54EA" w:rsidRDefault="00FD54EA">
            <w:pPr>
              <w:widowControl w:val="0"/>
              <w:rPr>
                <w:color w:val="000000" w:themeColor="text1"/>
                <w:sz w:val="10"/>
                <w:szCs w:val="10"/>
              </w:rPr>
            </w:pPr>
            <w:r w:rsidRPr="00FD54EA">
              <w:rPr>
                <w:color w:val="000000" w:themeColor="text1"/>
                <w:sz w:val="10"/>
                <w:szCs w:val="10"/>
              </w:rPr>
              <w:t>Crop rotations are incentivized with payments. Exceeding typical rotation lengths is priced to account for the external costs of less diverse agriculture. For the tax rate of rotation length exceedance, see supplementary data spreadsheet.</w:t>
            </w:r>
          </w:p>
        </w:tc>
      </w:tr>
      <w:tr w:rsidR="00FD54EA" w:rsidRPr="00FD54EA" w14:paraId="2BE9260A" w14:textId="77777777" w:rsidTr="00F67720">
        <w:tc>
          <w:tcPr>
            <w:tcW w:w="1055" w:type="dxa"/>
            <w:shd w:val="clear" w:color="auto" w:fill="auto"/>
            <w:tcMar>
              <w:top w:w="40" w:type="dxa"/>
              <w:left w:w="40" w:type="dxa"/>
              <w:bottom w:w="40" w:type="dxa"/>
              <w:right w:w="40" w:type="dxa"/>
            </w:tcMar>
            <w:vAlign w:val="bottom"/>
          </w:tcPr>
          <w:p w14:paraId="4EDDCC14" w14:textId="77777777" w:rsidR="00BE09F0" w:rsidRPr="00FD54EA" w:rsidRDefault="00FD54EA">
            <w:pPr>
              <w:widowControl w:val="0"/>
              <w:rPr>
                <w:color w:val="000000" w:themeColor="text1"/>
                <w:sz w:val="10"/>
                <w:szCs w:val="10"/>
              </w:rPr>
            </w:pPr>
            <w:r w:rsidRPr="00FD54EA">
              <w:rPr>
                <w:color w:val="000000" w:themeColor="text1"/>
                <w:sz w:val="10"/>
                <w:szCs w:val="10"/>
              </w:rPr>
              <w:t>LandscapeHabitats</w:t>
            </w:r>
          </w:p>
        </w:tc>
        <w:tc>
          <w:tcPr>
            <w:tcW w:w="9730" w:type="dxa"/>
            <w:shd w:val="clear" w:color="auto" w:fill="auto"/>
            <w:tcMar>
              <w:top w:w="40" w:type="dxa"/>
              <w:left w:w="40" w:type="dxa"/>
              <w:bottom w:w="40" w:type="dxa"/>
              <w:right w:w="40" w:type="dxa"/>
            </w:tcMar>
            <w:vAlign w:val="bottom"/>
          </w:tcPr>
          <w:p w14:paraId="2DEB0344" w14:textId="380EEC78" w:rsidR="00BE09F0" w:rsidRPr="00FD54EA" w:rsidRDefault="00FD54EA">
            <w:pPr>
              <w:widowControl w:val="0"/>
              <w:rPr>
                <w:color w:val="000000" w:themeColor="text1"/>
                <w:sz w:val="10"/>
                <w:szCs w:val="10"/>
              </w:rPr>
            </w:pPr>
            <w:r w:rsidRPr="00FD54EA">
              <w:rPr>
                <w:color w:val="000000" w:themeColor="text1"/>
                <w:sz w:val="10"/>
                <w:szCs w:val="10"/>
              </w:rPr>
              <w:t>Permanent habitats are established within agricultural landscapes. Cropland expansion per cluster is constrained to 80% of the available potential cropland</w:t>
            </w:r>
            <w:r w:rsidR="009E54D2">
              <w:rPr>
                <w:color w:val="000000" w:themeColor="text1"/>
                <w:sz w:val="10"/>
                <w:szCs w:val="10"/>
              </w:rPr>
              <w:fldChar w:fldCharType="begin"/>
            </w:r>
            <w:r w:rsidR="009E54D2">
              <w:rPr>
                <w:color w:val="000000" w:themeColor="text1"/>
                <w:sz w:val="10"/>
                <w:szCs w:val="10"/>
              </w:rPr>
              <w:instrText xml:space="preserve"> ADDIN ZOTERO_ITEM CSL_CITATION {"citationID":"7JjXVgve","properties":{"formattedCitation":"\\super 68\\nosupersub{}","plainCitation":"68","noteIndex":0},"citationItems":[{"id":7012,"uris":["http://zotero.org/users/694717/items/IUW6ZQN7"],"itemData":{"id":7012,"type":"article-journal","abstract":"With rising demand for biomass, cropland expansion and intensification represent the main strategies to boost agricultural production, but are also major drivers of biodiversity decline. We investigate the consequences of attaining equal global production gains by 2030, either by cropland expansion or intensification, and analyse their impacts on agricultural markets and biodiversity. We find that both scenarios lead to lower crop prices across the world, even in regions where production decreases. Cropland expansion mostly affects biodiversity hotspots in Central and South America, while cropland intensification threatens biodiversity especially in Sub-Saharan Africa, India and China. Our results suggest that production gains will occur at the costs of biodiversity predominantly in developing tropical regions, while Europe and North America benefit from lower world market prices without putting their own biodiversity at risk. By identifying hotspots of potential future conflicts, we demonstrate where conservation prioritization is needed to balance agricultural production with conservation goals.","container-title":"Nature Communications","DOI":"10.1038/s41467-019-10775-z","ISSN":"2041-1723","issue":"1","language":"en","license":"2019 The Author(s)","note":"number: 1\npublisher: Nature Publishing Group","page":"2844","source":"www.nature.com","title":"Global impacts of future cropland expansion and intensification on agricultural markets and biodiversity","volume":"10","author":[{"family":"Zabel","given":"Florian"},{"family":"Delzeit","given":"Ruth"},{"family":"Schneider","given":"Julia M."},{"family":"Seppelt","given":"Ralf"},{"family":"Mauser","given":"Wolfram"},{"family":"Václavík","given":"Tomáš"}],"issued":{"date-parts":[["2019",6,28]]}}}],"schema":"https://github.com/citation-style-language/schema/raw/master/csl-citation.json"}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68</w:t>
            </w:r>
            <w:r w:rsidR="009E54D2">
              <w:rPr>
                <w:color w:val="000000" w:themeColor="text1"/>
                <w:sz w:val="10"/>
                <w:szCs w:val="10"/>
              </w:rPr>
              <w:fldChar w:fldCharType="end"/>
            </w:r>
            <w:r w:rsidRPr="00FD54EA">
              <w:rPr>
                <w:color w:val="000000" w:themeColor="text1"/>
                <w:sz w:val="10"/>
                <w:szCs w:val="10"/>
              </w:rPr>
              <w:t>. This aims at conserving at least 20% permanent semi-natural habitats at the landscape level (e.g. for pollination, pest control, soil protection). Semi-natural habitats include forest, non-forest and grassland habitats that can maintain and restore native species diversity.</w:t>
            </w:r>
          </w:p>
        </w:tc>
      </w:tr>
      <w:tr w:rsidR="00FD54EA" w:rsidRPr="00FD54EA" w14:paraId="4363477B" w14:textId="77777777" w:rsidTr="00F67720">
        <w:tc>
          <w:tcPr>
            <w:tcW w:w="1055" w:type="dxa"/>
            <w:tcMar>
              <w:top w:w="40" w:type="dxa"/>
              <w:left w:w="40" w:type="dxa"/>
              <w:bottom w:w="40" w:type="dxa"/>
              <w:right w:w="40" w:type="dxa"/>
            </w:tcMar>
            <w:vAlign w:val="bottom"/>
          </w:tcPr>
          <w:p w14:paraId="2A651B69" w14:textId="77777777" w:rsidR="00BE09F0" w:rsidRPr="00FD54EA" w:rsidRDefault="00FD54EA">
            <w:pPr>
              <w:widowControl w:val="0"/>
              <w:rPr>
                <w:color w:val="000000" w:themeColor="text1"/>
                <w:sz w:val="10"/>
                <w:szCs w:val="10"/>
              </w:rPr>
            </w:pPr>
            <w:r w:rsidRPr="00FD54EA">
              <w:rPr>
                <w:color w:val="000000" w:themeColor="text1"/>
                <w:sz w:val="10"/>
                <w:szCs w:val="10"/>
              </w:rPr>
              <w:t>RiceMitigation</w:t>
            </w:r>
          </w:p>
        </w:tc>
        <w:tc>
          <w:tcPr>
            <w:tcW w:w="9730" w:type="dxa"/>
            <w:shd w:val="clear" w:color="auto" w:fill="auto"/>
            <w:tcMar>
              <w:top w:w="40" w:type="dxa"/>
              <w:left w:w="40" w:type="dxa"/>
              <w:bottom w:w="40" w:type="dxa"/>
              <w:right w:w="40" w:type="dxa"/>
            </w:tcMar>
            <w:vAlign w:val="bottom"/>
          </w:tcPr>
          <w:p w14:paraId="03D95374" w14:textId="2A57F76C" w:rsidR="00BE09F0" w:rsidRPr="00FD54EA" w:rsidRDefault="00FD54EA">
            <w:pPr>
              <w:widowControl w:val="0"/>
              <w:rPr>
                <w:color w:val="000000" w:themeColor="text1"/>
                <w:sz w:val="10"/>
                <w:szCs w:val="10"/>
              </w:rPr>
            </w:pPr>
            <w:r w:rsidRPr="00FD54EA">
              <w:rPr>
                <w:color w:val="000000" w:themeColor="text1"/>
                <w:sz w:val="10"/>
                <w:szCs w:val="10"/>
              </w:rPr>
              <w:t xml:space="preserve">Technical measures such as direct seeding, improved residue management, alternated flooding and drainage, and changed fertilization. We </w:t>
            </w:r>
            <w:r w:rsidR="009E54D2">
              <w:rPr>
                <w:color w:val="000000" w:themeColor="text1"/>
                <w:sz w:val="10"/>
                <w:szCs w:val="10"/>
              </w:rPr>
              <w:t>a</w:t>
            </w:r>
            <w:r w:rsidRPr="00FD54EA">
              <w:rPr>
                <w:color w:val="000000" w:themeColor="text1"/>
                <w:sz w:val="10"/>
                <w:szCs w:val="10"/>
              </w:rPr>
              <w:t xml:space="preserve"> the marginal mitigation cos</w:t>
            </w:r>
            <w:r w:rsidR="009E54D2">
              <w:rPr>
                <w:color w:val="000000" w:themeColor="text1"/>
                <w:sz w:val="10"/>
                <w:szCs w:val="10"/>
              </w:rPr>
              <w:t>t</w:t>
            </w:r>
            <w:r w:rsidRPr="00FD54EA">
              <w:rPr>
                <w:color w:val="000000" w:themeColor="text1"/>
                <w:sz w:val="10"/>
                <w:szCs w:val="10"/>
              </w:rPr>
              <w:t xml:space="preserve"> curve</w:t>
            </w:r>
            <w:r w:rsidR="009E54D2">
              <w:rPr>
                <w:color w:val="000000" w:themeColor="text1"/>
                <w:sz w:val="10"/>
                <w:szCs w:val="10"/>
              </w:rPr>
              <w:fldChar w:fldCharType="begin"/>
            </w:r>
            <w:r w:rsidR="009E54D2">
              <w:rPr>
                <w:color w:val="000000" w:themeColor="text1"/>
                <w:sz w:val="10"/>
                <w:szCs w:val="10"/>
              </w:rPr>
              <w:instrText xml:space="preserve"> ADDIN ZOTERO_ITEM CSL_CITATION {"citationID":"BPqh0C4D","properties":{"formattedCitation":"\\super 67\\nosupersub{}","plainCitation":"67","noteIndex":0},"citationItems":[{"id":9353,"uris":["http://zotero.org/users/694717/items/RWCSJXDM"],"itemData":{"id":9353,"type":"report","abstract":"Abstract\n          \n            Despite its projected crucial role in stringent, future global climate policy, non-CO\n            2\n            greenhouse gas (NCGG) mitigation remains a large uncertain factor that has received relatively little scientific attention. A revision of the estimated mitigation potential could have massive implications for the feasibility of global climate policy to reach the Paris Agreement climate goals. Here, we provide a systematic bottom-up estimate of the total uncertainty in NCGG mitigation, by developing “optimistic, default and pessimistic” long-term non-CO\n            2\n            marginal abatement cost (MAC) curves. The global 1.5-degree climate target is found to be out of reach under pessimistic MAC assumptions, as is the 2-degree target under high emission assumptions. MAC uncertainty translates into a large projected range in (all in a 2-degree scenario) relative NCGG reduction (40–58%), carbon budget (± 120 Gt CO\n            2\n            ) and policy costs (± 16%). Partly, the MAC uncertainty signifies a gap that could be bridged by human efforts, but largely it indicates uncertainty in technical limitations.","genre":"preprint","language":"en","note":"DOI: 10.21203/rs.3.rs-2238789/v1","publisher":"In Review","source":"DOI.org (Crossref)","title":"Uncertainty in non-CO2 greenhouse gas mitigation: Make-or-break for global climate policy feasibility","title-short":"Uncertainty in non-CO2 greenhouse gas mitigation","URL":"https://www.researchsquare.com/article/rs-2238789/v1","author":[{"family":"Harmsen","given":"Mathijs"},{"family":"Tabak","given":"Charlotte"},{"family":"Höglund-Isaksson","given":"Lena"},{"family":"Humpenöder","given":"Florian"},{"family":"Purohit","given":"Pallav"},{"family":"Vuuren","given":"Detlef","dropping-particle":"van"}],"accessed":{"date-parts":[["2023",4,23]]},"issued":{"date-parts":[["2023",1,9]]}}}],"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67</w:t>
            </w:r>
            <w:r w:rsidR="009E54D2">
              <w:rPr>
                <w:color w:val="000000" w:themeColor="text1"/>
                <w:sz w:val="10"/>
                <w:szCs w:val="10"/>
              </w:rPr>
              <w:fldChar w:fldCharType="end"/>
            </w:r>
            <w:r w:rsidRPr="00FD54EA">
              <w:rPr>
                <w:color w:val="000000" w:themeColor="text1"/>
                <w:sz w:val="10"/>
                <w:szCs w:val="10"/>
              </w:rPr>
              <w:t xml:space="preserve"> to reduce baseline emissions.</w:t>
            </w:r>
          </w:p>
        </w:tc>
      </w:tr>
      <w:tr w:rsidR="00FD54EA" w:rsidRPr="00FD54EA" w14:paraId="6AEC4816" w14:textId="77777777" w:rsidTr="00F67720">
        <w:tc>
          <w:tcPr>
            <w:tcW w:w="1055" w:type="dxa"/>
            <w:shd w:val="clear" w:color="auto" w:fill="auto"/>
            <w:tcMar>
              <w:top w:w="40" w:type="dxa"/>
              <w:left w:w="40" w:type="dxa"/>
              <w:bottom w:w="40" w:type="dxa"/>
              <w:right w:w="40" w:type="dxa"/>
            </w:tcMar>
            <w:vAlign w:val="bottom"/>
          </w:tcPr>
          <w:p w14:paraId="52BA1851" w14:textId="77777777" w:rsidR="00BE09F0" w:rsidRPr="00FD54EA" w:rsidRDefault="00FD54EA">
            <w:pPr>
              <w:widowControl w:val="0"/>
              <w:rPr>
                <w:color w:val="000000" w:themeColor="text1"/>
                <w:sz w:val="10"/>
                <w:szCs w:val="10"/>
              </w:rPr>
            </w:pPr>
            <w:r w:rsidRPr="00FD54EA">
              <w:rPr>
                <w:color w:val="000000" w:themeColor="text1"/>
                <w:sz w:val="10"/>
                <w:szCs w:val="10"/>
              </w:rPr>
              <w:t>LivestockManagement</w:t>
            </w:r>
          </w:p>
        </w:tc>
        <w:tc>
          <w:tcPr>
            <w:tcW w:w="9730" w:type="dxa"/>
            <w:shd w:val="clear" w:color="auto" w:fill="auto"/>
            <w:tcMar>
              <w:top w:w="40" w:type="dxa"/>
              <w:left w:w="40" w:type="dxa"/>
              <w:bottom w:w="40" w:type="dxa"/>
              <w:right w:w="40" w:type="dxa"/>
            </w:tcMar>
            <w:vAlign w:val="bottom"/>
          </w:tcPr>
          <w:p w14:paraId="4843C513" w14:textId="0C88CBB4" w:rsidR="00BE09F0" w:rsidRPr="00FD54EA" w:rsidRDefault="00FD54EA">
            <w:pPr>
              <w:widowControl w:val="0"/>
              <w:rPr>
                <w:color w:val="000000" w:themeColor="text1"/>
                <w:sz w:val="10"/>
                <w:szCs w:val="10"/>
              </w:rPr>
            </w:pPr>
            <w:r w:rsidRPr="00FD54EA">
              <w:rPr>
                <w:color w:val="000000" w:themeColor="text1"/>
                <w:sz w:val="10"/>
                <w:szCs w:val="10"/>
              </w:rPr>
              <w:t>Livestock systems are intensified in particular in low-income countries, resulting in a more efficient conversion of feed into products. In addition, emissions from enteric fermentation are mitigated via the full set of technical measures and associated costs</w:t>
            </w:r>
            <w:r w:rsidR="009E54D2">
              <w:rPr>
                <w:color w:val="000000" w:themeColor="text1"/>
                <w:sz w:val="10"/>
                <w:szCs w:val="10"/>
              </w:rPr>
              <w:fldChar w:fldCharType="begin"/>
            </w:r>
            <w:r w:rsidR="009E54D2">
              <w:rPr>
                <w:color w:val="000000" w:themeColor="text1"/>
                <w:sz w:val="10"/>
                <w:szCs w:val="10"/>
              </w:rPr>
              <w:instrText xml:space="preserve"> ADDIN ZOTERO_ITEM CSL_CITATION {"citationID":"WQsLi2BL","properties":{"formattedCitation":"\\super 67\\nosupersub{}","plainCitation":"67","noteIndex":0},"citationItems":[{"id":9353,"uris":["http://zotero.org/users/694717/items/RWCSJXDM"],"itemData":{"id":9353,"type":"report","abstract":"Abstract\n          \n            Despite its projected crucial role in stringent, future global climate policy, non-CO\n            2\n            greenhouse gas (NCGG) mitigation remains a large uncertain factor that has received relatively little scientific attention. A revision of the estimated mitigation potential could have massive implications for the feasibility of global climate policy to reach the Paris Agreement climate goals. Here, we provide a systematic bottom-up estimate of the total uncertainty in NCGG mitigation, by developing “optimistic, default and pessimistic” long-term non-CO\n            2\n            marginal abatement cost (MAC) curves. The global 1.5-degree climate target is found to be out of reach under pessimistic MAC assumptions, as is the 2-degree target under high emission assumptions. MAC uncertainty translates into a large projected range in (all in a 2-degree scenario) relative NCGG reduction (40–58%), carbon budget (± 120 Gt CO\n            2\n            ) and policy costs (± 16%). Partly, the MAC uncertainty signifies a gap that could be bridged by human efforts, but largely it indicates uncertainty in technical limitations.","genre":"preprint","language":"en","note":"DOI: 10.21203/rs.3.rs-2238789/v1","publisher":"In Review","source":"DOI.org (Crossref)","title":"Uncertainty in non-CO2 greenhouse gas mitigation: Make-or-break for global climate policy feasibility","title-short":"Uncertainty in non-CO2 greenhouse gas mitigation","URL":"https://www.researchsquare.com/article/rs-2238789/v1","author":[{"family":"Harmsen","given":"Mathijs"},{"family":"Tabak","given":"Charlotte"},{"family":"Höglund-Isaksson","given":"Lena"},{"family":"Humpenöder","given":"Florian"},{"family":"Purohit","given":"Pallav"},{"family":"Vuuren","given":"Detlef","dropping-particle":"van"}],"accessed":{"date-parts":[["2023",4,23]]},"issued":{"date-parts":[["2023",1,9]]}}}],"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67</w:t>
            </w:r>
            <w:r w:rsidR="009E54D2">
              <w:rPr>
                <w:color w:val="000000" w:themeColor="text1"/>
                <w:sz w:val="10"/>
                <w:szCs w:val="10"/>
              </w:rPr>
              <w:fldChar w:fldCharType="end"/>
            </w:r>
            <w:r w:rsidRPr="00FD54EA">
              <w:rPr>
                <w:color w:val="000000" w:themeColor="text1"/>
                <w:sz w:val="10"/>
                <w:szCs w:val="10"/>
              </w:rPr>
              <w:t>. Intensification of livestock systems is represented via exogenously assuming improved future livestock productivity developments and related changes in feed baskets towards more concentrate feeds, using SSP1 instead of SSP2 parametrization</w:t>
            </w:r>
            <w:r w:rsidR="00A01D99">
              <w:rPr>
                <w:color w:val="000000" w:themeColor="text1"/>
                <w:sz w:val="10"/>
                <w:szCs w:val="10"/>
              </w:rPr>
              <w:fldChar w:fldCharType="begin"/>
            </w:r>
            <w:r w:rsidR="00A01D99">
              <w:rPr>
                <w:color w:val="000000" w:themeColor="text1"/>
                <w:sz w:val="10"/>
                <w:szCs w:val="10"/>
              </w:rPr>
              <w:instrText xml:space="preserve"> ADDIN ZOTERO_ITEM CSL_CITATION {"citationID":"MQ9XhhO1","properties":{"formattedCitation":"\\super 69,70\\nosupersub{}","plainCitation":"69,70","noteIndex":0},"citationItems":[{"id":4282,"uris":["http://zotero.org/users/694717/items/KUZF7W6F"],"itemData":{"id":4282,"type":"article-journal","abstract":"Human activities use more than half of accessible freshwater, above all for agriculture. Most approaches for reconciling water conservation with feeding a growing population focus on the cropping sector. However, livestock production is pivotal to agricultural resource use, due to its low resource-use efficiency upstream in the food supply chain. Using a global modelling approach, we quantify the current and future contribution of livestock production, under different demand- and supply-side scenarios, to the consumption of “green” precipitation water infiltrated into the soil and “blue” freshwater withdrawn from rivers, lakes and reservoirs. Currently, cropland feed production accounts for 38% of crop water consumption and grazing involves 29% of total agricultural water consumption (9990km3yr−1). Our analysis shows that changes in diets and livestock productivity have substantial implications for future consumption of agricultural blue water (19–36% increase compared to current levels) and green water (26–69% increase), but they can, at best, slow down trends of rising water requirements for decades to come. However, moderate productivity reductions in highly intensive livestock systems are possible without aggravating water scarcity. Productivity gains in developing regions decrease total agricultural water consumption, but lead to expansion of irrigated agriculture, due to the shift from grassland/green water to cropland/blue water resources. While the magnitude of the livestock water footprint gives cause for concern, neither dietary choices nor changes in livestock productivity will solve the water challenge of future food supply, unless accompanied by dedicated water protection policies.","container-title":"Global Environmental Change","DOI":"10.1016/j.gloenvcha.2017.09.010","ISSN":"0959-3780","issue":"Supplement C","journalAbbreviation":"Global Environmental Change","page":"121-132","source":"ScienceDirect","title":"Livestock production and the water challenge of future food supply: Implications of agricultural management and dietary choices","title-short":"Livestock production and the water challenge of future food supply","volume":"47","author":[{"family":"Weindl","given":"Isabelle"},{"family":"Bodirsky","given":"Benjamin Leon"},{"family":"Rolinski","given":"Susanne"},{"family":"Biewald","given":"Anne"},{"family":"Lotze-Campen","given":"Hermann"},{"family":"Müller","given":"Christoph"},{"family":"Dietrich","given":"Jan Philipp"},{"family":"Humpenöder","given":"Florian"},{"family":"Stevanović","given":"Miodrag"},{"family":"Schaphoff","given":"Sibyll"},{"family":"Popp","given":"Alexander"}],"issued":{"date-parts":[["2017",11,1]]}}},{"id":4286,"uris":["http://zotero.org/users/694717/items/XZDKPAN4"],"itemData":{"id":4286,"type":"article-journal","abstract":"Land use change has been the primary driving force of human alteration of terrestrial ecosystems. With 80% of agricultural land dedicated to livestock production, the sector is an important lever to attenuate land requirements for food production and carbon emissions from land use change. In this study, we quantify impacts of changing human diets and livestock productivity on land dynamics and depletion of carbon stored in vegetation, litter and soils. Across all investigated productivity pathways, lower consumption of livestock products can substantially reduce deforestation (47–55%) and cumulative carbon losses (34–57%). On the supply side, already minor productivity growth in extensive livestock production systems leads to substantial CO2 emission abatement, but the emission saving potential of productivity gains in intensive systems is limited, also involving trade-offs with soil carbon stocks. If accounting for uncertainties related to future trade restrictions, crop yields and pasture productivity, the range of projected carbon savings from changing diets increases to 23–78%. Highest abatement of carbon emissions (63–78%) can be achieved if reduced consumption of animal-based products is combined with sustained investments into productivity increases in plant production. Our analysis emphasizes the importance to integrate demand- and supply-side oriented mitigation strategies and to combine efforts in the crop and livestock sector to enable synergies for climate protection.","container-title":"Global and Planetary Change","DOI":"10.1016/j.gloplacha.2017.10.002","ISSN":"0921-8181","issue":"Supplement C","journalAbbreviation":"Global and Planetary Change","page":"1-10","source":"ScienceDirect","title":"Livestock and human use of land: Productivity trends and dietary choices as drivers of future land and carbon dynamics","title-short":"Livestock and human use of land","volume":"159","author":[{"family":"Weindl","given":"Isabelle"},{"family":"Popp","given":"Alexander"},{"family":"Bodirsky","given":"Benjamin Leon"},{"family":"Rolinski","given":"Susanne"},{"family":"Lotze-Campen","given":"Hermann"},{"family":"Biewald","given":"Anne"},{"family":"Humpenöder","given":"Florian"},{"family":"Dietrich","given":"Jan Philipp"},{"family":"Stevanović","given":"Miodrag"}],"issued":{"date-parts":[["2017",12,1]]}}}],"schema":"https://github.com/citation-style-language/schema/raw/master/csl-citation.json"} </w:instrText>
            </w:r>
            <w:r w:rsidR="00A01D99">
              <w:rPr>
                <w:color w:val="000000" w:themeColor="text1"/>
                <w:sz w:val="10"/>
                <w:szCs w:val="10"/>
              </w:rPr>
              <w:fldChar w:fldCharType="separate"/>
            </w:r>
            <w:r w:rsidR="00A01D99" w:rsidRPr="00A01D99">
              <w:rPr>
                <w:sz w:val="10"/>
                <w:szCs w:val="24"/>
                <w:vertAlign w:val="superscript"/>
              </w:rPr>
              <w:t>69,70</w:t>
            </w:r>
            <w:r w:rsidR="00A01D99">
              <w:rPr>
                <w:color w:val="000000" w:themeColor="text1"/>
                <w:sz w:val="10"/>
                <w:szCs w:val="10"/>
              </w:rPr>
              <w:fldChar w:fldCharType="end"/>
            </w:r>
            <w:r w:rsidRPr="00FD54EA">
              <w:rPr>
                <w:color w:val="000000" w:themeColor="text1"/>
                <w:sz w:val="10"/>
                <w:szCs w:val="10"/>
              </w:rPr>
              <w:t>.</w:t>
            </w:r>
          </w:p>
        </w:tc>
      </w:tr>
      <w:tr w:rsidR="00FD54EA" w:rsidRPr="00FD54EA" w14:paraId="7E9B2A11" w14:textId="77777777" w:rsidTr="00F67720">
        <w:tc>
          <w:tcPr>
            <w:tcW w:w="1055" w:type="dxa"/>
            <w:shd w:val="clear" w:color="auto" w:fill="auto"/>
            <w:tcMar>
              <w:top w:w="40" w:type="dxa"/>
              <w:left w:w="40" w:type="dxa"/>
              <w:bottom w:w="40" w:type="dxa"/>
              <w:right w:w="40" w:type="dxa"/>
            </w:tcMar>
            <w:vAlign w:val="bottom"/>
          </w:tcPr>
          <w:p w14:paraId="05965A33" w14:textId="77777777" w:rsidR="00BE09F0" w:rsidRPr="00FD54EA" w:rsidRDefault="00FD54EA">
            <w:pPr>
              <w:widowControl w:val="0"/>
              <w:rPr>
                <w:color w:val="000000" w:themeColor="text1"/>
                <w:sz w:val="10"/>
                <w:szCs w:val="10"/>
              </w:rPr>
            </w:pPr>
            <w:r w:rsidRPr="00FD54EA">
              <w:rPr>
                <w:color w:val="000000" w:themeColor="text1"/>
                <w:sz w:val="10"/>
                <w:szCs w:val="10"/>
              </w:rPr>
              <w:t>ManureManagement</w:t>
            </w:r>
          </w:p>
        </w:tc>
        <w:tc>
          <w:tcPr>
            <w:tcW w:w="9730" w:type="dxa"/>
            <w:shd w:val="clear" w:color="auto" w:fill="auto"/>
            <w:tcMar>
              <w:top w:w="40" w:type="dxa"/>
              <w:left w:w="40" w:type="dxa"/>
              <w:bottom w:w="40" w:type="dxa"/>
              <w:right w:w="40" w:type="dxa"/>
            </w:tcMar>
            <w:vAlign w:val="bottom"/>
          </w:tcPr>
          <w:p w14:paraId="740F00B6" w14:textId="30904025" w:rsidR="00BE09F0" w:rsidRPr="00FD54EA" w:rsidRDefault="00FD54EA">
            <w:pPr>
              <w:widowControl w:val="0"/>
              <w:rPr>
                <w:color w:val="000000" w:themeColor="text1"/>
                <w:sz w:val="10"/>
                <w:szCs w:val="10"/>
              </w:rPr>
            </w:pPr>
            <w:r w:rsidRPr="00FD54EA">
              <w:rPr>
                <w:color w:val="000000" w:themeColor="text1"/>
                <w:sz w:val="10"/>
                <w:szCs w:val="10"/>
              </w:rPr>
              <w:t>Improved animal waste management reduces losses and emissions during collection and storage of manure using a set of measures at additional costs. 50% of manure excreted in confinements is managed in anaerobic digesters, while the remainder is still managed according to the current mix. Anaerobic digesters are assumed to have a 90% recycling rate of manure, accounting for some remaining losses in stables and waste collection</w:t>
            </w:r>
            <w:r w:rsidR="00A01D99">
              <w:rPr>
                <w:color w:val="000000" w:themeColor="text1"/>
                <w:sz w:val="10"/>
                <w:szCs w:val="10"/>
              </w:rPr>
              <w:fldChar w:fldCharType="begin"/>
            </w:r>
            <w:r w:rsidR="00A01D99">
              <w:rPr>
                <w:color w:val="000000" w:themeColor="text1"/>
                <w:sz w:val="10"/>
                <w:szCs w:val="10"/>
              </w:rPr>
              <w:instrText xml:space="preserve"> ADDIN ZOTERO_ITEM CSL_CITATION {"citationID":"bLDRk288","properties":{"formattedCitation":"\\super 51\\nosupersub{}","plainCitation":"51","noteIndex":0},"citationItems":[{"id":2504,"uris":["http://zotero.org/users/694717/items/WP4HTMA4"],"itemData":{"id":2504,"type":"article-journal","container-title":"Nature Communications","DOI":"10.1038/ncomms4858","ISSN":"2041-1723","source":"CrossRef","title":"Reactive nitrogen requirements to feed the world in 2050 and potential to mitigate nitrogen pollution","URL":"http://www.nature.com/doifinder/10.1038/ncomms4858","volume":"5","author":[{"family":"Bodirsky","given":"Benjamin Leon"},{"family":"Popp","given":"Alexander"},{"family":"Lotze-Campen","given":"Hermann"},{"family":"Dietrich","given":"Jan Philipp"},{"family":"Rolinski","given":"Susanne"},{"family":"Weindl","given":"Isabelle"},{"family":"Schmitz","given":"Christoph"},{"family":"Müller","given":"Christoph"},{"family":"Bonsch","given":"Markus"},{"family":"Humpenöder","given":"Florian"},{"family":"Biewald","given":"Anne"},{"family":"Stevanovic","given":"Miodrag"}],"accessed":{"date-parts":[["2014",5,13]]},"issued":{"date-parts":[["2014",5,13]]}}}],"schema":"https://github.com/citation-style-language/schema/raw/master/csl-citation.json"} </w:instrText>
            </w:r>
            <w:r w:rsidR="00A01D99">
              <w:rPr>
                <w:color w:val="000000" w:themeColor="text1"/>
                <w:sz w:val="10"/>
                <w:szCs w:val="10"/>
              </w:rPr>
              <w:fldChar w:fldCharType="separate"/>
            </w:r>
            <w:r w:rsidR="00A01D99" w:rsidRPr="00A01D99">
              <w:rPr>
                <w:sz w:val="10"/>
                <w:szCs w:val="24"/>
                <w:vertAlign w:val="superscript"/>
              </w:rPr>
              <w:t>51</w:t>
            </w:r>
            <w:r w:rsidR="00A01D99">
              <w:rPr>
                <w:color w:val="000000" w:themeColor="text1"/>
                <w:sz w:val="10"/>
                <w:szCs w:val="10"/>
              </w:rPr>
              <w:fldChar w:fldCharType="end"/>
            </w:r>
            <w:r w:rsidRPr="00FD54EA">
              <w:rPr>
                <w:color w:val="000000" w:themeColor="text1"/>
                <w:sz w:val="10"/>
                <w:szCs w:val="10"/>
              </w:rPr>
              <w:t>.</w:t>
            </w:r>
          </w:p>
        </w:tc>
      </w:tr>
      <w:tr w:rsidR="00FD54EA" w:rsidRPr="00FD54EA" w14:paraId="6CE94269" w14:textId="77777777" w:rsidTr="00F67720">
        <w:tc>
          <w:tcPr>
            <w:tcW w:w="1055" w:type="dxa"/>
            <w:tcMar>
              <w:top w:w="40" w:type="dxa"/>
              <w:left w:w="40" w:type="dxa"/>
              <w:bottom w:w="40" w:type="dxa"/>
              <w:right w:w="40" w:type="dxa"/>
            </w:tcMar>
            <w:vAlign w:val="bottom"/>
          </w:tcPr>
          <w:p w14:paraId="21A9DA5E" w14:textId="77777777" w:rsidR="00BE09F0" w:rsidRPr="00FD54EA" w:rsidRDefault="00FD54EA">
            <w:pPr>
              <w:widowControl w:val="0"/>
              <w:rPr>
                <w:color w:val="000000" w:themeColor="text1"/>
                <w:sz w:val="10"/>
                <w:szCs w:val="10"/>
              </w:rPr>
            </w:pPr>
            <w:r w:rsidRPr="00FD54EA">
              <w:rPr>
                <w:color w:val="000000" w:themeColor="text1"/>
                <w:sz w:val="10"/>
                <w:szCs w:val="10"/>
              </w:rPr>
              <w:t>SoilCarbon</w:t>
            </w:r>
          </w:p>
        </w:tc>
        <w:tc>
          <w:tcPr>
            <w:tcW w:w="9730" w:type="dxa"/>
            <w:shd w:val="clear" w:color="auto" w:fill="auto"/>
            <w:tcMar>
              <w:top w:w="40" w:type="dxa"/>
              <w:left w:w="40" w:type="dxa"/>
              <w:bottom w:w="40" w:type="dxa"/>
              <w:right w:w="40" w:type="dxa"/>
            </w:tcMar>
            <w:vAlign w:val="bottom"/>
          </w:tcPr>
          <w:p w14:paraId="0C2B1C4C" w14:textId="77777777" w:rsidR="00BE09F0" w:rsidRPr="00FD54EA" w:rsidRDefault="00FD54EA">
            <w:pPr>
              <w:widowControl w:val="0"/>
              <w:rPr>
                <w:color w:val="000000" w:themeColor="text1"/>
                <w:sz w:val="10"/>
                <w:szCs w:val="10"/>
              </w:rPr>
            </w:pPr>
            <w:r w:rsidRPr="00FD54EA">
              <w:rPr>
                <w:color w:val="000000" w:themeColor="text1"/>
                <w:sz w:val="10"/>
                <w:szCs w:val="10"/>
              </w:rPr>
              <w:t>Soil carbon degradation is disincentivized and soil carbon sequestration is incentivized through a carbon price on C in soil carbon (including litter layer). Disincentivized measures include transition of natural land or pasture to cropland, incentivized measures include irrigation or perennial crops.</w:t>
            </w:r>
          </w:p>
        </w:tc>
      </w:tr>
      <w:tr w:rsidR="00FD54EA" w:rsidRPr="00FD54EA" w14:paraId="689AC913" w14:textId="77777777" w:rsidTr="00F67720">
        <w:tc>
          <w:tcPr>
            <w:tcW w:w="1055" w:type="dxa"/>
            <w:tcMar>
              <w:top w:w="40" w:type="dxa"/>
              <w:left w:w="40" w:type="dxa"/>
              <w:bottom w:w="40" w:type="dxa"/>
              <w:right w:w="40" w:type="dxa"/>
            </w:tcMar>
            <w:vAlign w:val="bottom"/>
          </w:tcPr>
          <w:p w14:paraId="4BA595D4" w14:textId="77777777" w:rsidR="00BE09F0" w:rsidRPr="00FD54EA" w:rsidRDefault="00FD54EA">
            <w:pPr>
              <w:widowControl w:val="0"/>
              <w:rPr>
                <w:color w:val="000000" w:themeColor="text1"/>
                <w:sz w:val="10"/>
                <w:szCs w:val="10"/>
              </w:rPr>
            </w:pPr>
            <w:r w:rsidRPr="00FD54EA">
              <w:rPr>
                <w:color w:val="000000" w:themeColor="text1"/>
                <w:sz w:val="10"/>
                <w:szCs w:val="10"/>
              </w:rPr>
              <w:t>Population</w:t>
            </w:r>
          </w:p>
        </w:tc>
        <w:tc>
          <w:tcPr>
            <w:tcW w:w="9730" w:type="dxa"/>
            <w:shd w:val="clear" w:color="auto" w:fill="auto"/>
            <w:tcMar>
              <w:top w:w="40" w:type="dxa"/>
              <w:left w:w="40" w:type="dxa"/>
              <w:bottom w:w="40" w:type="dxa"/>
              <w:right w:w="40" w:type="dxa"/>
            </w:tcMar>
            <w:vAlign w:val="bottom"/>
          </w:tcPr>
          <w:p w14:paraId="2A71BE35" w14:textId="15EA0625" w:rsidR="00BE09F0" w:rsidRPr="00FD54EA" w:rsidRDefault="00FD54EA">
            <w:pPr>
              <w:widowControl w:val="0"/>
              <w:rPr>
                <w:color w:val="000000" w:themeColor="text1"/>
                <w:sz w:val="10"/>
                <w:szCs w:val="10"/>
              </w:rPr>
            </w:pPr>
            <w:r w:rsidRPr="00FD54EA">
              <w:rPr>
                <w:color w:val="000000" w:themeColor="text1"/>
                <w:sz w:val="10"/>
                <w:szCs w:val="10"/>
              </w:rPr>
              <w:t>Population growth is reduced, in particular in low-income countries, switching population projections</w:t>
            </w:r>
            <w:r w:rsidR="009E54D2">
              <w:rPr>
                <w:color w:val="000000" w:themeColor="text1"/>
                <w:sz w:val="10"/>
                <w:szCs w:val="10"/>
              </w:rPr>
              <w:fldChar w:fldCharType="begin"/>
            </w:r>
            <w:r w:rsidR="00A01D99">
              <w:rPr>
                <w:color w:val="000000" w:themeColor="text1"/>
                <w:sz w:val="10"/>
                <w:szCs w:val="10"/>
              </w:rPr>
              <w:instrText xml:space="preserve"> ADDIN ZOTERO_ITEM CSL_CITATION {"citationID":"LdQHtZM7","properties":{"formattedCitation":"\\super 71\\nosupersub{}","plainCitation":"71","noteIndex":0},"citationItems":[{"id":4955,"uris":["http://zotero.org/users/694717/items/TMRRCCHZ"],"itemData":{"id":4955,"type":"article-journal","abstract":"This paper applies the methods of multi-dimensional mathematical demography to project national populations based on alternative assumptions on future, fertility, mortality, migration and educational transitions that correspond to the five shared socioeconomic pathways (SSP) storylines. In doing so it goes a significant step beyond past population scenarios in the IPCC context which considered only total population size. By differentiating the human population not only by age and sex—as is conventionally done in demographic projections—but also by different levels of educational attainment the most fundamental aspects of human development and social change are being explicitly addressed through modeling the changing composition of populations by these three important individual characteristics. The scenarios have been defined in a collaborative effort of the international Integrated Assessment Modeling community with the medium scenario following that of a major new effort by the Wittgenstein Centre for Demography and Global Human Capital (IIASA, OEAW, WU) involving over 550 experts from around the world. As a result, in terms of total world population size the trajectories resulting from the five SSPs stay very close to each other until around 2030 and by the middle of the century already a visible differentiation appears with the range between the highest (SSP3) and the lowest (SSP1) trajectories spanning 1.5 billion. The range opens up much more with the SSP3 reaching 12.6 billion in 2100 and SSP1 falling to 6.9 billion which is lower than today's world population.","container-title":"Global Environmental Change","DOI":"10.1016/j.gloenvcha.2014.06.004","ISSN":"0959-3780","journalAbbreviation":"Global Environmental Change","page":"181-192","source":"ScienceDirect","title":"The human core of the shared socioeconomic pathways: Population scenarios by age, sex and level of education for all countries to 2100","title-short":"The human core of the shared socioeconomic pathways","volume":"42","author":[{"family":"Kc","given":"Samir"},{"family":"Lutz","given":"Wolfgang"}],"issued":{"date-parts":[["2017",1,1]]}}}],"schema":"https://github.com/citation-style-language/schema/raw/master/csl-citation.json"} </w:instrText>
            </w:r>
            <w:r w:rsidR="009E54D2">
              <w:rPr>
                <w:color w:val="000000" w:themeColor="text1"/>
                <w:sz w:val="10"/>
                <w:szCs w:val="10"/>
              </w:rPr>
              <w:fldChar w:fldCharType="separate"/>
            </w:r>
            <w:r w:rsidR="00A01D99" w:rsidRPr="00A01D99">
              <w:rPr>
                <w:sz w:val="10"/>
                <w:szCs w:val="24"/>
                <w:vertAlign w:val="superscript"/>
              </w:rPr>
              <w:t>71</w:t>
            </w:r>
            <w:r w:rsidR="009E54D2">
              <w:rPr>
                <w:color w:val="000000" w:themeColor="text1"/>
                <w:sz w:val="10"/>
                <w:szCs w:val="10"/>
              </w:rPr>
              <w:fldChar w:fldCharType="end"/>
            </w:r>
            <w:r w:rsidRPr="00FD54EA">
              <w:rPr>
                <w:color w:val="000000" w:themeColor="text1"/>
                <w:sz w:val="10"/>
                <w:szCs w:val="10"/>
              </w:rPr>
              <w:t xml:space="preserve"> and built-up area projections</w:t>
            </w:r>
            <w:r w:rsidR="009E54D2">
              <w:rPr>
                <w:color w:val="000000" w:themeColor="text1"/>
                <w:sz w:val="10"/>
                <w:szCs w:val="10"/>
              </w:rPr>
              <w:fldChar w:fldCharType="begin"/>
            </w:r>
            <w:r w:rsidR="00A01D99">
              <w:rPr>
                <w:color w:val="000000" w:themeColor="text1"/>
                <w:sz w:val="10"/>
                <w:szCs w:val="10"/>
              </w:rPr>
              <w:instrText xml:space="preserve"> ADDIN ZOTERO_ITEM CSL_CITATION {"citationID":"H2Li7ZwL","properties":{"formattedCitation":"\\super 72\\nosupersub{}","plainCitation":"72","noteIndex":0},"citationItems":[{"id":6691,"uris":["http://zotero.org/users/694717/items/ZEF3NQFL"],"itemData":{"id":6691,"type":"article-journal","abstract":"&lt;p&gt;&lt;strong&gt;Abstract.&lt;/strong&gt; Human land-use activities have resulted in large changes to the biogeochemical and biophysical properties of the Earth surface, with consequences for climate and other ecosystem services. In the future, land-use activities are likely to expand and/or intensify further to meet growing demands for food, fiber, and energy. As part of the World Climate Research Program Coupled Model Intercomparison Project (CMIP6), the international community is developing the next generation of advanced Earth System Models (ESMs) to estimate the combined effects of human activities (e.g. land use and fossil fuel emissions) on the carbon-climate system. A new set of historical data based on the History of the Global Environment database (HYDE), and multiple alternative scenarios of the future (2015&amp;ndash;2100) from Integrated Assessment Model (IAM) teams, are required as input for these models. Here we present results from the Land-use Harmonization 2 (LUH2) project, with the goal to smoothly connect updated historical reconstructions of land-use with new future projections in the format required for ESMs. The harmonization strategy estimates the fractional land-use patterns, underlying land-use transitions, key agricultural management information, and resulting secondary lands annually, while minimizing the differences between the end of the historical reconstruction and IAM initial conditions and preserving changes depicted by the IAMs in the future. The new approach builds off a similar effort from CMIP5, and is now provided at higher resolution (0.25&amp;thinsp;&amp;times;&amp;thinsp;0.25 degree), over a longer time domain (850&amp;ndash;2100, with extensions to 2300), with more detail (including multiple crop and pasture types and associated management practices), using more input datasets (including Landsat remote sensing data), updated algorithms (wood harvest and shifting cultivation), and is assessed via a new diagnostic package. The new LUH2 products contain &gt;&amp;thinsp;50 times the information content of the datasets used in CMIP5, and are designed to enable new and improved estimates of the combined effects of land-use on the global carbon-climate system.&lt;/p&gt;","container-title":"Geoscientific Model Development Discussions","DOI":"https://doi.org/10.5194/gmd-2019-360","ISSN":"1991-959X","language":"English","page":"1-65","source":"gmd.copernicus.org","title":"Harmonization of Global Land-Use Change and Management for the Period 850&amp;ndash;2100 (LUH2) for CMIP6","author":[{"family":"Hurtt","given":"George C."},{"family":"Chini","given":"Louise"},{"family":"Sahajpal","given":"Ritvik"},{"family":"Frolking","given":"Steve"},{"family":"Bodirsky","given":"Benjamin L."},{"family":"Calvin","given":"Katherine"},{"family":"Doelman","given":"Jonathan C."},{"family":"Fisk","given":"Justin"},{"family":"Fujimori","given":"Shinichiro"},{"family":"Goldewijk","given":"Kees Klein"},{"family":"Hasegawa","given":"Tomoko"},{"family":"Havlik","given":"Peter"},{"family":"Heinimann","given":"Andreas"},{"family":"Humpenöder","given":"Florian"},{"family":"Jungclaus","given":"Johan"},{"family":"Kaplan","given":"Jed"},{"family":"Kennedy","given":"Jennifer"},{"family":"Kristzin","given":"Tamas"},{"family":"Lawrence","given":"David"},{"family":"Lawrence","given":"Peter"},{"family":"Ma","given":"Lei"},{"family":"Mertz","given":"Ole"},{"family":"Pongratz","given":"Julia"},{"family":"Popp","given":"Alexander"},{"family":"Poulter","given":"Benjamin"},{"family":"Riahi","given":"Keywan"},{"family":"Shevliakova","given":"Elena"},{"family":"Stehfest","given":"Elke"},{"family":"Thornton","given":"Peter"},{"family":"Tubiello","given":"Francesco N."},{"family":"Vuuren","given":"Detlef P.","non-dropping-particle":"van"},{"family":"Zhang","given":"Xin"}],"issued":{"date-parts":[["2020",4,14]]}}}],"schema":"https://github.com/citation-style-language/schema/raw/master/csl-citation.json"} </w:instrText>
            </w:r>
            <w:r w:rsidR="009E54D2">
              <w:rPr>
                <w:color w:val="000000" w:themeColor="text1"/>
                <w:sz w:val="10"/>
                <w:szCs w:val="10"/>
              </w:rPr>
              <w:fldChar w:fldCharType="separate"/>
            </w:r>
            <w:r w:rsidR="00A01D99" w:rsidRPr="00A01D99">
              <w:rPr>
                <w:sz w:val="10"/>
                <w:szCs w:val="24"/>
                <w:vertAlign w:val="superscript"/>
              </w:rPr>
              <w:t>72</w:t>
            </w:r>
            <w:r w:rsidR="009E54D2">
              <w:rPr>
                <w:color w:val="000000" w:themeColor="text1"/>
                <w:sz w:val="10"/>
                <w:szCs w:val="10"/>
              </w:rPr>
              <w:fldChar w:fldCharType="end"/>
            </w:r>
            <w:r w:rsidRPr="00FD54EA">
              <w:rPr>
                <w:color w:val="000000" w:themeColor="text1"/>
                <w:sz w:val="10"/>
                <w:szCs w:val="10"/>
              </w:rPr>
              <w:t xml:space="preserve"> from SSP2 to SSP1.</w:t>
            </w:r>
          </w:p>
        </w:tc>
      </w:tr>
      <w:tr w:rsidR="00FD54EA" w:rsidRPr="00FD54EA" w14:paraId="6A708B5F" w14:textId="77777777" w:rsidTr="00F67720">
        <w:tc>
          <w:tcPr>
            <w:tcW w:w="1055" w:type="dxa"/>
            <w:tcMar>
              <w:top w:w="40" w:type="dxa"/>
              <w:left w:w="40" w:type="dxa"/>
              <w:bottom w:w="40" w:type="dxa"/>
              <w:right w:w="40" w:type="dxa"/>
            </w:tcMar>
            <w:vAlign w:val="bottom"/>
          </w:tcPr>
          <w:p w14:paraId="1520C53B" w14:textId="77777777" w:rsidR="00BE09F0" w:rsidRPr="00FD54EA" w:rsidRDefault="00FD54EA">
            <w:pPr>
              <w:widowControl w:val="0"/>
              <w:rPr>
                <w:color w:val="000000" w:themeColor="text1"/>
                <w:sz w:val="10"/>
                <w:szCs w:val="10"/>
              </w:rPr>
            </w:pPr>
            <w:r w:rsidRPr="00FD54EA">
              <w:rPr>
                <w:color w:val="000000" w:themeColor="text1"/>
                <w:sz w:val="10"/>
                <w:szCs w:val="10"/>
              </w:rPr>
              <w:t>HumanDevelop</w:t>
            </w:r>
          </w:p>
        </w:tc>
        <w:tc>
          <w:tcPr>
            <w:tcW w:w="9730" w:type="dxa"/>
            <w:shd w:val="clear" w:color="auto" w:fill="auto"/>
            <w:tcMar>
              <w:top w:w="40" w:type="dxa"/>
              <w:left w:w="40" w:type="dxa"/>
              <w:bottom w:w="40" w:type="dxa"/>
              <w:right w:w="40" w:type="dxa"/>
            </w:tcMar>
            <w:vAlign w:val="bottom"/>
          </w:tcPr>
          <w:p w14:paraId="253B2E6B" w14:textId="003376F7" w:rsidR="00BE09F0" w:rsidRPr="00FD54EA" w:rsidRDefault="00FD54EA">
            <w:pPr>
              <w:widowControl w:val="0"/>
              <w:rPr>
                <w:color w:val="000000" w:themeColor="text1"/>
                <w:sz w:val="10"/>
                <w:szCs w:val="10"/>
              </w:rPr>
            </w:pPr>
            <w:r w:rsidRPr="00FD54EA">
              <w:rPr>
                <w:color w:val="000000" w:themeColor="text1"/>
                <w:sz w:val="10"/>
                <w:szCs w:val="10"/>
              </w:rPr>
              <w:t>Human development is fairer, with higher social justice and better institutions and education. Switch from SSP2 to SSP1 projections (A) for per-capita gross domestic product and Gini-coefficient, which implies fast economic growth in particular in low-income regions, and a more equal income distribution between countries and within countries; (B) for non-food related health risks; (C) for the parametrization of the diet model, choosing a different functional form for the regressions which leads e.g. to a slight decline of animal product demand when income levels become very high (similar to Bodirsky et al</w:t>
            </w:r>
            <w:r w:rsidR="00A01D99">
              <w:rPr>
                <w:color w:val="000000" w:themeColor="text1"/>
                <w:sz w:val="10"/>
                <w:szCs w:val="10"/>
              </w:rPr>
              <w:fldChar w:fldCharType="begin"/>
            </w:r>
            <w:r w:rsidR="00A01D99">
              <w:rPr>
                <w:color w:val="000000" w:themeColor="text1"/>
                <w:sz w:val="10"/>
                <w:szCs w:val="10"/>
              </w:rPr>
              <w:instrText xml:space="preserve"> ADDIN ZOTERO_ITEM CSL_CITATION {"citationID":"rQlJyrVn","properties":{"formattedCitation":"\\super 73\\nosupersub{}","plainCitation":"73","noteIndex":0},"citationItems":[{"id":1811,"uris":["http://zotero.org/users/694717/items/XMGMFEV3"],"itemData":{"id":1811,"type":"article-journal","container-title":"PLoS ONE","DOI":"10.1371/journal.pone.0139201","title":"Global food demand scenarios for the 21st century","author":[{"family":"Bodirsky","given":"Benjamin Leon"},{"family":"Rolinski","given":"Susanne"},{"family":"Biewald","given":"Anne"},{"family":"Weindl","given":"Isabelle"},{"family":"Popp","given":"Alexander"},{"family":"Lotze-Campen","given":"H."}],"issued":{"date-parts":[["2015"]]}}}],"schema":"https://github.com/citation-style-language/schema/raw/master/csl-citation.json"} </w:instrText>
            </w:r>
            <w:r w:rsidR="00A01D99">
              <w:rPr>
                <w:color w:val="000000" w:themeColor="text1"/>
                <w:sz w:val="10"/>
                <w:szCs w:val="10"/>
              </w:rPr>
              <w:fldChar w:fldCharType="separate"/>
            </w:r>
            <w:r w:rsidR="00A01D99" w:rsidRPr="00A01D99">
              <w:rPr>
                <w:sz w:val="10"/>
                <w:szCs w:val="24"/>
                <w:vertAlign w:val="superscript"/>
              </w:rPr>
              <w:t>73</w:t>
            </w:r>
            <w:r w:rsidR="00A01D99">
              <w:rPr>
                <w:color w:val="000000" w:themeColor="text1"/>
                <w:sz w:val="10"/>
                <w:szCs w:val="10"/>
              </w:rPr>
              <w:fldChar w:fldCharType="end"/>
            </w:r>
            <w:r w:rsidRPr="00FD54EA">
              <w:rPr>
                <w:color w:val="000000" w:themeColor="text1"/>
                <w:sz w:val="10"/>
                <w:szCs w:val="10"/>
              </w:rPr>
              <w:t>) (D) for risk premiums on interest rates for long-term investments (e.g. irrigation, yield-increasing technological change) due to poor institutions</w:t>
            </w:r>
            <w:r w:rsidR="00A01D99">
              <w:rPr>
                <w:color w:val="000000" w:themeColor="text1"/>
                <w:sz w:val="10"/>
                <w:szCs w:val="10"/>
              </w:rPr>
              <w:fldChar w:fldCharType="begin"/>
            </w:r>
            <w:r w:rsidR="00A01D99">
              <w:rPr>
                <w:color w:val="000000" w:themeColor="text1"/>
                <w:sz w:val="10"/>
                <w:szCs w:val="10"/>
              </w:rPr>
              <w:instrText xml:space="preserve"> ADDIN ZOTERO_ITEM CSL_CITATION {"citationID":"jGoK47rn","properties":{"formattedCitation":"\\super 74\\nosupersub{}","plainCitation":"74","noteIndex":0},"citationItems":[{"id":3163,"uris":["http://zotero.org/users/694717/items/7SF8USI3"],"itemData":{"id":3163,"type":"article-journal","abstract":"Deforestation, mainly caused by unsustainable agricultural expansion, results in a loss of biodiversity and an increase in greenhouse gas emissions, as well as impinges on local livelihoods. Countries' governance performance, particularly with respect to property rights security, exerts significant impacts on land-use patterns by affecting agricultural yield-related technological investment and cropland expansion. This study aims to incorporate governance factors into a recursive agro-economic dynamic model to simulate governance impacts on land-use patterns at the global scale. Due to the difficulties of including governance indicators directly into numerical models, we use lending interest rates as discount rates to reflect risk-accounting factors associated with different governance scenarios. In addition to a reference scenario, three scenarios with high, low and mixed divergent discount rates are formed to represent weak, strong and fragmented governance. We find that weak governance leads to slower yield growth, increased cropland expansion and associated deforestation, mainly in Latin America, Sub-Saharan Africa, South Asia and Southeast Asia. This is associated with increasing food prices, particularly in Sub-Saharan Africa and Southeast Asia. By contrast, strong governance performance provides a stable political and economic situation which may bring down deforestation rates, stimulate investment in agricultural technologies, and induce fairly strong decreases in food prices.","container-title":"Ecological Economics","DOI":"10.1016/j.ecolecon.2015.11.018","ISSN":"0921-8009","journalAbbreviation":"Ecological Economics","page":"12-24","source":"ScienceDirect","title":"Taking account of governance: Implications for land-use dynamics, food prices, and trade patterns","title-short":"Taking account of governance","volume":"122","author":[{"family":"Wang","given":"Xiaoxi"},{"family":"Biewald","given":"Anne"},{"family":"Dietrich","given":"Jan Philipp"},{"family":"Schmitz","given":"Christoph"},{"family":"Lotze-Campen","given":"Hermann"},{"family":"Humpenöder","given":"Florian"},{"family":"Bodirsky","given":"Benjamin Leon"},{"family":"Popp","given":"Alexander"}],"issued":{"date-parts":[["2016",2]]}}}],"schema":"https://github.com/citation-style-language/schema/raw/master/csl-citation.json"} </w:instrText>
            </w:r>
            <w:r w:rsidR="00A01D99">
              <w:rPr>
                <w:color w:val="000000" w:themeColor="text1"/>
                <w:sz w:val="10"/>
                <w:szCs w:val="10"/>
              </w:rPr>
              <w:fldChar w:fldCharType="separate"/>
            </w:r>
            <w:r w:rsidR="00A01D99" w:rsidRPr="00A01D99">
              <w:rPr>
                <w:sz w:val="10"/>
                <w:szCs w:val="24"/>
                <w:vertAlign w:val="superscript"/>
              </w:rPr>
              <w:t>74</w:t>
            </w:r>
            <w:r w:rsidR="00A01D99">
              <w:rPr>
                <w:color w:val="000000" w:themeColor="text1"/>
                <w:sz w:val="10"/>
                <w:szCs w:val="10"/>
              </w:rPr>
              <w:fldChar w:fldCharType="end"/>
            </w:r>
            <w:r w:rsidRPr="00FD54EA">
              <w:rPr>
                <w:color w:val="000000" w:themeColor="text1"/>
                <w:sz w:val="10"/>
                <w:szCs w:val="10"/>
              </w:rPr>
              <w:t xml:space="preserve"> in low-income regions by 4 percentage points and to a lesser extent in middle-income regions. (E) for the technological progress of the base soil nitrogen uptake efficiency, increasing it by 5 percentage points in all countries with an upper limit of 75% for each country.</w:t>
            </w:r>
          </w:p>
        </w:tc>
      </w:tr>
      <w:tr w:rsidR="00FD54EA" w:rsidRPr="00FD54EA" w14:paraId="7CA0A322" w14:textId="77777777" w:rsidTr="00F67720">
        <w:tc>
          <w:tcPr>
            <w:tcW w:w="1055" w:type="dxa"/>
            <w:tcMar>
              <w:top w:w="40" w:type="dxa"/>
              <w:left w:w="40" w:type="dxa"/>
              <w:bottom w:w="40" w:type="dxa"/>
              <w:right w:w="40" w:type="dxa"/>
            </w:tcMar>
            <w:vAlign w:val="bottom"/>
          </w:tcPr>
          <w:p w14:paraId="7A9FA6CE" w14:textId="77777777" w:rsidR="00BE09F0" w:rsidRPr="00FD54EA" w:rsidRDefault="00FD54EA">
            <w:pPr>
              <w:widowControl w:val="0"/>
              <w:rPr>
                <w:color w:val="000000" w:themeColor="text1"/>
                <w:sz w:val="10"/>
                <w:szCs w:val="10"/>
              </w:rPr>
            </w:pPr>
            <w:r w:rsidRPr="00FD54EA">
              <w:rPr>
                <w:color w:val="000000" w:themeColor="text1"/>
                <w:sz w:val="10"/>
                <w:szCs w:val="10"/>
              </w:rPr>
              <w:t>EnergyTrans</w:t>
            </w:r>
          </w:p>
        </w:tc>
        <w:tc>
          <w:tcPr>
            <w:tcW w:w="9730" w:type="dxa"/>
            <w:shd w:val="clear" w:color="auto" w:fill="auto"/>
            <w:tcMar>
              <w:top w:w="40" w:type="dxa"/>
              <w:left w:w="40" w:type="dxa"/>
              <w:bottom w:w="40" w:type="dxa"/>
              <w:right w:w="40" w:type="dxa"/>
            </w:tcMar>
            <w:vAlign w:val="bottom"/>
          </w:tcPr>
          <w:p w14:paraId="59CF313C" w14:textId="27A9B964" w:rsidR="00BE09F0" w:rsidRPr="00FD54EA" w:rsidRDefault="00FD54EA">
            <w:pPr>
              <w:widowControl w:val="0"/>
              <w:rPr>
                <w:color w:val="000000" w:themeColor="text1"/>
                <w:sz w:val="10"/>
                <w:szCs w:val="10"/>
              </w:rPr>
            </w:pPr>
            <w:r w:rsidRPr="00FD54EA">
              <w:rPr>
                <w:color w:val="000000" w:themeColor="text1"/>
                <w:sz w:val="10"/>
                <w:szCs w:val="10"/>
              </w:rPr>
              <w:t>Sustainable development in energy, transport, urbanization. Bioenergy switched to SDP900Gt scenario</w:t>
            </w:r>
            <w:r w:rsidR="009E54D2">
              <w:rPr>
                <w:color w:val="000000" w:themeColor="text1"/>
                <w:sz w:val="10"/>
                <w:szCs w:val="10"/>
              </w:rPr>
              <w:fldChar w:fldCharType="begin"/>
            </w:r>
            <w:r w:rsidR="009E54D2">
              <w:rPr>
                <w:color w:val="000000" w:themeColor="text1"/>
                <w:sz w:val="10"/>
                <w:szCs w:val="10"/>
              </w:rPr>
              <w:instrText xml:space="preserve"> ADDIN ZOTERO_ITEM CSL_CITATION {"citationID":"39P80YBq","properties":{"formattedCitation":"\\super 25\\nosupersub{}","plainCitation":"25","noteIndex":0},"citationItems":[{"id":7587,"uris":["http://zotero.org/users/694717/items/F9LEZKZA"],"itemData":{"id":7587,"type":"article-journal","abstract":"Ambitious climate policies, as well as economic development, education, technological progress and less resource-intensive lifestyles, are crucial elements for progress towards the UN Sustainable Development Goals (SDGs). However, using an integrated modelling framework covering 56 indicators or proxies across all 17 SDGs, we show that they are insufficient to reach the targets. An additional sustainable development package, including international climate finance, progressive redistribution of carbon pricing revenues, sufficient and healthy nutrition and improved access to modern energy, enables a more comprehensive sustainable development pathway. We quantify climate and SDG outcomes, showing that these interventions substantially boost progress towards many aspects of the UN Agenda 2030 and simultaneously facilitate reaching ambitious climate targets. Nonetheless, several important gaps remain; for example, with respect to the eradication of extreme poverty (180 million people remaining in 2030). These gaps can be closed by 2050 for many SDGs while also respecting the 1.5 °C target and several other planetary boundaries.","container-title":"Nature Climate Change","DOI":"10.1038/s41558-021-01098-3","ISSN":"1758-6798","issue":"8","journalAbbreviation":"Nat. Clim. Chang.","language":"en","license":"2021 The Author(s), under exclusive licence to Springer Nature Limited","note":"Bandiera_abtest: a\nCg_type: Nature Research Journals\nnumber: 8\nPrimary_atype: Research\npublisher: Nature Publishing Group\nSubject_term: Climate-change mitigation;Climate-change policy;Socioeconomic scenarios;Sustainability\nSubject_term_id: climate-change-mitigation;climate-change-policy;socioeconomic-scenarios;sustainability","page":"656-664","source":"www.nature.com","title":"A sustainable development pathway for climate action within the UN 2030 Agenda","volume":"11","author":[{"family":"Soergel","given":"Bjoern"},{"family":"Kriegler","given":"Elmar"},{"family":"Weindl","given":"Isabelle"},{"family":"Rauner","given":"Sebastian"},{"family":"Dirnaichner","given":"Alois"},{"family":"Ruhe","given":"Constantin"},{"family":"Hofmann","given":"Matthias"},{"family":"Bauer","given":"Nico"},{"family":"Bertram","given":"Christoph"},{"family":"Bodirsky","given":"Benjamin Leon"},{"family":"Leimbach","given":"Marian"},{"family":"Leininger","given":"Julia"},{"family":"Levesque","given":"Antoine"},{"family":"Luderer","given":"Gunnar"},{"family":"Pehl","given":"Michaja"},{"family":"Wingens","given":"Christopher"},{"family":"Baumstark","given":"Lavinia"},{"family":"Beier","given":"Felicitas"},{"family":"Dietrich","given":"Jan Philipp"},{"family":"Humpenöder","given":"Florian"},{"family":"Jeetze","given":"Patrick","non-dropping-particle":"von"},{"family":"Klein","given":"David"},{"family":"Koch","given":"Johannes"},{"family":"Pietzcker","given":"Robert"},{"family":"Strefler","given":"Jessica"},{"family":"Lotze-Campen","given":"Hermann"},{"family":"Popp","given":"Alexander"}],"issued":{"date-parts":[["2021",8]]}},"label":"page"}],"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25</w:t>
            </w:r>
            <w:r w:rsidR="009E54D2">
              <w:rPr>
                <w:color w:val="000000" w:themeColor="text1"/>
                <w:sz w:val="10"/>
                <w:szCs w:val="10"/>
              </w:rPr>
              <w:fldChar w:fldCharType="end"/>
            </w:r>
            <w:r w:rsidRPr="00FD54EA">
              <w:rPr>
                <w:color w:val="000000" w:themeColor="text1"/>
                <w:sz w:val="10"/>
                <w:szCs w:val="10"/>
              </w:rPr>
              <w:t>, non-ag water demand changes from SSP2 to SSP1</w:t>
            </w:r>
            <w:r w:rsidR="00A01D99">
              <w:rPr>
                <w:color w:val="000000" w:themeColor="text1"/>
                <w:sz w:val="10"/>
                <w:szCs w:val="10"/>
              </w:rPr>
              <w:fldChar w:fldCharType="begin"/>
            </w:r>
            <w:r w:rsidR="00A01D99">
              <w:rPr>
                <w:color w:val="000000" w:themeColor="text1"/>
                <w:sz w:val="10"/>
                <w:szCs w:val="10"/>
              </w:rPr>
              <w:instrText xml:space="preserve"> ADDIN ZOTERO_ITEM CSL_CITATION {"citationID":"kHms5eDs","properties":{"formattedCitation":"\\super 75\\nosupersub{}","plainCitation":"75","noteIndex":0},"citationItems":[{"id":9471,"uris":["http://zotero.org/users/694717/items/D3CZEDMQ"],"itemData":{"id":9471,"type":"article-journal","abstract":"To sustain growing food demand and increasing standard of living, global water use increased by nearly 6 times during the last 100 years, and continues to grow. As water demands get closer and closer to the water availability in many regions, each drop of water becomes increasingly valuable and water must be managed more efficiently and intensively. However, soaring water use worsens water scarcity conditions already prevalent in semi-arid and arid regions, increasing uncertainty for sustainable food production and economic development. Planning for future development and investments requires that we prepare water projections for the future. However, estimations are complicated because the future of the world's waters will be influenced by a combination of environmental, social, economic, and political factors, and there is only limited knowledge and data available about freshwater resources and how they are being used. The Water Futures and Solutions (WFaS) initiative coordinates its work with other ongoing scenario efforts for the sake of establishing a consistent set of new global water scenarios based on the shared socio-economic pathways (SSPs) and the representative concentration pathways (RCPs). The WFaS \"fast-track\" assessment uses three global water models, namely H08, PCR-GLOBWB, and WaterGAP. This study assesses the state of the art for estimating and projecting water use regionally and globally in a consistent manner. It provides an overview of different approaches, the uncertainty, strengths and weaknesses of the various estimation methods, types of management and policy decisions for which the current estimation methods are useful. We also discuss additional information most needed to be able to improve water use estimates and be able to assess a greater range of management options across the water–energy–climate nexus.","container-title":"Geoscientific Model Development","DOI":"10.5194/gmd-9-175-2016","ISSN":"1991-959X","issue":"1","language":"English","note":"publisher: Copernicus GmbH","page":"175-222","source":"Copernicus Online Journals","title":"Modeling global water use for the 21st century: the Water Futures and Solutions (WFaS) initiative and its approaches","title-short":"Modeling global water use for the 21st century","volume":"9","author":[{"family":"Wada","given":"Y."},{"family":"Flörke","given":"M."},{"family":"Hanasaki","given":"N."},{"family":"Eisner","given":"S."},{"family":"Fischer","given":"G."},{"family":"Tramberend","given":"S."},{"family":"Satoh","given":"Y."},{"family":"Vliet","given":"M. T. H.","non-dropping-particle":"van"},{"family":"Yillia","given":"P."},{"family":"Ringler","given":"C."},{"family":"Burek","given":"P."},{"family":"Wiberg","given":"D."}],"issued":{"date-parts":[["2016",1,21]]}}}],"schema":"https://github.com/citation-style-language/schema/raw/master/csl-citation.json"} </w:instrText>
            </w:r>
            <w:r w:rsidR="00A01D99">
              <w:rPr>
                <w:color w:val="000000" w:themeColor="text1"/>
                <w:sz w:val="10"/>
                <w:szCs w:val="10"/>
              </w:rPr>
              <w:fldChar w:fldCharType="separate"/>
            </w:r>
            <w:r w:rsidR="00A01D99" w:rsidRPr="00A01D99">
              <w:rPr>
                <w:sz w:val="10"/>
                <w:szCs w:val="24"/>
                <w:vertAlign w:val="superscript"/>
              </w:rPr>
              <w:t>75</w:t>
            </w:r>
            <w:r w:rsidR="00A01D99">
              <w:rPr>
                <w:color w:val="000000" w:themeColor="text1"/>
                <w:sz w:val="10"/>
                <w:szCs w:val="10"/>
              </w:rPr>
              <w:fldChar w:fldCharType="end"/>
            </w:r>
            <w:r w:rsidRPr="00FD54EA">
              <w:rPr>
                <w:color w:val="000000" w:themeColor="text1"/>
                <w:sz w:val="10"/>
                <w:szCs w:val="10"/>
              </w:rPr>
              <w:t>, active transportation changes physical activity levels from sedentary to moderate activity</w:t>
            </w:r>
            <w:r w:rsidR="009E54D2">
              <w:rPr>
                <w:color w:val="000000" w:themeColor="text1"/>
                <w:sz w:val="10"/>
                <w:szCs w:val="10"/>
              </w:rPr>
              <w:fldChar w:fldCharType="begin"/>
            </w:r>
            <w:r w:rsidR="009E54D2">
              <w:rPr>
                <w:color w:val="000000" w:themeColor="text1"/>
                <w:sz w:val="10"/>
                <w:szCs w:val="10"/>
              </w:rPr>
              <w:instrText xml:space="preserve"> ADDIN ZOTERO_ITEM CSL_CITATION {"citationID":"ROYCMglG","properties":{"formattedCitation":"\\super 2\\nosupersub{}","plainCitation":"2","noteIndex":0},"citationItems":[{"id":6815,"uris":["http://zotero.org/users/694717/items/R8CAPUQF"],"itemData":{"id":6815,"type":"article-journal","abstract":"The nutrition transition transforms food systems globally and shapes public health and environmental change. Here we provide a global forward-looking assessment of a continued nutrition transition and its interlinked symptoms in respect to food consumption. These symptoms range from underweight and unbalanced diets to obesity, food waste and environmental pressure. We find that by 2050, 45% (39–52%) of the world population will be overweight and 16% (13–20%) obese, compared to 29% and 9% in 2010 respectively. The prevalence of underweight approximately halves but absolute numbers stagnate at 0.4–0.7 billion. Aligned, dietary composition shifts towards animal-source foods and empty calories, while the consumption of vegetables, fruits and nuts increases insufficiently. Population growth, ageing, increasing body mass and more wasteful consumption patterns are jointly pushing global food demand from 30 to 45 (43–47) Exajoules. Our comprehensive open dataset and model provides the interfaces necessary for integrated studies of global health, food systems, and environmental change. Achieving zero hunger, healthy diets, and a food demand compatible with environmental boundaries necessitates a coordinated redirection of the nutrition transition. Reducing household waste, animal-source foods, and overweight could synergistically address multiple symptoms at once, while eliminating underweight would not substantially increase food demand.","container-title":"Scientific Reports","DOI":"10.1038/s41598-020-75213-3","ISSN":"2045-2322","issue":"1","language":"en","license":"2020 The Author(s)","note":"number: 1\npublisher: Nature Publishing Group","page":"19778","source":"www.nature.com","title":"The ongoing nutrition transition thwarts long-term targets for food security, public health and environmental protection","volume":"10","author":[{"family":"Bodirsky","given":"Benjamin Leon"},{"family":"Dietrich","given":"Jan Philipp"},{"family":"Martinelli","given":"Eleonora"},{"family":"Stenstad","given":"Antonia"},{"family":"Pradhan","given":"Prajal"},{"family":"Gabrysch","given":"Sabine"},{"family":"Mishra","given":"Abhijeet"},{"family":"Weindl","given":"Isabelle"},{"family":"Le Mouël","given":"Chantal"},{"family":"Rolinski","given":"Susanne"},{"family":"Baumstark","given":"Lavinia"},{"family":"Wang","given":"Xiaoxi"},{"family":"Waid","given":"Jillian L."},{"family":"Lotze-Campen","given":"Hermann"},{"family":"Popp","given":"Alexander"}],"issued":{"date-parts":[["2020",11,18]]}}}],"schema":"https://github.com/citation-style-language/schema/raw/master/csl-citation.json"} </w:instrText>
            </w:r>
            <w:r w:rsidR="009E54D2">
              <w:rPr>
                <w:color w:val="000000" w:themeColor="text1"/>
                <w:sz w:val="10"/>
                <w:szCs w:val="10"/>
              </w:rPr>
              <w:fldChar w:fldCharType="separate"/>
            </w:r>
            <w:r w:rsidR="009E54D2" w:rsidRPr="009E54D2">
              <w:rPr>
                <w:sz w:val="10"/>
                <w:szCs w:val="24"/>
                <w:vertAlign w:val="superscript"/>
              </w:rPr>
              <w:t>2</w:t>
            </w:r>
            <w:r w:rsidR="009E54D2">
              <w:rPr>
                <w:color w:val="000000" w:themeColor="text1"/>
                <w:sz w:val="10"/>
                <w:szCs w:val="10"/>
              </w:rPr>
              <w:fldChar w:fldCharType="end"/>
            </w:r>
            <w:r w:rsidRPr="00FD54EA">
              <w:rPr>
                <w:color w:val="000000" w:themeColor="text1"/>
                <w:sz w:val="10"/>
                <w:szCs w:val="10"/>
              </w:rPr>
              <w:t xml:space="preserve"> </w:t>
            </w:r>
          </w:p>
        </w:tc>
      </w:tr>
      <w:tr w:rsidR="00FD54EA" w:rsidRPr="00FD54EA" w14:paraId="5A584678" w14:textId="77777777" w:rsidTr="00F67720">
        <w:tc>
          <w:tcPr>
            <w:tcW w:w="1055" w:type="dxa"/>
            <w:tcMar>
              <w:top w:w="40" w:type="dxa"/>
              <w:left w:w="40" w:type="dxa"/>
              <w:bottom w:w="40" w:type="dxa"/>
              <w:right w:w="40" w:type="dxa"/>
            </w:tcMar>
            <w:vAlign w:val="bottom"/>
          </w:tcPr>
          <w:p w14:paraId="399F5579" w14:textId="77777777" w:rsidR="00BE09F0" w:rsidRPr="00FD54EA" w:rsidRDefault="00FD54EA">
            <w:pPr>
              <w:widowControl w:val="0"/>
              <w:rPr>
                <w:color w:val="000000" w:themeColor="text1"/>
                <w:sz w:val="10"/>
                <w:szCs w:val="10"/>
              </w:rPr>
            </w:pPr>
            <w:r w:rsidRPr="00FD54EA">
              <w:rPr>
                <w:color w:val="000000" w:themeColor="text1"/>
                <w:sz w:val="10"/>
                <w:szCs w:val="10"/>
              </w:rPr>
              <w:t>Bioplastics</w:t>
            </w:r>
          </w:p>
        </w:tc>
        <w:tc>
          <w:tcPr>
            <w:tcW w:w="9730" w:type="dxa"/>
            <w:shd w:val="clear" w:color="auto" w:fill="auto"/>
            <w:tcMar>
              <w:top w:w="40" w:type="dxa"/>
              <w:left w:w="40" w:type="dxa"/>
              <w:bottom w:w="40" w:type="dxa"/>
              <w:right w:w="40" w:type="dxa"/>
            </w:tcMar>
            <w:vAlign w:val="bottom"/>
          </w:tcPr>
          <w:p w14:paraId="309EE231" w14:textId="77777777" w:rsidR="00BE09F0" w:rsidRPr="00FD54EA" w:rsidRDefault="00FD54EA">
            <w:pPr>
              <w:widowControl w:val="0"/>
              <w:rPr>
                <w:color w:val="000000" w:themeColor="text1"/>
                <w:sz w:val="10"/>
                <w:szCs w:val="10"/>
              </w:rPr>
            </w:pPr>
            <w:r w:rsidRPr="00FD54EA">
              <w:rPr>
                <w:color w:val="000000" w:themeColor="text1"/>
                <w:sz w:val="10"/>
                <w:szCs w:val="10"/>
              </w:rPr>
              <w:t>Of the projected total plastic demand (675 Mt by 2050 (OECD, 2022)), 30% is replaced by bioplastics. Bioplastics require bio-materials as substrates.</w:t>
            </w:r>
          </w:p>
        </w:tc>
      </w:tr>
      <w:tr w:rsidR="00FD54EA" w:rsidRPr="00FD54EA" w14:paraId="399937D0" w14:textId="77777777" w:rsidTr="00F67720">
        <w:tc>
          <w:tcPr>
            <w:tcW w:w="1055" w:type="dxa"/>
            <w:tcMar>
              <w:top w:w="40" w:type="dxa"/>
              <w:left w:w="40" w:type="dxa"/>
              <w:bottom w:w="40" w:type="dxa"/>
              <w:right w:w="40" w:type="dxa"/>
            </w:tcMar>
            <w:vAlign w:val="bottom"/>
          </w:tcPr>
          <w:p w14:paraId="07944D2D" w14:textId="77777777" w:rsidR="00BE09F0" w:rsidRPr="00FD54EA" w:rsidRDefault="00FD54EA">
            <w:pPr>
              <w:widowControl w:val="0"/>
              <w:rPr>
                <w:color w:val="000000" w:themeColor="text1"/>
                <w:sz w:val="10"/>
                <w:szCs w:val="10"/>
              </w:rPr>
            </w:pPr>
            <w:r w:rsidRPr="00FD54EA">
              <w:rPr>
                <w:color w:val="000000" w:themeColor="text1"/>
                <w:sz w:val="10"/>
                <w:szCs w:val="10"/>
              </w:rPr>
              <w:t>TimberCities</w:t>
            </w:r>
          </w:p>
        </w:tc>
        <w:tc>
          <w:tcPr>
            <w:tcW w:w="9730" w:type="dxa"/>
            <w:shd w:val="clear" w:color="auto" w:fill="auto"/>
            <w:tcMar>
              <w:top w:w="40" w:type="dxa"/>
              <w:left w:w="40" w:type="dxa"/>
              <w:bottom w:w="40" w:type="dxa"/>
              <w:right w:w="40" w:type="dxa"/>
            </w:tcMar>
            <w:vAlign w:val="bottom"/>
          </w:tcPr>
          <w:p w14:paraId="5F617A2F" w14:textId="5F0EC5CC" w:rsidR="00BE09F0" w:rsidRPr="00FD54EA" w:rsidRDefault="00FD54EA">
            <w:pPr>
              <w:widowControl w:val="0"/>
              <w:rPr>
                <w:color w:val="000000" w:themeColor="text1"/>
                <w:sz w:val="10"/>
                <w:szCs w:val="10"/>
              </w:rPr>
            </w:pPr>
            <w:r w:rsidRPr="00FD54EA">
              <w:rPr>
                <w:color w:val="000000" w:themeColor="text1"/>
                <w:sz w:val="10"/>
                <w:szCs w:val="10"/>
              </w:rPr>
              <w:t>Wood is used as construction material for cities. We assume that 50% of new urban dwellers (after 2020) are housed in buildings made of engineered wood to replace carbon-intensive steel and concrete housing construction</w:t>
            </w:r>
            <w:r w:rsidR="00A01D99">
              <w:rPr>
                <w:color w:val="000000" w:themeColor="text1"/>
                <w:sz w:val="10"/>
                <w:szCs w:val="10"/>
              </w:rPr>
              <w:fldChar w:fldCharType="begin"/>
            </w:r>
            <w:r w:rsidR="00A01D99">
              <w:rPr>
                <w:color w:val="000000" w:themeColor="text1"/>
                <w:sz w:val="10"/>
                <w:szCs w:val="10"/>
              </w:rPr>
              <w:instrText xml:space="preserve"> ADDIN ZOTERO_ITEM CSL_CITATION {"citationID":"kFC5KOrM","properties":{"formattedCitation":"\\super 76\\nosupersub{}","plainCitation":"76","noteIndex":0},"citationItems":[{"id":8882,"uris":["http://zotero.org/users/694717/items/KZESBMEL"],"itemData":{"id":8882,"type":"article-journal","abstract":"Using engineered wood for construction has been discussed for climate change mitigation. It remains unclear where and in which way the additional demand for wooden construction material shall be fulfilled. Here we assess the global and regional impacts of increased demand for engineered wood on land use and associated CO2 emissions until 2100 using an open-source land system model. We show that if 90% of the new urban population would be housed in newly built urban mid-rise buildings with wooden constructions, 106 Gt of additional CO2 could be saved by 2100. Forest plantations would need to expand by up to 149 Mha by 2100 and harvests from unprotected natural forests would increase. Our results indicate that expansion of timber plantations for wooden buildings is possible without major repercussions on agricultural production. Strong governance and careful planning are required to ensure a sustainable transition to timber cities even if frontier forests and biodiversity hotspots are protected.","container-title":"Nature Communications","DOI":"10.1038/s41467-022-32244-w","ISSN":"2041-1723","issue":"1","journalAbbreviation":"Nat Commun","language":"en","license":"2022 The Author(s)","note":"number: 1\npublisher: Nature Publishing Group","page":"4889","source":"www.nature.com","title":"Land use change and carbon emissions of a transformation to timber cities","volume":"13","author":[{"family":"Mishra","given":"Abhijeet"},{"family":"Humpenöder","given":"Florian"},{"family":"Churkina","given":"Galina"},{"family":"Reyer","given":"Christopher P. O."},{"family":"Beier","given":"Felicitas"},{"family":"Bodirsky","given":"Benjamin Leon"},{"family":"Schellnhuber","given":"Hans Joachim"},{"family":"Lotze-Campen","given":"Hermann"},{"family":"Popp","given":"Alexander"}],"issued":{"date-parts":[["2022",8,30]]}}}],"schema":"https://github.com/citation-style-language/schema/raw/master/csl-citation.json"} </w:instrText>
            </w:r>
            <w:r w:rsidR="00A01D99">
              <w:rPr>
                <w:color w:val="000000" w:themeColor="text1"/>
                <w:sz w:val="10"/>
                <w:szCs w:val="10"/>
              </w:rPr>
              <w:fldChar w:fldCharType="separate"/>
            </w:r>
            <w:r w:rsidR="00A01D99" w:rsidRPr="00A01D99">
              <w:rPr>
                <w:sz w:val="10"/>
                <w:szCs w:val="24"/>
                <w:vertAlign w:val="superscript"/>
              </w:rPr>
              <w:t>76</w:t>
            </w:r>
            <w:r w:rsidR="00A01D99">
              <w:rPr>
                <w:color w:val="000000" w:themeColor="text1"/>
                <w:sz w:val="10"/>
                <w:szCs w:val="10"/>
              </w:rPr>
              <w:fldChar w:fldCharType="end"/>
            </w:r>
            <w:r w:rsidRPr="00FD54EA">
              <w:rPr>
                <w:color w:val="000000" w:themeColor="text1"/>
                <w:sz w:val="10"/>
                <w:szCs w:val="10"/>
              </w:rPr>
              <w:t>. This increases future timber demand by 2212 million m3 (compared to 2020) and thereby increases the need for increased harvesting from forests.</w:t>
            </w:r>
          </w:p>
        </w:tc>
      </w:tr>
    </w:tbl>
    <w:p w14:paraId="45FEFF21" w14:textId="77777777" w:rsidR="00BE09F0" w:rsidRPr="00FD54EA" w:rsidRDefault="00FD54EA">
      <w:pPr>
        <w:pStyle w:val="Heading6"/>
        <w:rPr>
          <w:color w:val="000000" w:themeColor="text1"/>
        </w:rPr>
      </w:pPr>
      <w:bookmarkStart w:id="10" w:name="_hdg6bzw0hfgw" w:colFirst="0" w:colLast="0"/>
      <w:bookmarkEnd w:id="10"/>
      <w:r w:rsidRPr="00FD54EA">
        <w:rPr>
          <w:color w:val="000000" w:themeColor="text1"/>
        </w:rPr>
        <w:lastRenderedPageBreak/>
        <w:t>Extended Data Table 1: Description of all Food System Measures (FSMs) assessed in this study.</w:t>
      </w:r>
    </w:p>
    <w:p w14:paraId="628E6349" w14:textId="77777777" w:rsidR="00BE09F0" w:rsidRPr="00FD54EA" w:rsidRDefault="00BE09F0">
      <w:pPr>
        <w:rPr>
          <w:color w:val="000000" w:themeColor="text1"/>
        </w:rPr>
      </w:pPr>
    </w:p>
    <w:p w14:paraId="0B83E09B" w14:textId="77777777" w:rsidR="00BE09F0" w:rsidRPr="00FD54EA" w:rsidRDefault="00FD54EA">
      <w:pPr>
        <w:rPr>
          <w:color w:val="000000" w:themeColor="text1"/>
        </w:rPr>
      </w:pPr>
      <w:r w:rsidRPr="00FD54EA">
        <w:rPr>
          <w:color w:val="000000" w:themeColor="text1"/>
        </w:rPr>
        <w:br w:type="page"/>
      </w:r>
    </w:p>
    <w:p w14:paraId="5D4C622A" w14:textId="77777777" w:rsidR="00BE09F0" w:rsidRPr="00FD54EA" w:rsidRDefault="00BE09F0">
      <w:pPr>
        <w:spacing w:before="240"/>
        <w:rPr>
          <w:color w:val="000000" w:themeColor="text1"/>
        </w:rPr>
      </w:pPr>
    </w:p>
    <w:tbl>
      <w:tblPr>
        <w:tblStyle w:val="a0"/>
        <w:tblW w:w="10206" w:type="dxa"/>
        <w:tblBorders>
          <w:top w:val="single" w:sz="6" w:space="0" w:color="000000"/>
          <w:bottom w:val="single" w:sz="6" w:space="0" w:color="000000"/>
          <w:insideH w:val="single" w:sz="6" w:space="0" w:color="000000"/>
        </w:tblBorders>
        <w:tblLayout w:type="fixed"/>
        <w:tblLook w:val="0600" w:firstRow="0" w:lastRow="0" w:firstColumn="0" w:lastColumn="0" w:noHBand="1" w:noVBand="1"/>
      </w:tblPr>
      <w:tblGrid>
        <w:gridCol w:w="1641"/>
        <w:gridCol w:w="1079"/>
        <w:gridCol w:w="5434"/>
        <w:gridCol w:w="2052"/>
      </w:tblGrid>
      <w:tr w:rsidR="00FD54EA" w:rsidRPr="00FD54EA" w14:paraId="1A64AAA4" w14:textId="77777777" w:rsidTr="00F67720">
        <w:tc>
          <w:tcPr>
            <w:tcW w:w="1575" w:type="dxa"/>
            <w:tcMar>
              <w:top w:w="40" w:type="dxa"/>
              <w:left w:w="40" w:type="dxa"/>
              <w:bottom w:w="40" w:type="dxa"/>
              <w:right w:w="40" w:type="dxa"/>
            </w:tcMar>
            <w:vAlign w:val="bottom"/>
          </w:tcPr>
          <w:p w14:paraId="565EC684" w14:textId="77777777" w:rsidR="00BE09F0" w:rsidRPr="00F67720" w:rsidRDefault="00FD54EA">
            <w:pPr>
              <w:widowControl w:val="0"/>
              <w:rPr>
                <w:b/>
                <w:color w:val="000000" w:themeColor="text1"/>
                <w:sz w:val="10"/>
                <w:szCs w:val="10"/>
              </w:rPr>
            </w:pPr>
            <w:r w:rsidRPr="00F67720">
              <w:rPr>
                <w:b/>
                <w:color w:val="000000" w:themeColor="text1"/>
                <w:sz w:val="10"/>
                <w:szCs w:val="10"/>
              </w:rPr>
              <w:t>Limitations</w:t>
            </w:r>
          </w:p>
        </w:tc>
        <w:tc>
          <w:tcPr>
            <w:tcW w:w="1035" w:type="dxa"/>
            <w:shd w:val="clear" w:color="auto" w:fill="auto"/>
            <w:tcMar>
              <w:top w:w="40" w:type="dxa"/>
              <w:left w:w="40" w:type="dxa"/>
              <w:bottom w:w="40" w:type="dxa"/>
              <w:right w:w="40" w:type="dxa"/>
            </w:tcMar>
            <w:vAlign w:val="bottom"/>
          </w:tcPr>
          <w:p w14:paraId="0CF286F4" w14:textId="77777777" w:rsidR="00BE09F0" w:rsidRPr="00F67720" w:rsidRDefault="00FD54EA">
            <w:pPr>
              <w:widowControl w:val="0"/>
              <w:rPr>
                <w:b/>
                <w:color w:val="000000" w:themeColor="text1"/>
                <w:sz w:val="10"/>
                <w:szCs w:val="10"/>
              </w:rPr>
            </w:pPr>
            <w:r w:rsidRPr="00F67720">
              <w:rPr>
                <w:b/>
                <w:color w:val="000000" w:themeColor="text1"/>
                <w:sz w:val="10"/>
                <w:szCs w:val="10"/>
              </w:rPr>
              <w:t>Unit</w:t>
            </w:r>
          </w:p>
        </w:tc>
        <w:tc>
          <w:tcPr>
            <w:tcW w:w="5215" w:type="dxa"/>
            <w:shd w:val="clear" w:color="auto" w:fill="auto"/>
            <w:tcMar>
              <w:top w:w="40" w:type="dxa"/>
              <w:left w:w="40" w:type="dxa"/>
              <w:bottom w:w="40" w:type="dxa"/>
              <w:right w:w="40" w:type="dxa"/>
            </w:tcMar>
            <w:vAlign w:val="bottom"/>
          </w:tcPr>
          <w:p w14:paraId="4F2FFFAE" w14:textId="77777777" w:rsidR="00BE09F0" w:rsidRPr="00F67720" w:rsidRDefault="00FD54EA">
            <w:pPr>
              <w:widowControl w:val="0"/>
              <w:rPr>
                <w:b/>
                <w:color w:val="000000" w:themeColor="text1"/>
                <w:sz w:val="10"/>
                <w:szCs w:val="10"/>
              </w:rPr>
            </w:pPr>
            <w:r w:rsidRPr="00F67720">
              <w:rPr>
                <w:b/>
                <w:color w:val="000000" w:themeColor="text1"/>
                <w:sz w:val="10"/>
                <w:szCs w:val="10"/>
              </w:rPr>
              <w:t>Definition and unit</w:t>
            </w:r>
          </w:p>
        </w:tc>
        <w:tc>
          <w:tcPr>
            <w:tcW w:w="1969" w:type="dxa"/>
            <w:shd w:val="clear" w:color="auto" w:fill="auto"/>
            <w:tcMar>
              <w:top w:w="40" w:type="dxa"/>
              <w:left w:w="0" w:type="dxa"/>
              <w:bottom w:w="40" w:type="dxa"/>
              <w:right w:w="0" w:type="dxa"/>
            </w:tcMar>
            <w:vAlign w:val="bottom"/>
          </w:tcPr>
          <w:p w14:paraId="7F708329" w14:textId="77777777" w:rsidR="00BE09F0" w:rsidRPr="00F67720" w:rsidRDefault="00FD54EA">
            <w:pPr>
              <w:widowControl w:val="0"/>
              <w:rPr>
                <w:b/>
                <w:color w:val="000000" w:themeColor="text1"/>
                <w:sz w:val="10"/>
                <w:szCs w:val="10"/>
              </w:rPr>
            </w:pPr>
            <w:r w:rsidRPr="00F67720">
              <w:rPr>
                <w:b/>
                <w:color w:val="000000" w:themeColor="text1"/>
                <w:sz w:val="10"/>
                <w:szCs w:val="10"/>
              </w:rPr>
              <w:t>Level of aggregation, timely resolution.</w:t>
            </w:r>
          </w:p>
        </w:tc>
      </w:tr>
      <w:tr w:rsidR="00FD54EA" w:rsidRPr="00FD54EA" w14:paraId="20ED3DB0" w14:textId="77777777" w:rsidTr="00F67720">
        <w:tc>
          <w:tcPr>
            <w:tcW w:w="1575" w:type="dxa"/>
            <w:shd w:val="clear" w:color="auto" w:fill="auto"/>
            <w:tcMar>
              <w:top w:w="40" w:type="dxa"/>
              <w:left w:w="40" w:type="dxa"/>
              <w:bottom w:w="40" w:type="dxa"/>
              <w:right w:w="40" w:type="dxa"/>
            </w:tcMar>
            <w:vAlign w:val="bottom"/>
          </w:tcPr>
          <w:p w14:paraId="22F31B0A" w14:textId="77777777" w:rsidR="00BE09F0" w:rsidRPr="00FD54EA" w:rsidRDefault="00FD54EA">
            <w:pPr>
              <w:widowControl w:val="0"/>
              <w:rPr>
                <w:color w:val="000000" w:themeColor="text1"/>
                <w:sz w:val="10"/>
                <w:szCs w:val="10"/>
              </w:rPr>
            </w:pPr>
            <w:r w:rsidRPr="00FD54EA">
              <w:rPr>
                <w:color w:val="000000" w:themeColor="text1"/>
                <w:sz w:val="10"/>
                <w:szCs w:val="10"/>
              </w:rPr>
              <w:t>Underweight</w:t>
            </w:r>
          </w:p>
        </w:tc>
        <w:tc>
          <w:tcPr>
            <w:tcW w:w="1035" w:type="dxa"/>
            <w:shd w:val="clear" w:color="auto" w:fill="auto"/>
            <w:tcMar>
              <w:top w:w="40" w:type="dxa"/>
              <w:left w:w="40" w:type="dxa"/>
              <w:bottom w:w="40" w:type="dxa"/>
              <w:right w:w="40" w:type="dxa"/>
            </w:tcMar>
            <w:vAlign w:val="bottom"/>
          </w:tcPr>
          <w:p w14:paraId="636110B8" w14:textId="77777777" w:rsidR="00BE09F0" w:rsidRPr="00FD54EA" w:rsidRDefault="00FD54EA">
            <w:pPr>
              <w:widowControl w:val="0"/>
              <w:rPr>
                <w:color w:val="000000" w:themeColor="text1"/>
                <w:sz w:val="10"/>
                <w:szCs w:val="10"/>
              </w:rPr>
            </w:pPr>
            <w:r w:rsidRPr="00FD54EA">
              <w:rPr>
                <w:color w:val="000000" w:themeColor="text1"/>
                <w:sz w:val="10"/>
                <w:szCs w:val="10"/>
              </w:rPr>
              <w:t>Million people</w:t>
            </w:r>
          </w:p>
        </w:tc>
        <w:tc>
          <w:tcPr>
            <w:tcW w:w="5215" w:type="dxa"/>
            <w:shd w:val="clear" w:color="auto" w:fill="auto"/>
            <w:tcMar>
              <w:top w:w="40" w:type="dxa"/>
              <w:left w:w="40" w:type="dxa"/>
              <w:bottom w:w="40" w:type="dxa"/>
              <w:right w:w="40" w:type="dxa"/>
            </w:tcMar>
            <w:vAlign w:val="bottom"/>
          </w:tcPr>
          <w:p w14:paraId="1DCB44A1" w14:textId="77777777" w:rsidR="00BE09F0" w:rsidRPr="00FD54EA" w:rsidRDefault="00FD54EA">
            <w:pPr>
              <w:widowControl w:val="0"/>
              <w:rPr>
                <w:color w:val="000000" w:themeColor="text1"/>
                <w:sz w:val="10"/>
                <w:szCs w:val="10"/>
              </w:rPr>
            </w:pPr>
            <w:r w:rsidRPr="00FD54EA">
              <w:rPr>
                <w:color w:val="000000" w:themeColor="text1"/>
                <w:sz w:val="10"/>
                <w:szCs w:val="10"/>
              </w:rPr>
              <w:t>Number of adults with a BMI &lt;18.5 (for people older 15 years) and children and adolescents with a BMI that is 2SD below normal (0-14 years).</w:t>
            </w:r>
          </w:p>
        </w:tc>
        <w:tc>
          <w:tcPr>
            <w:tcW w:w="1969" w:type="dxa"/>
            <w:shd w:val="clear" w:color="auto" w:fill="auto"/>
            <w:tcMar>
              <w:top w:w="40" w:type="dxa"/>
              <w:left w:w="40" w:type="dxa"/>
              <w:bottom w:w="40" w:type="dxa"/>
              <w:right w:w="40" w:type="dxa"/>
            </w:tcMar>
            <w:vAlign w:val="bottom"/>
          </w:tcPr>
          <w:p w14:paraId="1A14898A" w14:textId="77777777" w:rsidR="00BE09F0" w:rsidRPr="00FD54EA" w:rsidRDefault="00FD54EA">
            <w:pPr>
              <w:widowControl w:val="0"/>
              <w:rPr>
                <w:color w:val="000000" w:themeColor="text1"/>
                <w:sz w:val="10"/>
                <w:szCs w:val="10"/>
              </w:rPr>
            </w:pPr>
            <w:r w:rsidRPr="00FD54EA">
              <w:rPr>
                <w:color w:val="000000" w:themeColor="text1"/>
                <w:sz w:val="10"/>
                <w:szCs w:val="10"/>
              </w:rPr>
              <w:t>Country level, by age cohorts and sex, for a specific year.</w:t>
            </w:r>
          </w:p>
        </w:tc>
      </w:tr>
      <w:tr w:rsidR="00FD54EA" w:rsidRPr="00FD54EA" w14:paraId="7653C29B" w14:textId="77777777" w:rsidTr="00F67720">
        <w:trPr>
          <w:trHeight w:val="330"/>
        </w:trPr>
        <w:tc>
          <w:tcPr>
            <w:tcW w:w="1575" w:type="dxa"/>
            <w:shd w:val="clear" w:color="auto" w:fill="auto"/>
            <w:tcMar>
              <w:top w:w="40" w:type="dxa"/>
              <w:left w:w="40" w:type="dxa"/>
              <w:bottom w:w="40" w:type="dxa"/>
              <w:right w:w="40" w:type="dxa"/>
            </w:tcMar>
            <w:vAlign w:val="bottom"/>
          </w:tcPr>
          <w:p w14:paraId="48645883" w14:textId="77777777" w:rsidR="00BE09F0" w:rsidRPr="00FD54EA" w:rsidRDefault="00FD54EA">
            <w:pPr>
              <w:widowControl w:val="0"/>
              <w:rPr>
                <w:color w:val="000000" w:themeColor="text1"/>
                <w:sz w:val="10"/>
                <w:szCs w:val="10"/>
              </w:rPr>
            </w:pPr>
            <w:r w:rsidRPr="00FD54EA">
              <w:rPr>
                <w:color w:val="000000" w:themeColor="text1"/>
                <w:sz w:val="10"/>
                <w:szCs w:val="10"/>
              </w:rPr>
              <w:t>Obesity</w:t>
            </w:r>
          </w:p>
        </w:tc>
        <w:tc>
          <w:tcPr>
            <w:tcW w:w="1035" w:type="dxa"/>
            <w:shd w:val="clear" w:color="auto" w:fill="auto"/>
            <w:tcMar>
              <w:top w:w="40" w:type="dxa"/>
              <w:left w:w="40" w:type="dxa"/>
              <w:bottom w:w="40" w:type="dxa"/>
              <w:right w:w="40" w:type="dxa"/>
            </w:tcMar>
            <w:vAlign w:val="bottom"/>
          </w:tcPr>
          <w:p w14:paraId="4CA46FAF" w14:textId="77777777" w:rsidR="00BE09F0" w:rsidRPr="00FD54EA" w:rsidRDefault="00FD54EA">
            <w:pPr>
              <w:widowControl w:val="0"/>
              <w:rPr>
                <w:color w:val="000000" w:themeColor="text1"/>
                <w:sz w:val="10"/>
                <w:szCs w:val="10"/>
              </w:rPr>
            </w:pPr>
            <w:r w:rsidRPr="00FD54EA">
              <w:rPr>
                <w:color w:val="000000" w:themeColor="text1"/>
                <w:sz w:val="10"/>
                <w:szCs w:val="10"/>
              </w:rPr>
              <w:t>Million people</w:t>
            </w:r>
          </w:p>
        </w:tc>
        <w:tc>
          <w:tcPr>
            <w:tcW w:w="5215" w:type="dxa"/>
            <w:shd w:val="clear" w:color="auto" w:fill="auto"/>
            <w:tcMar>
              <w:top w:w="40" w:type="dxa"/>
              <w:left w:w="40" w:type="dxa"/>
              <w:bottom w:w="40" w:type="dxa"/>
              <w:right w:w="40" w:type="dxa"/>
            </w:tcMar>
            <w:vAlign w:val="bottom"/>
          </w:tcPr>
          <w:p w14:paraId="5B5D5B19" w14:textId="77777777" w:rsidR="00BE09F0" w:rsidRPr="00FD54EA" w:rsidRDefault="00FD54EA">
            <w:pPr>
              <w:widowControl w:val="0"/>
              <w:rPr>
                <w:color w:val="000000" w:themeColor="text1"/>
                <w:sz w:val="10"/>
                <w:szCs w:val="10"/>
              </w:rPr>
            </w:pPr>
            <w:r w:rsidRPr="00FD54EA">
              <w:rPr>
                <w:color w:val="000000" w:themeColor="text1"/>
                <w:sz w:val="10"/>
                <w:szCs w:val="10"/>
              </w:rPr>
              <w:t>Number of adults with a BMI &gt;30 (for people older 15 years) and children and adolescents with a BMI that is 2SD above normal (0-14 years).</w:t>
            </w:r>
          </w:p>
        </w:tc>
        <w:tc>
          <w:tcPr>
            <w:tcW w:w="1969" w:type="dxa"/>
            <w:shd w:val="clear" w:color="auto" w:fill="auto"/>
            <w:tcMar>
              <w:top w:w="40" w:type="dxa"/>
              <w:left w:w="40" w:type="dxa"/>
              <w:bottom w:w="40" w:type="dxa"/>
              <w:right w:w="40" w:type="dxa"/>
            </w:tcMar>
            <w:vAlign w:val="bottom"/>
          </w:tcPr>
          <w:p w14:paraId="277CB5B6" w14:textId="77777777" w:rsidR="00BE09F0" w:rsidRPr="00FD54EA" w:rsidRDefault="00FD54EA">
            <w:pPr>
              <w:widowControl w:val="0"/>
              <w:rPr>
                <w:color w:val="000000" w:themeColor="text1"/>
                <w:sz w:val="10"/>
                <w:szCs w:val="10"/>
              </w:rPr>
            </w:pPr>
            <w:r w:rsidRPr="00FD54EA">
              <w:rPr>
                <w:color w:val="000000" w:themeColor="text1"/>
                <w:sz w:val="10"/>
                <w:szCs w:val="10"/>
              </w:rPr>
              <w:t>Country level, by age cohorts and sex, for a specific year.</w:t>
            </w:r>
          </w:p>
        </w:tc>
      </w:tr>
      <w:tr w:rsidR="00FD54EA" w:rsidRPr="00FD54EA" w14:paraId="17419AEB" w14:textId="77777777" w:rsidTr="00F67720">
        <w:tc>
          <w:tcPr>
            <w:tcW w:w="1575" w:type="dxa"/>
            <w:shd w:val="clear" w:color="auto" w:fill="auto"/>
            <w:tcMar>
              <w:top w:w="40" w:type="dxa"/>
              <w:left w:w="40" w:type="dxa"/>
              <w:bottom w:w="40" w:type="dxa"/>
              <w:right w:w="40" w:type="dxa"/>
            </w:tcMar>
            <w:vAlign w:val="bottom"/>
          </w:tcPr>
          <w:p w14:paraId="065DBD0E" w14:textId="77777777" w:rsidR="00BE09F0" w:rsidRPr="00FD54EA" w:rsidRDefault="00FD54EA">
            <w:pPr>
              <w:widowControl w:val="0"/>
              <w:rPr>
                <w:color w:val="000000" w:themeColor="text1"/>
                <w:sz w:val="10"/>
                <w:szCs w:val="10"/>
              </w:rPr>
            </w:pPr>
            <w:r w:rsidRPr="00FD54EA">
              <w:rPr>
                <w:color w:val="000000" w:themeColor="text1"/>
                <w:sz w:val="10"/>
                <w:szCs w:val="10"/>
              </w:rPr>
              <w:t>Premature Mortality</w:t>
            </w:r>
          </w:p>
        </w:tc>
        <w:tc>
          <w:tcPr>
            <w:tcW w:w="1035" w:type="dxa"/>
            <w:shd w:val="clear" w:color="auto" w:fill="auto"/>
            <w:tcMar>
              <w:top w:w="40" w:type="dxa"/>
              <w:left w:w="40" w:type="dxa"/>
              <w:bottom w:w="40" w:type="dxa"/>
              <w:right w:w="40" w:type="dxa"/>
            </w:tcMar>
            <w:vAlign w:val="bottom"/>
          </w:tcPr>
          <w:p w14:paraId="552A8898" w14:textId="77777777" w:rsidR="00BE09F0" w:rsidRPr="00FD54EA" w:rsidRDefault="00FD54EA">
            <w:pPr>
              <w:widowControl w:val="0"/>
              <w:rPr>
                <w:color w:val="000000" w:themeColor="text1"/>
                <w:sz w:val="10"/>
                <w:szCs w:val="10"/>
              </w:rPr>
            </w:pPr>
            <w:r w:rsidRPr="00FD54EA">
              <w:rPr>
                <w:color w:val="000000" w:themeColor="text1"/>
                <w:sz w:val="10"/>
                <w:szCs w:val="10"/>
              </w:rPr>
              <w:t>Years of Life Lost (YLL)</w:t>
            </w:r>
          </w:p>
        </w:tc>
        <w:tc>
          <w:tcPr>
            <w:tcW w:w="5215" w:type="dxa"/>
            <w:shd w:val="clear" w:color="auto" w:fill="auto"/>
            <w:tcMar>
              <w:top w:w="40" w:type="dxa"/>
              <w:left w:w="40" w:type="dxa"/>
              <w:bottom w:w="40" w:type="dxa"/>
              <w:right w:w="40" w:type="dxa"/>
            </w:tcMar>
            <w:vAlign w:val="bottom"/>
          </w:tcPr>
          <w:p w14:paraId="5BC70622" w14:textId="77777777" w:rsidR="00BE09F0" w:rsidRPr="00FD54EA" w:rsidRDefault="00FD54EA">
            <w:pPr>
              <w:widowControl w:val="0"/>
              <w:rPr>
                <w:color w:val="000000" w:themeColor="text1"/>
                <w:sz w:val="10"/>
                <w:szCs w:val="10"/>
              </w:rPr>
            </w:pPr>
            <w:r w:rsidRPr="00FD54EA">
              <w:rPr>
                <w:color w:val="000000" w:themeColor="text1"/>
                <w:sz w:val="10"/>
                <w:szCs w:val="10"/>
              </w:rPr>
              <w:t>Years of life lost (YLL) is a measure of premature mortality that takes into account both the frequency of deaths and the age at which it occurs, using the "Global Burden of Disease standard abridged life table" to represent the standard life expectancy. Definition: One YLL represents the loss of one year of life.</w:t>
            </w:r>
          </w:p>
        </w:tc>
        <w:tc>
          <w:tcPr>
            <w:tcW w:w="1969" w:type="dxa"/>
            <w:shd w:val="clear" w:color="auto" w:fill="auto"/>
            <w:tcMar>
              <w:top w:w="40" w:type="dxa"/>
              <w:left w:w="40" w:type="dxa"/>
              <w:bottom w:w="40" w:type="dxa"/>
              <w:right w:w="40" w:type="dxa"/>
            </w:tcMar>
            <w:vAlign w:val="bottom"/>
          </w:tcPr>
          <w:p w14:paraId="7D433B29" w14:textId="77777777" w:rsidR="00BE09F0" w:rsidRPr="00FD54EA" w:rsidRDefault="00FD54EA">
            <w:pPr>
              <w:widowControl w:val="0"/>
              <w:rPr>
                <w:color w:val="000000" w:themeColor="text1"/>
                <w:sz w:val="10"/>
                <w:szCs w:val="10"/>
              </w:rPr>
            </w:pPr>
            <w:r w:rsidRPr="00FD54EA">
              <w:rPr>
                <w:color w:val="000000" w:themeColor="text1"/>
                <w:sz w:val="10"/>
                <w:szCs w:val="10"/>
              </w:rPr>
              <w:t>Country-level, by sex, for a specific year.</w:t>
            </w:r>
          </w:p>
        </w:tc>
      </w:tr>
      <w:tr w:rsidR="00FD54EA" w:rsidRPr="00FD54EA" w14:paraId="596DE35F" w14:textId="77777777" w:rsidTr="00F67720">
        <w:tc>
          <w:tcPr>
            <w:tcW w:w="1575" w:type="dxa"/>
            <w:shd w:val="clear" w:color="auto" w:fill="auto"/>
            <w:tcMar>
              <w:top w:w="40" w:type="dxa"/>
              <w:left w:w="40" w:type="dxa"/>
              <w:bottom w:w="40" w:type="dxa"/>
              <w:right w:w="40" w:type="dxa"/>
            </w:tcMar>
            <w:vAlign w:val="bottom"/>
          </w:tcPr>
          <w:p w14:paraId="4AE0E922" w14:textId="77777777" w:rsidR="00BE09F0" w:rsidRPr="00FD54EA" w:rsidRDefault="00FD54EA">
            <w:pPr>
              <w:widowControl w:val="0"/>
              <w:rPr>
                <w:color w:val="000000" w:themeColor="text1"/>
                <w:sz w:val="10"/>
                <w:szCs w:val="10"/>
              </w:rPr>
            </w:pPr>
            <w:r w:rsidRPr="00FD54EA">
              <w:rPr>
                <w:color w:val="000000" w:themeColor="text1"/>
                <w:sz w:val="10"/>
                <w:szCs w:val="10"/>
              </w:rPr>
              <w:t>Cropland Landscapes</w:t>
            </w:r>
          </w:p>
        </w:tc>
        <w:tc>
          <w:tcPr>
            <w:tcW w:w="1035" w:type="dxa"/>
            <w:shd w:val="clear" w:color="auto" w:fill="auto"/>
            <w:tcMar>
              <w:top w:w="40" w:type="dxa"/>
              <w:left w:w="40" w:type="dxa"/>
              <w:bottom w:w="40" w:type="dxa"/>
              <w:right w:w="40" w:type="dxa"/>
            </w:tcMar>
            <w:vAlign w:val="bottom"/>
          </w:tcPr>
          <w:p w14:paraId="315CAD4C" w14:textId="77777777" w:rsidR="00BE09F0" w:rsidRPr="00FD54EA" w:rsidRDefault="00FD54EA">
            <w:pPr>
              <w:widowControl w:val="0"/>
              <w:rPr>
                <w:color w:val="000000" w:themeColor="text1"/>
                <w:sz w:val="10"/>
                <w:szCs w:val="10"/>
              </w:rPr>
            </w:pPr>
            <w:r w:rsidRPr="00FD54EA">
              <w:rPr>
                <w:color w:val="000000" w:themeColor="text1"/>
                <w:sz w:val="10"/>
                <w:szCs w:val="10"/>
              </w:rPr>
              <w:t>Biodiversity Intactness Index</w:t>
            </w:r>
          </w:p>
        </w:tc>
        <w:tc>
          <w:tcPr>
            <w:tcW w:w="5215" w:type="dxa"/>
            <w:shd w:val="clear" w:color="auto" w:fill="auto"/>
            <w:tcMar>
              <w:top w:w="40" w:type="dxa"/>
              <w:left w:w="40" w:type="dxa"/>
              <w:bottom w:w="40" w:type="dxa"/>
              <w:right w:w="40" w:type="dxa"/>
            </w:tcMar>
            <w:vAlign w:val="bottom"/>
          </w:tcPr>
          <w:p w14:paraId="4B70FE52" w14:textId="77777777" w:rsidR="00BE09F0" w:rsidRPr="00FD54EA" w:rsidRDefault="00FD54EA">
            <w:pPr>
              <w:widowControl w:val="0"/>
              <w:rPr>
                <w:color w:val="000000" w:themeColor="text1"/>
                <w:sz w:val="10"/>
                <w:szCs w:val="10"/>
              </w:rPr>
            </w:pPr>
            <w:r w:rsidRPr="00FD54EA">
              <w:rPr>
                <w:color w:val="000000" w:themeColor="text1"/>
                <w:sz w:val="10"/>
                <w:szCs w:val="10"/>
              </w:rPr>
              <w:t>The Biodiversity Intactness index (BII) accounts for net changes in the abundance of organisms based on the loss of forest and non-forest vegetation cover and age class of natural vegetation, which are expressed relative to a reference land-use class (forested or non-forested vegetation) and weighted by a spatially explicit range-rarity layer (unitless). The reference land use (BII = 1) is assumed to have no human land use. For the cropland landscape BII, only cells which contain at least 100 ha of cropland are considered.</w:t>
            </w:r>
          </w:p>
        </w:tc>
        <w:tc>
          <w:tcPr>
            <w:tcW w:w="1969" w:type="dxa"/>
            <w:shd w:val="clear" w:color="auto" w:fill="auto"/>
            <w:tcMar>
              <w:top w:w="40" w:type="dxa"/>
              <w:left w:w="40" w:type="dxa"/>
              <w:bottom w:w="40" w:type="dxa"/>
              <w:right w:w="40" w:type="dxa"/>
            </w:tcMar>
            <w:vAlign w:val="bottom"/>
          </w:tcPr>
          <w:p w14:paraId="48D97518" w14:textId="77777777" w:rsidR="00BE09F0" w:rsidRPr="00FD54EA" w:rsidRDefault="00FD54EA">
            <w:pPr>
              <w:widowControl w:val="0"/>
              <w:rPr>
                <w:color w:val="000000" w:themeColor="text1"/>
                <w:sz w:val="10"/>
                <w:szCs w:val="10"/>
              </w:rPr>
            </w:pPr>
            <w:r w:rsidRPr="00FD54EA">
              <w:rPr>
                <w:color w:val="000000" w:themeColor="text1"/>
                <w:sz w:val="10"/>
                <w:szCs w:val="10"/>
              </w:rPr>
              <w:t>0.5°x0.5°, for a specific year.</w:t>
            </w:r>
          </w:p>
        </w:tc>
      </w:tr>
      <w:tr w:rsidR="00FD54EA" w:rsidRPr="00FD54EA" w14:paraId="2AED009A" w14:textId="77777777" w:rsidTr="00F67720">
        <w:trPr>
          <w:trHeight w:val="533"/>
        </w:trPr>
        <w:tc>
          <w:tcPr>
            <w:tcW w:w="1575" w:type="dxa"/>
            <w:shd w:val="clear" w:color="auto" w:fill="auto"/>
            <w:tcMar>
              <w:top w:w="40" w:type="dxa"/>
              <w:left w:w="40" w:type="dxa"/>
              <w:bottom w:w="40" w:type="dxa"/>
              <w:right w:w="40" w:type="dxa"/>
            </w:tcMar>
            <w:vAlign w:val="bottom"/>
          </w:tcPr>
          <w:p w14:paraId="67B8A28E" w14:textId="77777777" w:rsidR="00BE09F0" w:rsidRPr="00FD54EA" w:rsidRDefault="00FD54EA">
            <w:pPr>
              <w:widowControl w:val="0"/>
              <w:rPr>
                <w:color w:val="000000" w:themeColor="text1"/>
                <w:sz w:val="10"/>
                <w:szCs w:val="10"/>
              </w:rPr>
            </w:pPr>
            <w:r w:rsidRPr="00FD54EA">
              <w:rPr>
                <w:color w:val="000000" w:themeColor="text1"/>
                <w:sz w:val="10"/>
                <w:szCs w:val="10"/>
              </w:rPr>
              <w:t>Hotspot Landscapes</w:t>
            </w:r>
          </w:p>
        </w:tc>
        <w:tc>
          <w:tcPr>
            <w:tcW w:w="1035" w:type="dxa"/>
            <w:shd w:val="clear" w:color="auto" w:fill="auto"/>
            <w:tcMar>
              <w:top w:w="40" w:type="dxa"/>
              <w:left w:w="40" w:type="dxa"/>
              <w:bottom w:w="40" w:type="dxa"/>
              <w:right w:w="40" w:type="dxa"/>
            </w:tcMar>
            <w:vAlign w:val="bottom"/>
          </w:tcPr>
          <w:p w14:paraId="314102C5" w14:textId="77777777" w:rsidR="00BE09F0" w:rsidRPr="00FD54EA" w:rsidRDefault="00FD54EA">
            <w:pPr>
              <w:widowControl w:val="0"/>
              <w:rPr>
                <w:color w:val="000000" w:themeColor="text1"/>
                <w:sz w:val="10"/>
                <w:szCs w:val="10"/>
              </w:rPr>
            </w:pPr>
            <w:r w:rsidRPr="00FD54EA">
              <w:rPr>
                <w:color w:val="000000" w:themeColor="text1"/>
                <w:sz w:val="10"/>
                <w:szCs w:val="10"/>
              </w:rPr>
              <w:t>Biodiversity Intactness Index</w:t>
            </w:r>
          </w:p>
        </w:tc>
        <w:tc>
          <w:tcPr>
            <w:tcW w:w="5215" w:type="dxa"/>
            <w:shd w:val="clear" w:color="auto" w:fill="auto"/>
            <w:tcMar>
              <w:top w:w="40" w:type="dxa"/>
              <w:left w:w="40" w:type="dxa"/>
              <w:bottom w:w="40" w:type="dxa"/>
              <w:right w:w="40" w:type="dxa"/>
            </w:tcMar>
            <w:vAlign w:val="bottom"/>
          </w:tcPr>
          <w:p w14:paraId="26140999" w14:textId="77777777" w:rsidR="00BE09F0" w:rsidRPr="00FD54EA" w:rsidRDefault="00FD54EA">
            <w:pPr>
              <w:widowControl w:val="0"/>
              <w:rPr>
                <w:color w:val="000000" w:themeColor="text1"/>
                <w:sz w:val="10"/>
                <w:szCs w:val="10"/>
              </w:rPr>
            </w:pPr>
            <w:r w:rsidRPr="00FD54EA">
              <w:rPr>
                <w:color w:val="000000" w:themeColor="text1"/>
                <w:sz w:val="10"/>
                <w:szCs w:val="10"/>
              </w:rPr>
              <w:t>The Biodiversity Intactness index (BII) accounts for net changes in the abundance of organisms based on the loss of forest and non-forest vegetation cover and age class of natural vegetation, which are expressed relative to a reference land-use class (forested or non-forested vegetation) and weighted by a spatially explicit range-rarity layer (unitless). The reference land use (BII = 1) is assumed to have no human land use. For the key conservation landscapes, we considered only cells in biodiversity hotspots (BH) intact forest landscapes (IFL).</w:t>
            </w:r>
          </w:p>
        </w:tc>
        <w:tc>
          <w:tcPr>
            <w:tcW w:w="1969" w:type="dxa"/>
            <w:shd w:val="clear" w:color="auto" w:fill="auto"/>
            <w:tcMar>
              <w:top w:w="40" w:type="dxa"/>
              <w:left w:w="40" w:type="dxa"/>
              <w:bottom w:w="40" w:type="dxa"/>
              <w:right w:w="40" w:type="dxa"/>
            </w:tcMar>
            <w:vAlign w:val="bottom"/>
          </w:tcPr>
          <w:p w14:paraId="69C0F7BD" w14:textId="77777777" w:rsidR="00BE09F0" w:rsidRPr="00FD54EA" w:rsidRDefault="00FD54EA">
            <w:pPr>
              <w:widowControl w:val="0"/>
              <w:rPr>
                <w:color w:val="000000" w:themeColor="text1"/>
                <w:sz w:val="10"/>
                <w:szCs w:val="10"/>
              </w:rPr>
            </w:pPr>
            <w:r w:rsidRPr="00FD54EA">
              <w:rPr>
                <w:color w:val="000000" w:themeColor="text1"/>
                <w:sz w:val="10"/>
                <w:szCs w:val="10"/>
              </w:rPr>
              <w:t>0.5°x0.5°, for a specific year.</w:t>
            </w:r>
          </w:p>
        </w:tc>
      </w:tr>
      <w:tr w:rsidR="00FD54EA" w:rsidRPr="00FD54EA" w14:paraId="2B84B409" w14:textId="77777777" w:rsidTr="00F67720">
        <w:tc>
          <w:tcPr>
            <w:tcW w:w="1575" w:type="dxa"/>
            <w:shd w:val="clear" w:color="auto" w:fill="auto"/>
            <w:tcMar>
              <w:top w:w="40" w:type="dxa"/>
              <w:left w:w="40" w:type="dxa"/>
              <w:bottom w:w="40" w:type="dxa"/>
              <w:right w:w="40" w:type="dxa"/>
            </w:tcMar>
            <w:vAlign w:val="bottom"/>
          </w:tcPr>
          <w:p w14:paraId="613CDFD9" w14:textId="77777777" w:rsidR="00BE09F0" w:rsidRPr="00FD54EA" w:rsidRDefault="00FD54EA">
            <w:pPr>
              <w:widowControl w:val="0"/>
              <w:rPr>
                <w:color w:val="000000" w:themeColor="text1"/>
                <w:sz w:val="10"/>
                <w:szCs w:val="10"/>
              </w:rPr>
            </w:pPr>
            <w:r w:rsidRPr="00FD54EA">
              <w:rPr>
                <w:color w:val="000000" w:themeColor="text1"/>
                <w:sz w:val="10"/>
                <w:szCs w:val="10"/>
              </w:rPr>
              <w:t>Croparea Diversity</w:t>
            </w:r>
          </w:p>
        </w:tc>
        <w:tc>
          <w:tcPr>
            <w:tcW w:w="1035" w:type="dxa"/>
            <w:shd w:val="clear" w:color="auto" w:fill="auto"/>
            <w:tcMar>
              <w:top w:w="40" w:type="dxa"/>
              <w:left w:w="40" w:type="dxa"/>
              <w:bottom w:w="40" w:type="dxa"/>
              <w:right w:w="40" w:type="dxa"/>
            </w:tcMar>
            <w:vAlign w:val="bottom"/>
          </w:tcPr>
          <w:p w14:paraId="776461BE" w14:textId="77777777" w:rsidR="00BE09F0" w:rsidRPr="00FD54EA" w:rsidRDefault="00FD54EA">
            <w:pPr>
              <w:widowControl w:val="0"/>
              <w:rPr>
                <w:color w:val="000000" w:themeColor="text1"/>
                <w:sz w:val="10"/>
                <w:szCs w:val="10"/>
              </w:rPr>
            </w:pPr>
            <w:r w:rsidRPr="00FD54EA">
              <w:rPr>
                <w:color w:val="000000" w:themeColor="text1"/>
                <w:sz w:val="10"/>
                <w:szCs w:val="10"/>
              </w:rPr>
              <w:t>Shannon Index</w:t>
            </w:r>
          </w:p>
        </w:tc>
        <w:tc>
          <w:tcPr>
            <w:tcW w:w="5215" w:type="dxa"/>
            <w:shd w:val="clear" w:color="auto" w:fill="auto"/>
            <w:tcMar>
              <w:top w:w="40" w:type="dxa"/>
              <w:left w:w="40" w:type="dxa"/>
              <w:bottom w:w="40" w:type="dxa"/>
              <w:right w:w="40" w:type="dxa"/>
            </w:tcMar>
            <w:vAlign w:val="bottom"/>
          </w:tcPr>
          <w:p w14:paraId="6106B506" w14:textId="77777777" w:rsidR="00BE09F0" w:rsidRPr="00FD54EA" w:rsidRDefault="00FD54EA">
            <w:pPr>
              <w:widowControl w:val="0"/>
              <w:rPr>
                <w:color w:val="000000" w:themeColor="text1"/>
                <w:sz w:val="10"/>
                <w:szCs w:val="10"/>
              </w:rPr>
            </w:pPr>
            <w:r w:rsidRPr="00FD54EA">
              <w:rPr>
                <w:color w:val="000000" w:themeColor="text1"/>
                <w:sz w:val="10"/>
                <w:szCs w:val="10"/>
              </w:rPr>
              <w:t>Measure of crop diversity that takes into account the richness and abundance of different crop groups. The shannon crop diversity index $H_{crop}$ is calculated by $H_crop = - \sum_{k} p_{k} \cdot \log p_{k}$, where $p$ is the share of crop $k$ in the total cropland area in each spatial cluster. Our Croparea Diversity index is based on 6 aggregated croparea classes (see S2.2.4).</w:t>
            </w:r>
          </w:p>
        </w:tc>
        <w:tc>
          <w:tcPr>
            <w:tcW w:w="1969" w:type="dxa"/>
            <w:shd w:val="clear" w:color="auto" w:fill="auto"/>
            <w:tcMar>
              <w:top w:w="40" w:type="dxa"/>
              <w:left w:w="40" w:type="dxa"/>
              <w:bottom w:w="40" w:type="dxa"/>
              <w:right w:w="40" w:type="dxa"/>
            </w:tcMar>
            <w:vAlign w:val="bottom"/>
          </w:tcPr>
          <w:p w14:paraId="595BA2E3" w14:textId="77777777" w:rsidR="00BE09F0" w:rsidRPr="00FD54EA" w:rsidRDefault="00FD54EA">
            <w:pPr>
              <w:widowControl w:val="0"/>
              <w:rPr>
                <w:color w:val="000000" w:themeColor="text1"/>
                <w:sz w:val="10"/>
                <w:szCs w:val="10"/>
              </w:rPr>
            </w:pPr>
            <w:r w:rsidRPr="00FD54EA">
              <w:rPr>
                <w:color w:val="000000" w:themeColor="text1"/>
                <w:sz w:val="10"/>
                <w:szCs w:val="10"/>
              </w:rPr>
              <w:t>0.5°x0.5°, for a specific year.</w:t>
            </w:r>
          </w:p>
        </w:tc>
      </w:tr>
      <w:tr w:rsidR="00FD54EA" w:rsidRPr="00FD54EA" w14:paraId="12D5D76C" w14:textId="77777777" w:rsidTr="00F67720">
        <w:tc>
          <w:tcPr>
            <w:tcW w:w="1575" w:type="dxa"/>
            <w:tcMar>
              <w:top w:w="40" w:type="dxa"/>
              <w:left w:w="40" w:type="dxa"/>
              <w:bottom w:w="40" w:type="dxa"/>
              <w:right w:w="40" w:type="dxa"/>
            </w:tcMar>
            <w:vAlign w:val="bottom"/>
          </w:tcPr>
          <w:p w14:paraId="1CFB8162" w14:textId="77777777" w:rsidR="00BE09F0" w:rsidRPr="00FD54EA" w:rsidRDefault="00FD54EA">
            <w:pPr>
              <w:widowControl w:val="0"/>
              <w:rPr>
                <w:color w:val="000000" w:themeColor="text1"/>
                <w:sz w:val="10"/>
                <w:szCs w:val="10"/>
              </w:rPr>
            </w:pPr>
            <w:r w:rsidRPr="00FD54EA">
              <w:rPr>
                <w:color w:val="000000" w:themeColor="text1"/>
                <w:sz w:val="10"/>
                <w:szCs w:val="10"/>
              </w:rPr>
              <w:t>Nitrogen Surplus</w:t>
            </w:r>
          </w:p>
        </w:tc>
        <w:tc>
          <w:tcPr>
            <w:tcW w:w="1035" w:type="dxa"/>
            <w:shd w:val="clear" w:color="auto" w:fill="auto"/>
            <w:tcMar>
              <w:top w:w="40" w:type="dxa"/>
              <w:left w:w="40" w:type="dxa"/>
              <w:bottom w:w="40" w:type="dxa"/>
              <w:right w:w="40" w:type="dxa"/>
            </w:tcMar>
            <w:vAlign w:val="bottom"/>
          </w:tcPr>
          <w:p w14:paraId="779F4458" w14:textId="77777777" w:rsidR="00BE09F0" w:rsidRPr="00FD54EA" w:rsidRDefault="00FD54EA">
            <w:pPr>
              <w:widowControl w:val="0"/>
              <w:rPr>
                <w:color w:val="000000" w:themeColor="text1"/>
                <w:sz w:val="10"/>
                <w:szCs w:val="10"/>
              </w:rPr>
            </w:pPr>
            <w:r w:rsidRPr="00FD54EA">
              <w:rPr>
                <w:color w:val="000000" w:themeColor="text1"/>
                <w:sz w:val="10"/>
                <w:szCs w:val="10"/>
              </w:rPr>
              <w:t>Million tons nitrogen per year</w:t>
            </w:r>
          </w:p>
        </w:tc>
        <w:tc>
          <w:tcPr>
            <w:tcW w:w="5215" w:type="dxa"/>
            <w:shd w:val="clear" w:color="auto" w:fill="auto"/>
            <w:tcMar>
              <w:top w:w="40" w:type="dxa"/>
              <w:left w:w="40" w:type="dxa"/>
              <w:bottom w:w="40" w:type="dxa"/>
              <w:right w:w="40" w:type="dxa"/>
            </w:tcMar>
            <w:vAlign w:val="bottom"/>
          </w:tcPr>
          <w:p w14:paraId="340DE991" w14:textId="77777777" w:rsidR="00BE09F0" w:rsidRPr="00FD54EA" w:rsidRDefault="00FD54EA">
            <w:pPr>
              <w:widowControl w:val="0"/>
              <w:rPr>
                <w:color w:val="000000" w:themeColor="text1"/>
                <w:sz w:val="10"/>
                <w:szCs w:val="10"/>
              </w:rPr>
            </w:pPr>
            <w:r w:rsidRPr="00FD54EA">
              <w:rPr>
                <w:color w:val="000000" w:themeColor="text1"/>
                <w:sz w:val="10"/>
                <w:szCs w:val="10"/>
              </w:rPr>
              <w:t>Nitrogen surplus in croplands, pastures, natural vegetation and animal waste management in Tg Nr. Nitrogen surpluses in croplands and pastures are the difference between organic and inorganic nutrient inputs and withdrawals by the harvest/grazing. In natural vegetations we assume a stable state where fixation equals surpluses. In animal waste management, surpluses are total excretion minus recycled manure.</w:t>
            </w:r>
          </w:p>
        </w:tc>
        <w:tc>
          <w:tcPr>
            <w:tcW w:w="1969" w:type="dxa"/>
            <w:shd w:val="clear" w:color="auto" w:fill="auto"/>
            <w:tcMar>
              <w:top w:w="40" w:type="dxa"/>
              <w:left w:w="40" w:type="dxa"/>
              <w:bottom w:w="40" w:type="dxa"/>
              <w:right w:w="40" w:type="dxa"/>
            </w:tcMar>
            <w:vAlign w:val="bottom"/>
          </w:tcPr>
          <w:p w14:paraId="14C6346C" w14:textId="77777777" w:rsidR="00BE09F0" w:rsidRPr="00FD54EA" w:rsidRDefault="00FD54EA">
            <w:pPr>
              <w:widowControl w:val="0"/>
              <w:rPr>
                <w:color w:val="000000" w:themeColor="text1"/>
                <w:sz w:val="10"/>
                <w:szCs w:val="10"/>
              </w:rPr>
            </w:pPr>
            <w:r w:rsidRPr="00FD54EA">
              <w:rPr>
                <w:color w:val="000000" w:themeColor="text1"/>
                <w:sz w:val="10"/>
                <w:szCs w:val="10"/>
              </w:rPr>
              <w:t>0.5°x0.5°, for a specific year.</w:t>
            </w:r>
          </w:p>
        </w:tc>
      </w:tr>
      <w:tr w:rsidR="00FD54EA" w:rsidRPr="00FD54EA" w14:paraId="21FADBA3" w14:textId="77777777" w:rsidTr="00F67720">
        <w:trPr>
          <w:trHeight w:val="145"/>
        </w:trPr>
        <w:tc>
          <w:tcPr>
            <w:tcW w:w="1575" w:type="dxa"/>
            <w:shd w:val="clear" w:color="auto" w:fill="auto"/>
            <w:tcMar>
              <w:top w:w="40" w:type="dxa"/>
              <w:left w:w="40" w:type="dxa"/>
              <w:bottom w:w="40" w:type="dxa"/>
              <w:right w:w="40" w:type="dxa"/>
            </w:tcMar>
            <w:vAlign w:val="bottom"/>
          </w:tcPr>
          <w:p w14:paraId="30B608F3" w14:textId="77777777" w:rsidR="00BE09F0" w:rsidRPr="00FD54EA" w:rsidRDefault="00FD54EA">
            <w:pPr>
              <w:widowControl w:val="0"/>
              <w:rPr>
                <w:color w:val="000000" w:themeColor="text1"/>
                <w:sz w:val="10"/>
                <w:szCs w:val="10"/>
              </w:rPr>
            </w:pPr>
            <w:r w:rsidRPr="00FD54EA">
              <w:rPr>
                <w:color w:val="000000" w:themeColor="text1"/>
                <w:sz w:val="10"/>
                <w:szCs w:val="10"/>
              </w:rPr>
              <w:t>Environmental Water Flow Violations</w:t>
            </w:r>
          </w:p>
        </w:tc>
        <w:tc>
          <w:tcPr>
            <w:tcW w:w="1035" w:type="dxa"/>
            <w:shd w:val="clear" w:color="auto" w:fill="auto"/>
            <w:tcMar>
              <w:top w:w="40" w:type="dxa"/>
              <w:left w:w="40" w:type="dxa"/>
              <w:bottom w:w="40" w:type="dxa"/>
              <w:right w:w="40" w:type="dxa"/>
            </w:tcMar>
            <w:vAlign w:val="bottom"/>
          </w:tcPr>
          <w:p w14:paraId="52822D64" w14:textId="77777777" w:rsidR="00BE09F0" w:rsidRPr="00FD54EA" w:rsidRDefault="00FD54EA">
            <w:pPr>
              <w:widowControl w:val="0"/>
              <w:rPr>
                <w:color w:val="000000" w:themeColor="text1"/>
                <w:sz w:val="10"/>
                <w:szCs w:val="10"/>
              </w:rPr>
            </w:pPr>
            <w:r w:rsidRPr="00FD54EA">
              <w:rPr>
                <w:color w:val="000000" w:themeColor="text1"/>
                <w:sz w:val="10"/>
                <w:szCs w:val="10"/>
              </w:rPr>
              <w:t>km^3 per year</w:t>
            </w:r>
          </w:p>
        </w:tc>
        <w:tc>
          <w:tcPr>
            <w:tcW w:w="5215" w:type="dxa"/>
            <w:shd w:val="clear" w:color="auto" w:fill="auto"/>
            <w:tcMar>
              <w:top w:w="40" w:type="dxa"/>
              <w:left w:w="40" w:type="dxa"/>
              <w:bottom w:w="40" w:type="dxa"/>
              <w:right w:w="40" w:type="dxa"/>
            </w:tcMar>
            <w:vAlign w:val="bottom"/>
          </w:tcPr>
          <w:p w14:paraId="67142A5F" w14:textId="77777777" w:rsidR="00BE09F0" w:rsidRPr="00FD54EA" w:rsidRDefault="00FD54EA">
            <w:pPr>
              <w:widowControl w:val="0"/>
              <w:rPr>
                <w:color w:val="000000" w:themeColor="text1"/>
                <w:sz w:val="10"/>
                <w:szCs w:val="10"/>
              </w:rPr>
            </w:pPr>
            <w:r w:rsidRPr="00FD54EA">
              <w:rPr>
                <w:color w:val="000000" w:themeColor="text1"/>
                <w:sz w:val="10"/>
                <w:szCs w:val="10"/>
              </w:rPr>
              <w:t>Water withdrawals exceeding the volume that could be withdrawn when taking minimum environmental flow requirements of aquatic and riverine ecosystems into account, in km³</w:t>
            </w:r>
          </w:p>
        </w:tc>
        <w:tc>
          <w:tcPr>
            <w:tcW w:w="1969" w:type="dxa"/>
            <w:shd w:val="clear" w:color="auto" w:fill="auto"/>
            <w:tcMar>
              <w:top w:w="40" w:type="dxa"/>
              <w:left w:w="40" w:type="dxa"/>
              <w:bottom w:w="40" w:type="dxa"/>
              <w:right w:w="40" w:type="dxa"/>
            </w:tcMar>
            <w:vAlign w:val="bottom"/>
          </w:tcPr>
          <w:p w14:paraId="0BAA5E93" w14:textId="77777777" w:rsidR="00BE09F0" w:rsidRPr="00FD54EA" w:rsidRDefault="00FD54EA">
            <w:pPr>
              <w:widowControl w:val="0"/>
              <w:rPr>
                <w:color w:val="000000" w:themeColor="text1"/>
                <w:sz w:val="10"/>
                <w:szCs w:val="10"/>
              </w:rPr>
            </w:pPr>
            <w:r w:rsidRPr="00FD54EA">
              <w:rPr>
                <w:color w:val="000000" w:themeColor="text1"/>
                <w:sz w:val="10"/>
                <w:szCs w:val="10"/>
              </w:rPr>
              <w:t>0.5°x0.5°, for a specific year.</w:t>
            </w:r>
          </w:p>
        </w:tc>
      </w:tr>
      <w:tr w:rsidR="00FD54EA" w:rsidRPr="00FD54EA" w14:paraId="3DBB15EE" w14:textId="77777777" w:rsidTr="00F67720">
        <w:tc>
          <w:tcPr>
            <w:tcW w:w="1575" w:type="dxa"/>
            <w:shd w:val="clear" w:color="auto" w:fill="auto"/>
            <w:tcMar>
              <w:top w:w="40" w:type="dxa"/>
              <w:left w:w="40" w:type="dxa"/>
              <w:bottom w:w="40" w:type="dxa"/>
              <w:right w:w="40" w:type="dxa"/>
            </w:tcMar>
            <w:vAlign w:val="bottom"/>
          </w:tcPr>
          <w:p w14:paraId="2FC8B277" w14:textId="77777777" w:rsidR="00BE09F0" w:rsidRPr="00FD54EA" w:rsidRDefault="00FD54EA">
            <w:pPr>
              <w:widowControl w:val="0"/>
              <w:rPr>
                <w:color w:val="000000" w:themeColor="text1"/>
                <w:sz w:val="10"/>
                <w:szCs w:val="10"/>
              </w:rPr>
            </w:pPr>
            <w:r w:rsidRPr="00FD54EA">
              <w:rPr>
                <w:color w:val="000000" w:themeColor="text1"/>
                <w:sz w:val="10"/>
                <w:szCs w:val="10"/>
              </w:rPr>
              <w:t>Greenhouse Gas Emissions</w:t>
            </w:r>
          </w:p>
        </w:tc>
        <w:tc>
          <w:tcPr>
            <w:tcW w:w="1035" w:type="dxa"/>
            <w:shd w:val="clear" w:color="auto" w:fill="auto"/>
            <w:tcMar>
              <w:top w:w="40" w:type="dxa"/>
              <w:left w:w="40" w:type="dxa"/>
              <w:bottom w:w="40" w:type="dxa"/>
              <w:right w:w="40" w:type="dxa"/>
            </w:tcMar>
            <w:vAlign w:val="bottom"/>
          </w:tcPr>
          <w:p w14:paraId="41734630" w14:textId="77777777" w:rsidR="00BE09F0" w:rsidRPr="00FD54EA" w:rsidRDefault="00FD54EA">
            <w:pPr>
              <w:widowControl w:val="0"/>
              <w:rPr>
                <w:color w:val="000000" w:themeColor="text1"/>
                <w:sz w:val="10"/>
                <w:szCs w:val="10"/>
              </w:rPr>
            </w:pPr>
            <w:r w:rsidRPr="00FD54EA">
              <w:rPr>
                <w:color w:val="000000" w:themeColor="text1"/>
                <w:sz w:val="10"/>
                <w:szCs w:val="10"/>
              </w:rPr>
              <w:t>Gt CO2eq per year</w:t>
            </w:r>
          </w:p>
        </w:tc>
        <w:tc>
          <w:tcPr>
            <w:tcW w:w="5215" w:type="dxa"/>
            <w:shd w:val="clear" w:color="auto" w:fill="auto"/>
            <w:tcMar>
              <w:top w:w="40" w:type="dxa"/>
              <w:left w:w="40" w:type="dxa"/>
              <w:bottom w:w="40" w:type="dxa"/>
              <w:right w:w="40" w:type="dxa"/>
            </w:tcMar>
            <w:vAlign w:val="bottom"/>
          </w:tcPr>
          <w:p w14:paraId="7E5879CC" w14:textId="77777777" w:rsidR="00BE09F0" w:rsidRPr="00FD54EA" w:rsidRDefault="00FD54EA">
            <w:pPr>
              <w:widowControl w:val="0"/>
              <w:rPr>
                <w:color w:val="000000" w:themeColor="text1"/>
                <w:sz w:val="10"/>
                <w:szCs w:val="10"/>
              </w:rPr>
            </w:pPr>
            <w:r w:rsidRPr="00FD54EA">
              <w:rPr>
                <w:color w:val="000000" w:themeColor="text1"/>
                <w:sz w:val="10"/>
                <w:szCs w:val="10"/>
              </w:rPr>
              <w:t>Greenhouse gas emissions from land use and land-use change in Gt CO2 equivalents using a 100 year global warming potential (GWP100 based on AR6).</w:t>
            </w:r>
          </w:p>
        </w:tc>
        <w:tc>
          <w:tcPr>
            <w:tcW w:w="1969" w:type="dxa"/>
            <w:shd w:val="clear" w:color="auto" w:fill="auto"/>
            <w:tcMar>
              <w:top w:w="40" w:type="dxa"/>
              <w:left w:w="40" w:type="dxa"/>
              <w:bottom w:w="40" w:type="dxa"/>
              <w:right w:w="40" w:type="dxa"/>
            </w:tcMar>
            <w:vAlign w:val="bottom"/>
          </w:tcPr>
          <w:p w14:paraId="23458990" w14:textId="77777777" w:rsidR="00BE09F0" w:rsidRPr="00FD54EA" w:rsidRDefault="00FD54EA">
            <w:pPr>
              <w:widowControl w:val="0"/>
              <w:rPr>
                <w:color w:val="000000" w:themeColor="text1"/>
                <w:sz w:val="10"/>
                <w:szCs w:val="10"/>
              </w:rPr>
            </w:pPr>
            <w:r w:rsidRPr="00FD54EA">
              <w:rPr>
                <w:color w:val="000000" w:themeColor="text1"/>
                <w:sz w:val="10"/>
                <w:szCs w:val="10"/>
              </w:rPr>
              <w:t>World region level for a specific year.</w:t>
            </w:r>
          </w:p>
        </w:tc>
      </w:tr>
      <w:tr w:rsidR="00FD54EA" w:rsidRPr="00FD54EA" w14:paraId="5CF8C657" w14:textId="77777777" w:rsidTr="00F67720">
        <w:tc>
          <w:tcPr>
            <w:tcW w:w="1575" w:type="dxa"/>
            <w:shd w:val="clear" w:color="auto" w:fill="auto"/>
            <w:tcMar>
              <w:top w:w="40" w:type="dxa"/>
              <w:left w:w="40" w:type="dxa"/>
              <w:bottom w:w="40" w:type="dxa"/>
              <w:right w:w="40" w:type="dxa"/>
            </w:tcMar>
            <w:vAlign w:val="bottom"/>
          </w:tcPr>
          <w:p w14:paraId="4D452347" w14:textId="77777777" w:rsidR="00BE09F0" w:rsidRPr="00FD54EA" w:rsidRDefault="00FD54EA">
            <w:pPr>
              <w:widowControl w:val="0"/>
              <w:rPr>
                <w:color w:val="000000" w:themeColor="text1"/>
                <w:sz w:val="10"/>
                <w:szCs w:val="10"/>
              </w:rPr>
            </w:pPr>
            <w:r w:rsidRPr="00FD54EA">
              <w:rPr>
                <w:color w:val="000000" w:themeColor="text1"/>
                <w:sz w:val="10"/>
                <w:szCs w:val="10"/>
              </w:rPr>
              <w:t>Global Surface Warming</w:t>
            </w:r>
          </w:p>
        </w:tc>
        <w:tc>
          <w:tcPr>
            <w:tcW w:w="1035" w:type="dxa"/>
            <w:shd w:val="clear" w:color="auto" w:fill="auto"/>
            <w:tcMar>
              <w:top w:w="40" w:type="dxa"/>
              <w:left w:w="40" w:type="dxa"/>
              <w:bottom w:w="40" w:type="dxa"/>
              <w:right w:w="40" w:type="dxa"/>
            </w:tcMar>
            <w:vAlign w:val="bottom"/>
          </w:tcPr>
          <w:p w14:paraId="70673022" w14:textId="77777777" w:rsidR="00BE09F0" w:rsidRPr="00FD54EA" w:rsidRDefault="00FD54EA">
            <w:pPr>
              <w:widowControl w:val="0"/>
              <w:rPr>
                <w:color w:val="000000" w:themeColor="text1"/>
                <w:sz w:val="10"/>
                <w:szCs w:val="10"/>
              </w:rPr>
            </w:pPr>
            <w:r w:rsidRPr="00FD54EA">
              <w:rPr>
                <w:color w:val="000000" w:themeColor="text1"/>
                <w:sz w:val="10"/>
                <w:szCs w:val="10"/>
              </w:rPr>
              <w:t>Degree Celsius</w:t>
            </w:r>
          </w:p>
        </w:tc>
        <w:tc>
          <w:tcPr>
            <w:tcW w:w="5215" w:type="dxa"/>
            <w:shd w:val="clear" w:color="auto" w:fill="auto"/>
            <w:tcMar>
              <w:top w:w="40" w:type="dxa"/>
              <w:left w:w="40" w:type="dxa"/>
              <w:bottom w:w="40" w:type="dxa"/>
              <w:right w:w="40" w:type="dxa"/>
            </w:tcMar>
            <w:vAlign w:val="bottom"/>
          </w:tcPr>
          <w:p w14:paraId="41AE8448" w14:textId="77777777" w:rsidR="00BE09F0" w:rsidRPr="00FD54EA" w:rsidRDefault="00FD54EA">
            <w:pPr>
              <w:widowControl w:val="0"/>
              <w:rPr>
                <w:color w:val="000000" w:themeColor="text1"/>
                <w:sz w:val="10"/>
                <w:szCs w:val="10"/>
              </w:rPr>
            </w:pPr>
            <w:r w:rsidRPr="00FD54EA">
              <w:rPr>
                <w:color w:val="000000" w:themeColor="text1"/>
                <w:sz w:val="10"/>
                <w:szCs w:val="10"/>
              </w:rPr>
              <w:t>Degrees Celsius warming of global mean surface temperature (relative to 1951-1980)</w:t>
            </w:r>
          </w:p>
        </w:tc>
        <w:tc>
          <w:tcPr>
            <w:tcW w:w="1969" w:type="dxa"/>
            <w:shd w:val="clear" w:color="auto" w:fill="auto"/>
            <w:tcMar>
              <w:top w:w="40" w:type="dxa"/>
              <w:left w:w="40" w:type="dxa"/>
              <w:bottom w:w="40" w:type="dxa"/>
              <w:right w:w="40" w:type="dxa"/>
            </w:tcMar>
            <w:vAlign w:val="bottom"/>
          </w:tcPr>
          <w:p w14:paraId="5F15A8C7" w14:textId="77777777" w:rsidR="00BE09F0" w:rsidRPr="00FD54EA" w:rsidRDefault="00FD54EA">
            <w:pPr>
              <w:widowControl w:val="0"/>
              <w:rPr>
                <w:color w:val="000000" w:themeColor="text1"/>
                <w:sz w:val="10"/>
                <w:szCs w:val="10"/>
              </w:rPr>
            </w:pPr>
            <w:r w:rsidRPr="00FD54EA">
              <w:rPr>
                <w:color w:val="000000" w:themeColor="text1"/>
                <w:sz w:val="10"/>
                <w:szCs w:val="10"/>
              </w:rPr>
              <w:t>Global, for a specific year.</w:t>
            </w:r>
          </w:p>
        </w:tc>
      </w:tr>
      <w:tr w:rsidR="00FD54EA" w:rsidRPr="00FD54EA" w14:paraId="5E1132BF" w14:textId="77777777" w:rsidTr="00F67720">
        <w:tc>
          <w:tcPr>
            <w:tcW w:w="1575" w:type="dxa"/>
            <w:shd w:val="clear" w:color="auto" w:fill="auto"/>
            <w:tcMar>
              <w:top w:w="40" w:type="dxa"/>
              <w:left w:w="40" w:type="dxa"/>
              <w:bottom w:w="40" w:type="dxa"/>
              <w:right w:w="40" w:type="dxa"/>
            </w:tcMar>
            <w:vAlign w:val="bottom"/>
          </w:tcPr>
          <w:p w14:paraId="4EDDCE99" w14:textId="77777777" w:rsidR="00BE09F0" w:rsidRPr="00FD54EA" w:rsidRDefault="00FD54EA">
            <w:pPr>
              <w:widowControl w:val="0"/>
              <w:rPr>
                <w:color w:val="000000" w:themeColor="text1"/>
                <w:sz w:val="10"/>
                <w:szCs w:val="10"/>
              </w:rPr>
            </w:pPr>
            <w:r w:rsidRPr="00FD54EA">
              <w:rPr>
                <w:color w:val="000000" w:themeColor="text1"/>
                <w:sz w:val="10"/>
                <w:szCs w:val="10"/>
              </w:rPr>
              <w:t>Expenditure on Agricultural Products</w:t>
            </w:r>
          </w:p>
        </w:tc>
        <w:tc>
          <w:tcPr>
            <w:tcW w:w="1035" w:type="dxa"/>
            <w:shd w:val="clear" w:color="auto" w:fill="auto"/>
            <w:tcMar>
              <w:top w:w="40" w:type="dxa"/>
              <w:left w:w="40" w:type="dxa"/>
              <w:bottom w:w="40" w:type="dxa"/>
              <w:right w:w="40" w:type="dxa"/>
            </w:tcMar>
            <w:vAlign w:val="bottom"/>
          </w:tcPr>
          <w:p w14:paraId="2E4B9900" w14:textId="77777777" w:rsidR="00BE09F0" w:rsidRPr="00FD54EA" w:rsidRDefault="00FD54EA">
            <w:pPr>
              <w:widowControl w:val="0"/>
              <w:rPr>
                <w:color w:val="000000" w:themeColor="text1"/>
                <w:sz w:val="10"/>
                <w:szCs w:val="10"/>
              </w:rPr>
            </w:pPr>
            <w:r w:rsidRPr="00FD54EA">
              <w:rPr>
                <w:color w:val="000000" w:themeColor="text1"/>
                <w:sz w:val="10"/>
                <w:szCs w:val="10"/>
              </w:rPr>
              <w:t>USD per person per year</w:t>
            </w:r>
          </w:p>
        </w:tc>
        <w:tc>
          <w:tcPr>
            <w:tcW w:w="5215" w:type="dxa"/>
            <w:shd w:val="clear" w:color="auto" w:fill="auto"/>
            <w:tcMar>
              <w:top w:w="40" w:type="dxa"/>
              <w:left w:w="40" w:type="dxa"/>
              <w:bottom w:w="40" w:type="dxa"/>
              <w:right w:w="40" w:type="dxa"/>
            </w:tcMar>
            <w:vAlign w:val="bottom"/>
          </w:tcPr>
          <w:p w14:paraId="2539718A" w14:textId="77777777" w:rsidR="00BE09F0" w:rsidRPr="00FD54EA" w:rsidRDefault="00FD54EA">
            <w:pPr>
              <w:widowControl w:val="0"/>
              <w:rPr>
                <w:color w:val="000000" w:themeColor="text1"/>
                <w:sz w:val="10"/>
                <w:szCs w:val="10"/>
              </w:rPr>
            </w:pPr>
            <w:r w:rsidRPr="00FD54EA">
              <w:rPr>
                <w:color w:val="000000" w:themeColor="text1"/>
                <w:sz w:val="10"/>
                <w:szCs w:val="10"/>
              </w:rPr>
              <w:t>Expenditures in USD05 MER per capita per year for agricultural commodities dedicated for food use, excluding the value-added in the supply chain. Estimated as the country-level per-capita food use multiplied with the shadow price (LaGrange Multiplier) of providing one additional unit of food in a world region.</w:t>
            </w:r>
          </w:p>
        </w:tc>
        <w:tc>
          <w:tcPr>
            <w:tcW w:w="1969" w:type="dxa"/>
            <w:shd w:val="clear" w:color="auto" w:fill="auto"/>
            <w:tcMar>
              <w:top w:w="40" w:type="dxa"/>
              <w:left w:w="40" w:type="dxa"/>
              <w:bottom w:w="40" w:type="dxa"/>
              <w:right w:w="40" w:type="dxa"/>
            </w:tcMar>
            <w:vAlign w:val="bottom"/>
          </w:tcPr>
          <w:p w14:paraId="27C57B20" w14:textId="77777777" w:rsidR="00BE09F0" w:rsidRPr="00FD54EA" w:rsidRDefault="00FD54EA">
            <w:pPr>
              <w:widowControl w:val="0"/>
              <w:rPr>
                <w:color w:val="000000" w:themeColor="text1"/>
                <w:sz w:val="10"/>
                <w:szCs w:val="10"/>
              </w:rPr>
            </w:pPr>
            <w:r w:rsidRPr="00FD54EA">
              <w:rPr>
                <w:color w:val="000000" w:themeColor="text1"/>
                <w:sz w:val="10"/>
                <w:szCs w:val="10"/>
              </w:rPr>
              <w:t>Country-level, for a specific year.</w:t>
            </w:r>
          </w:p>
        </w:tc>
      </w:tr>
      <w:tr w:rsidR="00FD54EA" w:rsidRPr="00FD54EA" w14:paraId="0994AF05" w14:textId="77777777" w:rsidTr="00F67720">
        <w:tc>
          <w:tcPr>
            <w:tcW w:w="1575" w:type="dxa"/>
            <w:shd w:val="clear" w:color="auto" w:fill="auto"/>
            <w:tcMar>
              <w:top w:w="40" w:type="dxa"/>
              <w:left w:w="40" w:type="dxa"/>
              <w:bottom w:w="40" w:type="dxa"/>
              <w:right w:w="40" w:type="dxa"/>
            </w:tcMar>
            <w:vAlign w:val="bottom"/>
          </w:tcPr>
          <w:p w14:paraId="54D4A519" w14:textId="77777777" w:rsidR="00BE09F0" w:rsidRPr="00FD54EA" w:rsidRDefault="00FD54EA">
            <w:pPr>
              <w:widowControl w:val="0"/>
              <w:rPr>
                <w:color w:val="000000" w:themeColor="text1"/>
                <w:sz w:val="10"/>
                <w:szCs w:val="10"/>
              </w:rPr>
            </w:pPr>
            <w:r w:rsidRPr="00FD54EA">
              <w:rPr>
                <w:color w:val="000000" w:themeColor="text1"/>
                <w:sz w:val="10"/>
                <w:szCs w:val="10"/>
              </w:rPr>
              <w:t>Poverty</w:t>
            </w:r>
          </w:p>
        </w:tc>
        <w:tc>
          <w:tcPr>
            <w:tcW w:w="1035" w:type="dxa"/>
            <w:shd w:val="clear" w:color="auto" w:fill="auto"/>
            <w:tcMar>
              <w:top w:w="40" w:type="dxa"/>
              <w:left w:w="40" w:type="dxa"/>
              <w:bottom w:w="40" w:type="dxa"/>
              <w:right w:w="40" w:type="dxa"/>
            </w:tcMar>
            <w:vAlign w:val="bottom"/>
          </w:tcPr>
          <w:p w14:paraId="7CCE9681" w14:textId="77777777" w:rsidR="00BE09F0" w:rsidRPr="00FD54EA" w:rsidRDefault="00FD54EA">
            <w:pPr>
              <w:widowControl w:val="0"/>
              <w:rPr>
                <w:color w:val="000000" w:themeColor="text1"/>
                <w:sz w:val="10"/>
                <w:szCs w:val="10"/>
              </w:rPr>
            </w:pPr>
            <w:r w:rsidRPr="00FD54EA">
              <w:rPr>
                <w:color w:val="000000" w:themeColor="text1"/>
                <w:sz w:val="10"/>
                <w:szCs w:val="10"/>
              </w:rPr>
              <w:t>Million people living below 3.20$ a day</w:t>
            </w:r>
          </w:p>
        </w:tc>
        <w:tc>
          <w:tcPr>
            <w:tcW w:w="5215" w:type="dxa"/>
            <w:shd w:val="clear" w:color="auto" w:fill="auto"/>
            <w:tcMar>
              <w:top w:w="40" w:type="dxa"/>
              <w:left w:w="40" w:type="dxa"/>
              <w:bottom w:w="40" w:type="dxa"/>
              <w:right w:w="40" w:type="dxa"/>
            </w:tcMar>
            <w:vAlign w:val="bottom"/>
          </w:tcPr>
          <w:p w14:paraId="1C70DEAF" w14:textId="77777777" w:rsidR="00BE09F0" w:rsidRPr="00FD54EA" w:rsidRDefault="00FD54EA">
            <w:pPr>
              <w:widowControl w:val="0"/>
              <w:rPr>
                <w:color w:val="000000" w:themeColor="text1"/>
                <w:sz w:val="10"/>
                <w:szCs w:val="10"/>
              </w:rPr>
            </w:pPr>
            <w:r w:rsidRPr="00FD54EA">
              <w:rPr>
                <w:color w:val="000000" w:themeColor="text1"/>
                <w:sz w:val="10"/>
                <w:szCs w:val="10"/>
              </w:rPr>
              <w:t>Number of people in millions with a per capita daily income below 3.20 USD11 PPP in each country, based on poverty lines estimated by the World Bank</w:t>
            </w:r>
          </w:p>
        </w:tc>
        <w:tc>
          <w:tcPr>
            <w:tcW w:w="1969" w:type="dxa"/>
            <w:shd w:val="clear" w:color="auto" w:fill="auto"/>
            <w:tcMar>
              <w:top w:w="40" w:type="dxa"/>
              <w:left w:w="40" w:type="dxa"/>
              <w:bottom w:w="40" w:type="dxa"/>
              <w:right w:w="40" w:type="dxa"/>
            </w:tcMar>
            <w:vAlign w:val="bottom"/>
          </w:tcPr>
          <w:p w14:paraId="311B90F4" w14:textId="77777777" w:rsidR="00BE09F0" w:rsidRPr="00FD54EA" w:rsidRDefault="00FD54EA">
            <w:pPr>
              <w:widowControl w:val="0"/>
              <w:rPr>
                <w:color w:val="000000" w:themeColor="text1"/>
                <w:sz w:val="10"/>
                <w:szCs w:val="10"/>
              </w:rPr>
            </w:pPr>
            <w:r w:rsidRPr="00FD54EA">
              <w:rPr>
                <w:color w:val="000000" w:themeColor="text1"/>
                <w:sz w:val="10"/>
                <w:szCs w:val="10"/>
              </w:rPr>
              <w:t>Country-level, for a specific year.</w:t>
            </w:r>
          </w:p>
        </w:tc>
      </w:tr>
      <w:tr w:rsidR="00FD54EA" w:rsidRPr="00FD54EA" w14:paraId="2A7AF031" w14:textId="77777777" w:rsidTr="00F67720">
        <w:tc>
          <w:tcPr>
            <w:tcW w:w="1575" w:type="dxa"/>
            <w:shd w:val="clear" w:color="auto" w:fill="auto"/>
            <w:tcMar>
              <w:top w:w="40" w:type="dxa"/>
              <w:left w:w="40" w:type="dxa"/>
              <w:bottom w:w="40" w:type="dxa"/>
              <w:right w:w="40" w:type="dxa"/>
            </w:tcMar>
            <w:vAlign w:val="bottom"/>
          </w:tcPr>
          <w:p w14:paraId="280B0625" w14:textId="77777777" w:rsidR="00BE09F0" w:rsidRPr="00FD54EA" w:rsidRDefault="00FD54EA">
            <w:pPr>
              <w:widowControl w:val="0"/>
              <w:rPr>
                <w:color w:val="000000" w:themeColor="text1"/>
                <w:sz w:val="10"/>
                <w:szCs w:val="10"/>
              </w:rPr>
            </w:pPr>
            <w:r w:rsidRPr="00FD54EA">
              <w:rPr>
                <w:color w:val="000000" w:themeColor="text1"/>
                <w:sz w:val="10"/>
                <w:szCs w:val="10"/>
              </w:rPr>
              <w:t>Agricultural Employment</w:t>
            </w:r>
          </w:p>
        </w:tc>
        <w:tc>
          <w:tcPr>
            <w:tcW w:w="1035" w:type="dxa"/>
            <w:shd w:val="clear" w:color="auto" w:fill="auto"/>
            <w:tcMar>
              <w:top w:w="40" w:type="dxa"/>
              <w:left w:w="40" w:type="dxa"/>
              <w:bottom w:w="40" w:type="dxa"/>
              <w:right w:w="40" w:type="dxa"/>
            </w:tcMar>
            <w:vAlign w:val="bottom"/>
          </w:tcPr>
          <w:p w14:paraId="49F77D2D" w14:textId="77777777" w:rsidR="00BE09F0" w:rsidRPr="00FD54EA" w:rsidRDefault="00FD54EA">
            <w:pPr>
              <w:widowControl w:val="0"/>
              <w:rPr>
                <w:color w:val="000000" w:themeColor="text1"/>
                <w:sz w:val="10"/>
                <w:szCs w:val="10"/>
              </w:rPr>
            </w:pPr>
            <w:r w:rsidRPr="00FD54EA">
              <w:rPr>
                <w:color w:val="000000" w:themeColor="text1"/>
                <w:sz w:val="10"/>
                <w:szCs w:val="10"/>
              </w:rPr>
              <w:t>Million people</w:t>
            </w:r>
          </w:p>
        </w:tc>
        <w:tc>
          <w:tcPr>
            <w:tcW w:w="5215" w:type="dxa"/>
            <w:shd w:val="clear" w:color="auto" w:fill="auto"/>
            <w:tcMar>
              <w:top w:w="40" w:type="dxa"/>
              <w:left w:w="40" w:type="dxa"/>
              <w:bottom w:w="40" w:type="dxa"/>
              <w:right w:w="40" w:type="dxa"/>
            </w:tcMar>
            <w:vAlign w:val="bottom"/>
          </w:tcPr>
          <w:p w14:paraId="368A08FB" w14:textId="77777777" w:rsidR="00BE09F0" w:rsidRPr="00FD54EA" w:rsidRDefault="00FD54EA">
            <w:pPr>
              <w:widowControl w:val="0"/>
              <w:rPr>
                <w:color w:val="000000" w:themeColor="text1"/>
                <w:sz w:val="10"/>
                <w:szCs w:val="10"/>
              </w:rPr>
            </w:pPr>
            <w:r w:rsidRPr="00FD54EA">
              <w:rPr>
                <w:color w:val="000000" w:themeColor="text1"/>
                <w:sz w:val="10"/>
                <w:szCs w:val="10"/>
              </w:rPr>
              <w:t>People working in agriculture (crop and livestock production), in million people</w:t>
            </w:r>
          </w:p>
        </w:tc>
        <w:tc>
          <w:tcPr>
            <w:tcW w:w="1969" w:type="dxa"/>
            <w:shd w:val="clear" w:color="auto" w:fill="auto"/>
            <w:tcMar>
              <w:top w:w="40" w:type="dxa"/>
              <w:left w:w="40" w:type="dxa"/>
              <w:bottom w:w="40" w:type="dxa"/>
              <w:right w:w="40" w:type="dxa"/>
            </w:tcMar>
            <w:vAlign w:val="bottom"/>
          </w:tcPr>
          <w:p w14:paraId="688752A8" w14:textId="77777777" w:rsidR="00BE09F0" w:rsidRPr="00FD54EA" w:rsidRDefault="00FD54EA">
            <w:pPr>
              <w:widowControl w:val="0"/>
              <w:rPr>
                <w:color w:val="000000" w:themeColor="text1"/>
                <w:sz w:val="10"/>
                <w:szCs w:val="10"/>
              </w:rPr>
            </w:pPr>
            <w:r w:rsidRPr="00FD54EA">
              <w:rPr>
                <w:color w:val="000000" w:themeColor="text1"/>
                <w:sz w:val="10"/>
                <w:szCs w:val="10"/>
              </w:rPr>
              <w:t>World region level, for a specific year.</w:t>
            </w:r>
          </w:p>
        </w:tc>
      </w:tr>
      <w:tr w:rsidR="00FD54EA" w:rsidRPr="00FD54EA" w14:paraId="2FFE5659" w14:textId="77777777" w:rsidTr="00F67720">
        <w:tc>
          <w:tcPr>
            <w:tcW w:w="1575" w:type="dxa"/>
            <w:shd w:val="clear" w:color="auto" w:fill="auto"/>
            <w:tcMar>
              <w:top w:w="40" w:type="dxa"/>
              <w:left w:w="40" w:type="dxa"/>
              <w:bottom w:w="40" w:type="dxa"/>
              <w:right w:w="40" w:type="dxa"/>
            </w:tcMar>
            <w:vAlign w:val="bottom"/>
          </w:tcPr>
          <w:p w14:paraId="495D56A0" w14:textId="77777777" w:rsidR="00BE09F0" w:rsidRPr="00FD54EA" w:rsidRDefault="00FD54EA">
            <w:pPr>
              <w:widowControl w:val="0"/>
              <w:rPr>
                <w:color w:val="000000" w:themeColor="text1"/>
                <w:sz w:val="10"/>
                <w:szCs w:val="10"/>
              </w:rPr>
            </w:pPr>
            <w:r w:rsidRPr="00FD54EA">
              <w:rPr>
                <w:color w:val="000000" w:themeColor="text1"/>
                <w:sz w:val="10"/>
                <w:szCs w:val="10"/>
              </w:rPr>
              <w:t>Agricultural Wages</w:t>
            </w:r>
          </w:p>
        </w:tc>
        <w:tc>
          <w:tcPr>
            <w:tcW w:w="1035" w:type="dxa"/>
            <w:shd w:val="clear" w:color="auto" w:fill="auto"/>
            <w:tcMar>
              <w:top w:w="40" w:type="dxa"/>
              <w:left w:w="40" w:type="dxa"/>
              <w:bottom w:w="40" w:type="dxa"/>
              <w:right w:w="40" w:type="dxa"/>
            </w:tcMar>
            <w:vAlign w:val="bottom"/>
          </w:tcPr>
          <w:p w14:paraId="1CD11543" w14:textId="77777777" w:rsidR="00BE09F0" w:rsidRPr="00FD54EA" w:rsidRDefault="00FD54EA">
            <w:pPr>
              <w:widowControl w:val="0"/>
              <w:rPr>
                <w:color w:val="000000" w:themeColor="text1"/>
                <w:sz w:val="10"/>
                <w:szCs w:val="10"/>
              </w:rPr>
            </w:pPr>
            <w:r w:rsidRPr="00FD54EA">
              <w:rPr>
                <w:color w:val="000000" w:themeColor="text1"/>
                <w:sz w:val="10"/>
                <w:szCs w:val="10"/>
              </w:rPr>
              <w:t>Index relative to 2020</w:t>
            </w:r>
          </w:p>
        </w:tc>
        <w:tc>
          <w:tcPr>
            <w:tcW w:w="5215" w:type="dxa"/>
            <w:shd w:val="clear" w:color="auto" w:fill="auto"/>
            <w:tcMar>
              <w:top w:w="40" w:type="dxa"/>
              <w:left w:w="40" w:type="dxa"/>
              <w:bottom w:w="40" w:type="dxa"/>
              <w:right w:w="40" w:type="dxa"/>
            </w:tcMar>
            <w:vAlign w:val="bottom"/>
          </w:tcPr>
          <w:p w14:paraId="1C297CB7" w14:textId="77777777" w:rsidR="00BE09F0" w:rsidRPr="00FD54EA" w:rsidRDefault="00FD54EA">
            <w:pPr>
              <w:widowControl w:val="0"/>
              <w:rPr>
                <w:color w:val="000000" w:themeColor="text1"/>
                <w:sz w:val="10"/>
                <w:szCs w:val="10"/>
              </w:rPr>
            </w:pPr>
            <w:r w:rsidRPr="00FD54EA">
              <w:rPr>
                <w:color w:val="000000" w:themeColor="text1"/>
                <w:sz w:val="10"/>
                <w:szCs w:val="10"/>
              </w:rPr>
              <w:t>Index describing the development of wages relative to 2020, ratio. As wages we define the mean nominal hourly labor cost per employee, including e.g. remuneration of work performed and payment in kind, social security expenditures and welfare services.</w:t>
            </w:r>
          </w:p>
        </w:tc>
        <w:tc>
          <w:tcPr>
            <w:tcW w:w="1969" w:type="dxa"/>
            <w:shd w:val="clear" w:color="auto" w:fill="auto"/>
            <w:tcMar>
              <w:top w:w="40" w:type="dxa"/>
              <w:left w:w="40" w:type="dxa"/>
              <w:bottom w:w="40" w:type="dxa"/>
              <w:right w:w="40" w:type="dxa"/>
            </w:tcMar>
            <w:vAlign w:val="bottom"/>
          </w:tcPr>
          <w:p w14:paraId="7EA235FE" w14:textId="77777777" w:rsidR="00BE09F0" w:rsidRPr="00FD54EA" w:rsidRDefault="00FD54EA">
            <w:pPr>
              <w:widowControl w:val="0"/>
              <w:rPr>
                <w:color w:val="000000" w:themeColor="text1"/>
                <w:sz w:val="10"/>
                <w:szCs w:val="10"/>
              </w:rPr>
            </w:pPr>
            <w:r w:rsidRPr="00FD54EA">
              <w:rPr>
                <w:color w:val="000000" w:themeColor="text1"/>
                <w:sz w:val="10"/>
                <w:szCs w:val="10"/>
              </w:rPr>
              <w:t>Country-level, for a specific year. Aggregation to global level using constant 2010 country-level population data.</w:t>
            </w:r>
          </w:p>
        </w:tc>
      </w:tr>
      <w:tr w:rsidR="00FD54EA" w:rsidRPr="00FD54EA" w14:paraId="4C88D7BD" w14:textId="77777777" w:rsidTr="00F67720">
        <w:tc>
          <w:tcPr>
            <w:tcW w:w="1575" w:type="dxa"/>
            <w:shd w:val="clear" w:color="auto" w:fill="auto"/>
            <w:tcMar>
              <w:top w:w="40" w:type="dxa"/>
              <w:left w:w="40" w:type="dxa"/>
              <w:bottom w:w="40" w:type="dxa"/>
              <w:right w:w="40" w:type="dxa"/>
            </w:tcMar>
            <w:vAlign w:val="bottom"/>
          </w:tcPr>
          <w:p w14:paraId="4B435E96" w14:textId="77777777" w:rsidR="00BE09F0" w:rsidRPr="00FD54EA" w:rsidRDefault="00FD54EA">
            <w:pPr>
              <w:widowControl w:val="0"/>
              <w:rPr>
                <w:color w:val="000000" w:themeColor="text1"/>
                <w:sz w:val="10"/>
                <w:szCs w:val="10"/>
              </w:rPr>
            </w:pPr>
            <w:r w:rsidRPr="00FD54EA">
              <w:rPr>
                <w:color w:val="000000" w:themeColor="text1"/>
                <w:sz w:val="10"/>
                <w:szCs w:val="10"/>
              </w:rPr>
              <w:t>Bioeconomy Supply</w:t>
            </w:r>
          </w:p>
        </w:tc>
        <w:tc>
          <w:tcPr>
            <w:tcW w:w="1035" w:type="dxa"/>
            <w:shd w:val="clear" w:color="auto" w:fill="auto"/>
            <w:tcMar>
              <w:top w:w="40" w:type="dxa"/>
              <w:left w:w="40" w:type="dxa"/>
              <w:bottom w:w="40" w:type="dxa"/>
              <w:right w:w="40" w:type="dxa"/>
            </w:tcMar>
            <w:vAlign w:val="bottom"/>
          </w:tcPr>
          <w:p w14:paraId="72907A8E" w14:textId="77777777" w:rsidR="00BE09F0" w:rsidRPr="00FD54EA" w:rsidRDefault="00FD54EA">
            <w:pPr>
              <w:widowControl w:val="0"/>
              <w:rPr>
                <w:color w:val="000000" w:themeColor="text1"/>
                <w:sz w:val="10"/>
                <w:szCs w:val="10"/>
              </w:rPr>
            </w:pPr>
            <w:r w:rsidRPr="00FD54EA">
              <w:rPr>
                <w:color w:val="000000" w:themeColor="text1"/>
                <w:sz w:val="10"/>
                <w:szCs w:val="10"/>
              </w:rPr>
              <w:t>Billion USD05/yr</w:t>
            </w:r>
          </w:p>
        </w:tc>
        <w:tc>
          <w:tcPr>
            <w:tcW w:w="5215" w:type="dxa"/>
            <w:shd w:val="clear" w:color="auto" w:fill="auto"/>
            <w:tcMar>
              <w:top w:w="40" w:type="dxa"/>
              <w:left w:w="40" w:type="dxa"/>
              <w:bottom w:w="40" w:type="dxa"/>
              <w:right w:w="40" w:type="dxa"/>
            </w:tcMar>
            <w:vAlign w:val="bottom"/>
          </w:tcPr>
          <w:p w14:paraId="2BBA802A" w14:textId="77777777" w:rsidR="00BE09F0" w:rsidRPr="00FD54EA" w:rsidRDefault="00FD54EA">
            <w:pPr>
              <w:widowControl w:val="0"/>
              <w:rPr>
                <w:color w:val="000000" w:themeColor="text1"/>
                <w:sz w:val="10"/>
                <w:szCs w:val="10"/>
              </w:rPr>
            </w:pPr>
            <w:r w:rsidRPr="00FD54EA">
              <w:rPr>
                <w:color w:val="000000" w:themeColor="text1"/>
                <w:sz w:val="10"/>
                <w:szCs w:val="10"/>
              </w:rPr>
              <w:t>Value stream from food and land system to other economic sectors, including the value of bioenergy, bioplastics, timber and material use of products at fixed prices of 2010. Food demand is considered internal to food system.</w:t>
            </w:r>
          </w:p>
        </w:tc>
        <w:tc>
          <w:tcPr>
            <w:tcW w:w="1969" w:type="dxa"/>
            <w:shd w:val="clear" w:color="auto" w:fill="auto"/>
            <w:tcMar>
              <w:top w:w="40" w:type="dxa"/>
              <w:left w:w="40" w:type="dxa"/>
              <w:bottom w:w="40" w:type="dxa"/>
              <w:right w:w="40" w:type="dxa"/>
            </w:tcMar>
            <w:vAlign w:val="bottom"/>
          </w:tcPr>
          <w:p w14:paraId="2CD3985C" w14:textId="77777777" w:rsidR="00BE09F0" w:rsidRPr="00FD54EA" w:rsidRDefault="00FD54EA">
            <w:pPr>
              <w:widowControl w:val="0"/>
              <w:rPr>
                <w:color w:val="000000" w:themeColor="text1"/>
                <w:sz w:val="10"/>
                <w:szCs w:val="10"/>
              </w:rPr>
            </w:pPr>
            <w:r w:rsidRPr="00FD54EA">
              <w:rPr>
                <w:color w:val="000000" w:themeColor="text1"/>
                <w:sz w:val="10"/>
                <w:szCs w:val="10"/>
              </w:rPr>
              <w:t>World region level, for a specific year.</w:t>
            </w:r>
          </w:p>
        </w:tc>
      </w:tr>
      <w:tr w:rsidR="00FD54EA" w:rsidRPr="00FD54EA" w14:paraId="78D7DD6D" w14:textId="77777777" w:rsidTr="00F67720">
        <w:tc>
          <w:tcPr>
            <w:tcW w:w="1575" w:type="dxa"/>
            <w:shd w:val="clear" w:color="auto" w:fill="auto"/>
            <w:tcMar>
              <w:top w:w="40" w:type="dxa"/>
              <w:left w:w="40" w:type="dxa"/>
              <w:bottom w:w="40" w:type="dxa"/>
              <w:right w:w="40" w:type="dxa"/>
            </w:tcMar>
            <w:vAlign w:val="bottom"/>
          </w:tcPr>
          <w:p w14:paraId="38C95117" w14:textId="77777777" w:rsidR="00BE09F0" w:rsidRPr="00FD54EA" w:rsidRDefault="00FD54EA">
            <w:pPr>
              <w:widowControl w:val="0"/>
              <w:rPr>
                <w:color w:val="000000" w:themeColor="text1"/>
                <w:sz w:val="10"/>
                <w:szCs w:val="10"/>
              </w:rPr>
            </w:pPr>
            <w:r w:rsidRPr="00FD54EA">
              <w:rPr>
                <w:color w:val="000000" w:themeColor="text1"/>
                <w:sz w:val="10"/>
                <w:szCs w:val="10"/>
              </w:rPr>
              <w:t>Production Costs</w:t>
            </w:r>
          </w:p>
        </w:tc>
        <w:tc>
          <w:tcPr>
            <w:tcW w:w="1035" w:type="dxa"/>
            <w:shd w:val="clear" w:color="auto" w:fill="auto"/>
            <w:tcMar>
              <w:top w:w="40" w:type="dxa"/>
              <w:left w:w="40" w:type="dxa"/>
              <w:bottom w:w="40" w:type="dxa"/>
              <w:right w:w="40" w:type="dxa"/>
            </w:tcMar>
            <w:vAlign w:val="bottom"/>
          </w:tcPr>
          <w:p w14:paraId="1E38BA9F" w14:textId="77777777" w:rsidR="00BE09F0" w:rsidRPr="00FD54EA" w:rsidRDefault="00FD54EA">
            <w:pPr>
              <w:widowControl w:val="0"/>
              <w:rPr>
                <w:color w:val="000000" w:themeColor="text1"/>
                <w:sz w:val="10"/>
                <w:szCs w:val="10"/>
              </w:rPr>
            </w:pPr>
            <w:r w:rsidRPr="00FD54EA">
              <w:rPr>
                <w:color w:val="000000" w:themeColor="text1"/>
                <w:sz w:val="10"/>
                <w:szCs w:val="10"/>
              </w:rPr>
              <w:t>Billion USD05/yr</w:t>
            </w:r>
          </w:p>
        </w:tc>
        <w:tc>
          <w:tcPr>
            <w:tcW w:w="5215" w:type="dxa"/>
            <w:shd w:val="clear" w:color="auto" w:fill="auto"/>
            <w:tcMar>
              <w:top w:w="40" w:type="dxa"/>
              <w:left w:w="40" w:type="dxa"/>
              <w:bottom w:w="40" w:type="dxa"/>
              <w:right w:w="40" w:type="dxa"/>
            </w:tcMar>
            <w:vAlign w:val="bottom"/>
          </w:tcPr>
          <w:p w14:paraId="015C2262" w14:textId="77777777" w:rsidR="00BE09F0" w:rsidRPr="00FD54EA" w:rsidRDefault="00FD54EA">
            <w:pPr>
              <w:widowControl w:val="0"/>
              <w:rPr>
                <w:color w:val="000000" w:themeColor="text1"/>
                <w:sz w:val="10"/>
                <w:szCs w:val="10"/>
              </w:rPr>
            </w:pPr>
            <w:r w:rsidRPr="00FD54EA">
              <w:rPr>
                <w:color w:val="000000" w:themeColor="text1"/>
                <w:sz w:val="10"/>
                <w:szCs w:val="10"/>
              </w:rPr>
              <w:t>Value stream from other economic sectors to food and land system, including labor and capital for agricultural production, R&amp;D expenditures, land expansion expenditures, transport costs, in USD05MER/year. Rents, e.g. land scarcity rents or water scarcity rents, are excluded from costs as they are a transfer payment. Similarly, the difference between minimum wage and labor productivty is excluded as a transfer payment which does not reduce the production capacity of the country.</w:t>
            </w:r>
          </w:p>
        </w:tc>
        <w:tc>
          <w:tcPr>
            <w:tcW w:w="1969" w:type="dxa"/>
            <w:shd w:val="clear" w:color="auto" w:fill="auto"/>
            <w:tcMar>
              <w:top w:w="40" w:type="dxa"/>
              <w:left w:w="40" w:type="dxa"/>
              <w:bottom w:w="40" w:type="dxa"/>
              <w:right w:w="40" w:type="dxa"/>
            </w:tcMar>
            <w:vAlign w:val="bottom"/>
          </w:tcPr>
          <w:p w14:paraId="469FBB0E" w14:textId="77777777" w:rsidR="00BE09F0" w:rsidRPr="00FD54EA" w:rsidRDefault="00FD54EA">
            <w:pPr>
              <w:widowControl w:val="0"/>
              <w:rPr>
                <w:color w:val="000000" w:themeColor="text1"/>
                <w:sz w:val="10"/>
                <w:szCs w:val="10"/>
              </w:rPr>
            </w:pPr>
            <w:r w:rsidRPr="00FD54EA">
              <w:rPr>
                <w:color w:val="000000" w:themeColor="text1"/>
                <w:sz w:val="10"/>
                <w:szCs w:val="10"/>
              </w:rPr>
              <w:t>World region level, for a specific year.</w:t>
            </w:r>
          </w:p>
        </w:tc>
      </w:tr>
    </w:tbl>
    <w:p w14:paraId="0C56A5FF" w14:textId="77777777" w:rsidR="00BE09F0" w:rsidRPr="00FD54EA" w:rsidRDefault="00FD54EA">
      <w:pPr>
        <w:pStyle w:val="Heading6"/>
        <w:rPr>
          <w:color w:val="000000" w:themeColor="text1"/>
        </w:rPr>
      </w:pPr>
      <w:bookmarkStart w:id="11" w:name="_urret2782ak0" w:colFirst="0" w:colLast="0"/>
      <w:bookmarkEnd w:id="11"/>
      <w:r w:rsidRPr="00FD54EA">
        <w:rPr>
          <w:color w:val="000000" w:themeColor="text1"/>
        </w:rPr>
        <w:t>Extended Data Table 2: Food system outcome indicators</w:t>
      </w:r>
    </w:p>
    <w:p w14:paraId="732AE3CD" w14:textId="77777777" w:rsidR="00BE09F0" w:rsidRPr="00FD54EA" w:rsidRDefault="00BE09F0">
      <w:pPr>
        <w:rPr>
          <w:color w:val="000000" w:themeColor="text1"/>
        </w:rPr>
      </w:pPr>
    </w:p>
    <w:p w14:paraId="4F722A34" w14:textId="77777777" w:rsidR="00BE09F0" w:rsidRPr="00FD54EA" w:rsidRDefault="00BE09F0">
      <w:pPr>
        <w:rPr>
          <w:color w:val="000000" w:themeColor="text1"/>
        </w:rPr>
      </w:pPr>
    </w:p>
    <w:p w14:paraId="69C9FB1C" w14:textId="77777777" w:rsidR="00F83A7D" w:rsidRDefault="00F83A7D">
      <w:pPr>
        <w:rPr>
          <w:color w:val="000000" w:themeColor="text1"/>
          <w:sz w:val="32"/>
          <w:szCs w:val="32"/>
        </w:rPr>
      </w:pPr>
      <w:bookmarkStart w:id="12" w:name="_nuxxko2y6f6f" w:colFirst="0" w:colLast="0"/>
      <w:bookmarkStart w:id="13" w:name="_skix48hsfwci" w:colFirst="0" w:colLast="0"/>
      <w:bookmarkStart w:id="14" w:name="_85nxhgvzl83c" w:colFirst="0" w:colLast="0"/>
      <w:bookmarkEnd w:id="12"/>
      <w:bookmarkEnd w:id="13"/>
      <w:bookmarkEnd w:id="14"/>
      <w:r>
        <w:rPr>
          <w:color w:val="000000" w:themeColor="text1"/>
        </w:rPr>
        <w:br w:type="page"/>
      </w:r>
    </w:p>
    <w:p w14:paraId="0A0C7722" w14:textId="77777777" w:rsidR="006A3FE1" w:rsidRPr="006A3FE1" w:rsidRDefault="006A3FE1" w:rsidP="006A3FE1"/>
    <w:p w14:paraId="6B7993C9" w14:textId="0AE0BF7D" w:rsidR="006A3FE1" w:rsidRDefault="006A3FE1">
      <w:pPr>
        <w:rPr>
          <w:color w:val="000000" w:themeColor="text1"/>
          <w:sz w:val="40"/>
          <w:szCs w:val="40"/>
        </w:rPr>
      </w:pPr>
      <w:bookmarkStart w:id="15" w:name="_seuicngo9pi6" w:colFirst="0" w:colLast="0"/>
      <w:bookmarkEnd w:id="15"/>
    </w:p>
    <w:sectPr w:rsidR="006A3FE1">
      <w:headerReference w:type="default" r:id="rId13"/>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439705" w14:textId="77777777" w:rsidR="00D33A8D" w:rsidRDefault="00D33A8D">
      <w:pPr>
        <w:spacing w:line="240" w:lineRule="auto"/>
      </w:pPr>
      <w:r>
        <w:separator/>
      </w:r>
    </w:p>
  </w:endnote>
  <w:endnote w:type="continuationSeparator" w:id="0">
    <w:p w14:paraId="7C70FB37" w14:textId="77777777" w:rsidR="00D33A8D" w:rsidRDefault="00D33A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3AB163" w14:textId="77777777" w:rsidR="009E54D2" w:rsidRDefault="009E54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FB36CC" w14:textId="77777777" w:rsidR="00D33A8D" w:rsidRDefault="00D33A8D">
      <w:pPr>
        <w:spacing w:line="240" w:lineRule="auto"/>
      </w:pPr>
      <w:r>
        <w:separator/>
      </w:r>
    </w:p>
  </w:footnote>
  <w:footnote w:type="continuationSeparator" w:id="0">
    <w:p w14:paraId="51EE133E" w14:textId="77777777" w:rsidR="00D33A8D" w:rsidRDefault="00D33A8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2E7311" w14:textId="77777777" w:rsidR="009E54D2" w:rsidRDefault="009E54D2">
    <w:pPr>
      <w:pStyle w:val="Heading6"/>
      <w:spacing w:after="240"/>
    </w:pPr>
    <w:bookmarkStart w:id="16" w:name="_8kjmrjrzjp46" w:colFirst="0" w:colLast="0"/>
    <w:bookmarkEnd w:id="16"/>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0F16B0"/>
    <w:multiLevelType w:val="multilevel"/>
    <w:tmpl w:val="0950C4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9A50EE4"/>
    <w:multiLevelType w:val="multilevel"/>
    <w:tmpl w:val="0BB6CB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6CD74788"/>
    <w:multiLevelType w:val="multilevel"/>
    <w:tmpl w:val="0950C4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75965A3"/>
    <w:multiLevelType w:val="multilevel"/>
    <w:tmpl w:val="E05251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09F0"/>
    <w:rsid w:val="000953B6"/>
    <w:rsid w:val="000B076D"/>
    <w:rsid w:val="000C67EE"/>
    <w:rsid w:val="000D23A4"/>
    <w:rsid w:val="001B2B1E"/>
    <w:rsid w:val="00211A5C"/>
    <w:rsid w:val="00264F1B"/>
    <w:rsid w:val="00267872"/>
    <w:rsid w:val="002A3E5C"/>
    <w:rsid w:val="002B05DD"/>
    <w:rsid w:val="002B0925"/>
    <w:rsid w:val="003B2BD6"/>
    <w:rsid w:val="00421CC6"/>
    <w:rsid w:val="00482BDF"/>
    <w:rsid w:val="004A1607"/>
    <w:rsid w:val="004B0EE1"/>
    <w:rsid w:val="00521F5E"/>
    <w:rsid w:val="00527379"/>
    <w:rsid w:val="00581575"/>
    <w:rsid w:val="00605D53"/>
    <w:rsid w:val="006A3FE1"/>
    <w:rsid w:val="006D3C7C"/>
    <w:rsid w:val="00742444"/>
    <w:rsid w:val="007F2C7E"/>
    <w:rsid w:val="0089184C"/>
    <w:rsid w:val="008B6587"/>
    <w:rsid w:val="008D0B2E"/>
    <w:rsid w:val="00960DD2"/>
    <w:rsid w:val="009A3A9A"/>
    <w:rsid w:val="009B5957"/>
    <w:rsid w:val="009E54D2"/>
    <w:rsid w:val="00A01D99"/>
    <w:rsid w:val="00B17538"/>
    <w:rsid w:val="00BE09F0"/>
    <w:rsid w:val="00BF080A"/>
    <w:rsid w:val="00C30442"/>
    <w:rsid w:val="00C727F9"/>
    <w:rsid w:val="00C9024C"/>
    <w:rsid w:val="00CF02C0"/>
    <w:rsid w:val="00D33A8D"/>
    <w:rsid w:val="00DC6222"/>
    <w:rsid w:val="00DD0DF7"/>
    <w:rsid w:val="00E17CC5"/>
    <w:rsid w:val="00E25F4A"/>
    <w:rsid w:val="00E37C8B"/>
    <w:rsid w:val="00EB72E2"/>
    <w:rsid w:val="00ED7D22"/>
    <w:rsid w:val="00F67720"/>
    <w:rsid w:val="00F83A7D"/>
    <w:rsid w:val="00F85F74"/>
    <w:rsid w:val="00F92E06"/>
    <w:rsid w:val="00FC7BFD"/>
    <w:rsid w:val="00FD54EA"/>
    <w:rsid w:val="00FD781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DD8C5"/>
  <w15:docId w15:val="{417A5F01-9614-429D-940C-A31D3A237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D54E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54E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D3C7C"/>
    <w:rPr>
      <w:b/>
      <w:bCs/>
    </w:rPr>
  </w:style>
  <w:style w:type="character" w:customStyle="1" w:styleId="CommentSubjectChar">
    <w:name w:val="Comment Subject Char"/>
    <w:basedOn w:val="CommentTextChar"/>
    <w:link w:val="CommentSubject"/>
    <w:uiPriority w:val="99"/>
    <w:semiHidden/>
    <w:rsid w:val="006D3C7C"/>
    <w:rPr>
      <w:b/>
      <w:bCs/>
      <w:sz w:val="20"/>
      <w:szCs w:val="20"/>
    </w:rPr>
  </w:style>
  <w:style w:type="paragraph" w:styleId="Bibliography">
    <w:name w:val="Bibliography"/>
    <w:basedOn w:val="Normal"/>
    <w:next w:val="Normal"/>
    <w:uiPriority w:val="37"/>
    <w:unhideWhenUsed/>
    <w:rsid w:val="00DD0DF7"/>
    <w:pPr>
      <w:tabs>
        <w:tab w:val="left" w:pos="384"/>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BFCE64-145C-4F54-BD2C-4CC39E344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14874</Words>
  <Characters>84788</Characters>
  <Application>Microsoft Office Word</Application>
  <DocSecurity>0</DocSecurity>
  <Lines>706</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 Bodirsky</dc:creator>
  <cp:lastModifiedBy>Nilesh Nawale</cp:lastModifiedBy>
  <cp:revision>2</cp:revision>
  <dcterms:created xsi:type="dcterms:W3CDTF">2023-06-21T04:08:00Z</dcterms:created>
  <dcterms:modified xsi:type="dcterms:W3CDTF">2023-06-21T04:08:00Z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id="jXev9ZQ6"/&gt;&lt;style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