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AF7D7" w14:textId="519ECF18" w:rsidR="00BE09F0" w:rsidRDefault="00FD54EA">
      <w:pPr>
        <w:pStyle w:val="Heading1"/>
        <w:rPr>
          <w:color w:val="000000" w:themeColor="text1"/>
        </w:rPr>
      </w:pPr>
      <w:bookmarkStart w:id="0" w:name="_GoBack"/>
      <w:bookmarkEnd w:id="0"/>
      <w:r w:rsidRPr="00FD54EA">
        <w:rPr>
          <w:color w:val="000000" w:themeColor="text1"/>
        </w:rPr>
        <w:t>Supplementary Information</w:t>
      </w:r>
      <w:r w:rsidR="00C30442">
        <w:rPr>
          <w:color w:val="000000" w:themeColor="text1"/>
        </w:rPr>
        <w:t xml:space="preserve"> for the Article</w:t>
      </w:r>
    </w:p>
    <w:p w14:paraId="6A509831" w14:textId="77777777" w:rsidR="00C30442" w:rsidRPr="00FD54EA" w:rsidRDefault="00C30442" w:rsidP="00C30442">
      <w:pPr>
        <w:rPr>
          <w:color w:val="000000" w:themeColor="text1"/>
        </w:rPr>
      </w:pPr>
      <w:r w:rsidRPr="00FD54EA">
        <w:rPr>
          <w:color w:val="000000" w:themeColor="text1"/>
          <w:sz w:val="52"/>
          <w:szCs w:val="52"/>
        </w:rPr>
        <w:t>A food system transformation can enhance global health, environmental conditions and social inclusion</w:t>
      </w:r>
    </w:p>
    <w:p w14:paraId="30EB878A" w14:textId="77777777" w:rsidR="00C30442" w:rsidRPr="00FD54EA" w:rsidRDefault="00C30442" w:rsidP="00C30442">
      <w:pPr>
        <w:rPr>
          <w:color w:val="000000" w:themeColor="text1"/>
        </w:rPr>
      </w:pPr>
      <w:r w:rsidRPr="00FD54EA">
        <w:rPr>
          <w:color w:val="000000" w:themeColor="text1"/>
        </w:rPr>
        <w:br/>
        <w:t>Benjamin Leon Bodirsky</w:t>
      </w:r>
      <w:r w:rsidRPr="00FD54EA">
        <w:rPr>
          <w:color w:val="000000" w:themeColor="text1"/>
          <w:vertAlign w:val="superscript"/>
        </w:rPr>
        <w:t>1,2</w:t>
      </w:r>
      <w:r w:rsidRPr="00FD54EA">
        <w:rPr>
          <w:color w:val="000000" w:themeColor="text1"/>
        </w:rPr>
        <w:t>, Felicitas Beier</w:t>
      </w:r>
      <w:r w:rsidRPr="00FD54EA">
        <w:rPr>
          <w:color w:val="000000" w:themeColor="text1"/>
          <w:vertAlign w:val="superscript"/>
        </w:rPr>
        <w:t>1,3</w:t>
      </w:r>
      <w:r w:rsidRPr="00FD54EA">
        <w:rPr>
          <w:color w:val="000000" w:themeColor="text1"/>
        </w:rPr>
        <w:t>, Florian Humpenöder</w:t>
      </w:r>
      <w:r w:rsidRPr="00FD54EA">
        <w:rPr>
          <w:color w:val="000000" w:themeColor="text1"/>
          <w:vertAlign w:val="superscript"/>
        </w:rPr>
        <w:t>1</w:t>
      </w:r>
      <w:r w:rsidRPr="00FD54EA">
        <w:rPr>
          <w:color w:val="000000" w:themeColor="text1"/>
        </w:rPr>
        <w:t xml:space="preserve">, </w:t>
      </w:r>
      <w:proofErr w:type="spellStart"/>
      <w:r w:rsidRPr="00FD54EA">
        <w:rPr>
          <w:color w:val="000000" w:themeColor="text1"/>
        </w:rPr>
        <w:t>Debbora</w:t>
      </w:r>
      <w:proofErr w:type="spellEnd"/>
      <w:r w:rsidRPr="00FD54EA">
        <w:rPr>
          <w:color w:val="000000" w:themeColor="text1"/>
        </w:rPr>
        <w:t xml:space="preserve"> Leip</w:t>
      </w:r>
      <w:r w:rsidRPr="00FD54EA">
        <w:rPr>
          <w:color w:val="000000" w:themeColor="text1"/>
          <w:vertAlign w:val="superscript"/>
        </w:rPr>
        <w:t>1,3</w:t>
      </w:r>
      <w:r w:rsidRPr="00FD54EA">
        <w:rPr>
          <w:color w:val="000000" w:themeColor="text1"/>
        </w:rPr>
        <w:t>, Michael Crawford</w:t>
      </w:r>
      <w:r w:rsidRPr="00FD54EA">
        <w:rPr>
          <w:color w:val="000000" w:themeColor="text1"/>
          <w:vertAlign w:val="superscript"/>
        </w:rPr>
        <w:t>1</w:t>
      </w:r>
      <w:r w:rsidRPr="00FD54EA">
        <w:rPr>
          <w:color w:val="000000" w:themeColor="text1"/>
        </w:rPr>
        <w:t>, David Meng-</w:t>
      </w:r>
      <w:proofErr w:type="spellStart"/>
      <w:r w:rsidRPr="00FD54EA">
        <w:rPr>
          <w:color w:val="000000" w:themeColor="text1"/>
        </w:rPr>
        <w:t>Chuen</w:t>
      </w:r>
      <w:proofErr w:type="spellEnd"/>
      <w:r w:rsidRPr="00FD54EA">
        <w:rPr>
          <w:color w:val="000000" w:themeColor="text1"/>
        </w:rPr>
        <w:t xml:space="preserve"> Chen</w:t>
      </w:r>
      <w:r w:rsidRPr="00FD54EA">
        <w:rPr>
          <w:color w:val="000000" w:themeColor="text1"/>
          <w:vertAlign w:val="superscript"/>
        </w:rPr>
        <w:t>1,3,10</w:t>
      </w:r>
      <w:r w:rsidRPr="00FD54EA">
        <w:rPr>
          <w:color w:val="000000" w:themeColor="text1"/>
        </w:rPr>
        <w:t>, Marco Springmann</w:t>
      </w:r>
      <w:r w:rsidRPr="00FD54EA">
        <w:rPr>
          <w:color w:val="000000" w:themeColor="text1"/>
          <w:vertAlign w:val="superscript"/>
        </w:rPr>
        <w:t>16</w:t>
      </w:r>
      <w:r w:rsidRPr="00FD54EA">
        <w:rPr>
          <w:color w:val="000000" w:themeColor="text1"/>
        </w:rPr>
        <w:t xml:space="preserve">, </w:t>
      </w:r>
      <w:proofErr w:type="spellStart"/>
      <w:r w:rsidRPr="00FD54EA">
        <w:rPr>
          <w:color w:val="000000" w:themeColor="text1"/>
        </w:rPr>
        <w:t>Bjoern</w:t>
      </w:r>
      <w:proofErr w:type="spellEnd"/>
      <w:r w:rsidRPr="00FD54EA">
        <w:rPr>
          <w:color w:val="000000" w:themeColor="text1"/>
        </w:rPr>
        <w:t xml:space="preserve"> Soergel</w:t>
      </w:r>
      <w:r w:rsidRPr="00FD54EA">
        <w:rPr>
          <w:color w:val="000000" w:themeColor="text1"/>
          <w:vertAlign w:val="superscript"/>
        </w:rPr>
        <w:t>1</w:t>
      </w:r>
      <w:r w:rsidRPr="00FD54EA">
        <w:rPr>
          <w:color w:val="000000" w:themeColor="text1"/>
        </w:rPr>
        <w:t>, Zebedee Nicholls</w:t>
      </w:r>
      <w:r w:rsidRPr="00FD54EA">
        <w:rPr>
          <w:color w:val="000000" w:themeColor="text1"/>
          <w:vertAlign w:val="superscript"/>
        </w:rPr>
        <w:t>6,7,8,9</w:t>
      </w:r>
      <w:r w:rsidRPr="00FD54EA">
        <w:rPr>
          <w:color w:val="000000" w:themeColor="text1"/>
        </w:rPr>
        <w:t>, Jessica Strefler</w:t>
      </w:r>
      <w:r w:rsidRPr="00FD54EA">
        <w:rPr>
          <w:color w:val="000000" w:themeColor="text1"/>
          <w:vertAlign w:val="superscript"/>
        </w:rPr>
        <w:t>1</w:t>
      </w:r>
      <w:r w:rsidRPr="00FD54EA">
        <w:rPr>
          <w:color w:val="000000" w:themeColor="text1"/>
        </w:rPr>
        <w:t>, Jared Lewis</w:t>
      </w:r>
      <w:r w:rsidRPr="00FD54EA">
        <w:rPr>
          <w:color w:val="000000" w:themeColor="text1"/>
          <w:vertAlign w:val="superscript"/>
        </w:rPr>
        <w:t>6,8,9</w:t>
      </w:r>
      <w:r w:rsidRPr="00FD54EA">
        <w:rPr>
          <w:color w:val="000000" w:themeColor="text1"/>
        </w:rPr>
        <w:t>, Jens Heinke</w:t>
      </w:r>
      <w:r w:rsidRPr="00FD54EA">
        <w:rPr>
          <w:color w:val="000000" w:themeColor="text1"/>
          <w:vertAlign w:val="superscript"/>
        </w:rPr>
        <w:t>1</w:t>
      </w:r>
      <w:r w:rsidRPr="00FD54EA">
        <w:rPr>
          <w:color w:val="000000" w:themeColor="text1"/>
        </w:rPr>
        <w:t>, Christoph Müller</w:t>
      </w:r>
      <w:r w:rsidRPr="00FD54EA">
        <w:rPr>
          <w:color w:val="000000" w:themeColor="text1"/>
          <w:vertAlign w:val="superscript"/>
        </w:rPr>
        <w:t>1</w:t>
      </w:r>
      <w:r w:rsidRPr="00FD54EA">
        <w:rPr>
          <w:color w:val="000000" w:themeColor="text1"/>
        </w:rPr>
        <w:t>, Patrick von Jeetze</w:t>
      </w:r>
      <w:r w:rsidRPr="00FD54EA">
        <w:rPr>
          <w:color w:val="000000" w:themeColor="text1"/>
          <w:vertAlign w:val="superscript"/>
        </w:rPr>
        <w:t>1,3</w:t>
      </w:r>
      <w:r w:rsidRPr="00FD54EA">
        <w:rPr>
          <w:color w:val="000000" w:themeColor="text1"/>
        </w:rPr>
        <w:t>, Kristine Karstens</w:t>
      </w:r>
      <w:r w:rsidRPr="00FD54EA">
        <w:rPr>
          <w:color w:val="000000" w:themeColor="text1"/>
          <w:vertAlign w:val="superscript"/>
        </w:rPr>
        <w:t>1,3</w:t>
      </w:r>
      <w:r w:rsidRPr="00FD54EA">
        <w:rPr>
          <w:color w:val="000000" w:themeColor="text1"/>
        </w:rPr>
        <w:t>, Isabelle Weindl</w:t>
      </w:r>
      <w:r w:rsidRPr="00FD54EA">
        <w:rPr>
          <w:color w:val="000000" w:themeColor="text1"/>
          <w:vertAlign w:val="superscript"/>
        </w:rPr>
        <w:t>1</w:t>
      </w:r>
      <w:r w:rsidRPr="00FD54EA">
        <w:rPr>
          <w:color w:val="000000" w:themeColor="text1"/>
        </w:rPr>
        <w:t xml:space="preserve">, </w:t>
      </w:r>
      <w:proofErr w:type="spellStart"/>
      <w:r w:rsidRPr="00FD54EA">
        <w:rPr>
          <w:color w:val="000000" w:themeColor="text1"/>
        </w:rPr>
        <w:t>Miodrag</w:t>
      </w:r>
      <w:proofErr w:type="spellEnd"/>
      <w:r w:rsidRPr="00FD54EA">
        <w:rPr>
          <w:color w:val="000000" w:themeColor="text1"/>
        </w:rPr>
        <w:t xml:space="preserve"> Stevanović</w:t>
      </w:r>
      <w:r w:rsidRPr="00FD54EA">
        <w:rPr>
          <w:color w:val="000000" w:themeColor="text1"/>
          <w:vertAlign w:val="superscript"/>
        </w:rPr>
        <w:t>1</w:t>
      </w:r>
      <w:r w:rsidRPr="00FD54EA">
        <w:rPr>
          <w:color w:val="000000" w:themeColor="text1"/>
        </w:rPr>
        <w:t>, Pascal Führlich</w:t>
      </w:r>
      <w:r w:rsidRPr="00FD54EA">
        <w:rPr>
          <w:color w:val="000000" w:themeColor="text1"/>
          <w:vertAlign w:val="superscript"/>
        </w:rPr>
        <w:t>1</w:t>
      </w:r>
      <w:r w:rsidRPr="00FD54EA">
        <w:rPr>
          <w:color w:val="000000" w:themeColor="text1"/>
        </w:rPr>
        <w:t>, Abhijeet Mishra</w:t>
      </w:r>
      <w:r w:rsidRPr="00FD54EA">
        <w:rPr>
          <w:color w:val="000000" w:themeColor="text1"/>
          <w:vertAlign w:val="superscript"/>
        </w:rPr>
        <w:t>1,3,14</w:t>
      </w:r>
      <w:r w:rsidRPr="00FD54EA">
        <w:rPr>
          <w:color w:val="000000" w:themeColor="text1"/>
        </w:rPr>
        <w:t>, Edna J. Molina Bacca</w:t>
      </w:r>
      <w:r w:rsidRPr="00FD54EA">
        <w:rPr>
          <w:color w:val="000000" w:themeColor="text1"/>
          <w:vertAlign w:val="superscript"/>
        </w:rPr>
        <w:t>1,3</w:t>
      </w:r>
      <w:r w:rsidRPr="00FD54EA">
        <w:rPr>
          <w:color w:val="000000" w:themeColor="text1"/>
        </w:rPr>
        <w:t>, Alexandre C. Köberle</w:t>
      </w:r>
      <w:r w:rsidRPr="00FD54EA">
        <w:rPr>
          <w:color w:val="000000" w:themeColor="text1"/>
          <w:vertAlign w:val="superscript"/>
        </w:rPr>
        <w:t>1,12,13</w:t>
      </w:r>
      <w:r w:rsidRPr="00FD54EA">
        <w:rPr>
          <w:color w:val="000000" w:themeColor="text1"/>
        </w:rPr>
        <w:t xml:space="preserve">, </w:t>
      </w:r>
      <w:proofErr w:type="spellStart"/>
      <w:r w:rsidRPr="00FD54EA">
        <w:rPr>
          <w:color w:val="000000" w:themeColor="text1"/>
        </w:rPr>
        <w:t>Xiaoxi</w:t>
      </w:r>
      <w:proofErr w:type="spellEnd"/>
      <w:r w:rsidRPr="00FD54EA">
        <w:rPr>
          <w:color w:val="000000" w:themeColor="text1"/>
        </w:rPr>
        <w:t xml:space="preserve"> Wang</w:t>
      </w:r>
      <w:r w:rsidRPr="00FD54EA">
        <w:rPr>
          <w:color w:val="000000" w:themeColor="text1"/>
          <w:vertAlign w:val="superscript"/>
        </w:rPr>
        <w:t>1,11</w:t>
      </w:r>
      <w:r w:rsidRPr="00FD54EA">
        <w:rPr>
          <w:color w:val="000000" w:themeColor="text1"/>
        </w:rPr>
        <w:t xml:space="preserve">, </w:t>
      </w:r>
      <w:proofErr w:type="spellStart"/>
      <w:r w:rsidRPr="00FD54EA">
        <w:rPr>
          <w:color w:val="000000" w:themeColor="text1"/>
        </w:rPr>
        <w:t>Vartika</w:t>
      </w:r>
      <w:proofErr w:type="spellEnd"/>
      <w:r w:rsidRPr="00FD54EA">
        <w:rPr>
          <w:color w:val="000000" w:themeColor="text1"/>
        </w:rPr>
        <w:t xml:space="preserve"> Singh</w:t>
      </w:r>
      <w:r w:rsidRPr="00FD54EA">
        <w:rPr>
          <w:color w:val="000000" w:themeColor="text1"/>
          <w:vertAlign w:val="superscript"/>
        </w:rPr>
        <w:t>1,3,4,5</w:t>
      </w:r>
      <w:r w:rsidRPr="00FD54EA">
        <w:rPr>
          <w:color w:val="000000" w:themeColor="text1"/>
        </w:rPr>
        <w:t>, Claudia Hunecke</w:t>
      </w:r>
      <w:r w:rsidRPr="00FD54EA">
        <w:rPr>
          <w:color w:val="000000" w:themeColor="text1"/>
          <w:vertAlign w:val="superscript"/>
        </w:rPr>
        <w:t>1</w:t>
      </w:r>
      <w:r w:rsidRPr="00FD54EA">
        <w:rPr>
          <w:color w:val="000000" w:themeColor="text1"/>
        </w:rPr>
        <w:t xml:space="preserve">, </w:t>
      </w:r>
      <w:proofErr w:type="spellStart"/>
      <w:r w:rsidRPr="00FD54EA">
        <w:rPr>
          <w:color w:val="000000" w:themeColor="text1"/>
        </w:rPr>
        <w:t>Quitterie</w:t>
      </w:r>
      <w:proofErr w:type="spellEnd"/>
      <w:r w:rsidRPr="00FD54EA">
        <w:rPr>
          <w:color w:val="000000" w:themeColor="text1"/>
        </w:rPr>
        <w:t xml:space="preserve"> Collignon</w:t>
      </w:r>
      <w:r w:rsidRPr="00FD54EA">
        <w:rPr>
          <w:color w:val="000000" w:themeColor="text1"/>
          <w:vertAlign w:val="superscript"/>
        </w:rPr>
        <w:t>1</w:t>
      </w:r>
      <w:r w:rsidRPr="00FD54EA">
        <w:rPr>
          <w:color w:val="000000" w:themeColor="text1"/>
        </w:rPr>
        <w:t xml:space="preserve">, </w:t>
      </w:r>
      <w:proofErr w:type="spellStart"/>
      <w:r w:rsidRPr="00FD54EA">
        <w:rPr>
          <w:color w:val="000000" w:themeColor="text1"/>
        </w:rPr>
        <w:t>Pepijn</w:t>
      </w:r>
      <w:proofErr w:type="spellEnd"/>
      <w:r w:rsidRPr="00FD54EA">
        <w:rPr>
          <w:color w:val="000000" w:themeColor="text1"/>
        </w:rPr>
        <w:t xml:space="preserve"> Schreinemachers</w:t>
      </w:r>
      <w:r w:rsidRPr="00FD54EA">
        <w:rPr>
          <w:color w:val="000000" w:themeColor="text1"/>
          <w:vertAlign w:val="superscript"/>
        </w:rPr>
        <w:t>2</w:t>
      </w:r>
      <w:r w:rsidRPr="00FD54EA">
        <w:rPr>
          <w:color w:val="000000" w:themeColor="text1"/>
        </w:rPr>
        <w:t>, Simon Dietz</w:t>
      </w:r>
      <w:r w:rsidRPr="00FD54EA">
        <w:rPr>
          <w:color w:val="000000" w:themeColor="text1"/>
          <w:vertAlign w:val="superscript"/>
        </w:rPr>
        <w:t>16</w:t>
      </w:r>
      <w:r w:rsidRPr="00FD54EA">
        <w:rPr>
          <w:color w:val="000000" w:themeColor="text1"/>
        </w:rPr>
        <w:t>, Ravi Kanbur</w:t>
      </w:r>
      <w:r w:rsidRPr="00FD54EA">
        <w:rPr>
          <w:color w:val="000000" w:themeColor="text1"/>
          <w:vertAlign w:val="superscript"/>
        </w:rPr>
        <w:t>17</w:t>
      </w:r>
      <w:r w:rsidRPr="00FD54EA">
        <w:rPr>
          <w:color w:val="000000" w:themeColor="text1"/>
        </w:rPr>
        <w:t>, Jan Philipp Dietrich</w:t>
      </w:r>
      <w:r w:rsidRPr="00FD54EA">
        <w:rPr>
          <w:color w:val="000000" w:themeColor="text1"/>
          <w:vertAlign w:val="superscript"/>
        </w:rPr>
        <w:t>1</w:t>
      </w:r>
      <w:r w:rsidRPr="00FD54EA">
        <w:rPr>
          <w:color w:val="000000" w:themeColor="text1"/>
        </w:rPr>
        <w:t>, Hermann Lotze-Campen</w:t>
      </w:r>
      <w:r w:rsidRPr="00FD54EA">
        <w:rPr>
          <w:color w:val="000000" w:themeColor="text1"/>
          <w:vertAlign w:val="superscript"/>
        </w:rPr>
        <w:t>1,3,10</w:t>
      </w:r>
      <w:r w:rsidRPr="00FD54EA">
        <w:rPr>
          <w:color w:val="000000" w:themeColor="text1"/>
        </w:rPr>
        <w:t>, Alexander Popp</w:t>
      </w:r>
      <w:r w:rsidRPr="00FD54EA">
        <w:rPr>
          <w:color w:val="000000" w:themeColor="text1"/>
          <w:vertAlign w:val="superscript"/>
        </w:rPr>
        <w:t>1,18</w:t>
      </w:r>
    </w:p>
    <w:p w14:paraId="56BB76A6" w14:textId="77777777" w:rsidR="00C30442" w:rsidRPr="00FD54EA" w:rsidRDefault="00C30442" w:rsidP="00C30442">
      <w:pPr>
        <w:rPr>
          <w:color w:val="000000" w:themeColor="text1"/>
        </w:rPr>
      </w:pPr>
    </w:p>
    <w:p w14:paraId="70C39D03" w14:textId="77777777" w:rsidR="00C30442" w:rsidRPr="00C30442" w:rsidRDefault="00C30442" w:rsidP="00C30442">
      <w:pPr>
        <w:numPr>
          <w:ilvl w:val="0"/>
          <w:numId w:val="4"/>
        </w:numPr>
        <w:rPr>
          <w:color w:val="000000" w:themeColor="text1"/>
          <w:sz w:val="16"/>
        </w:rPr>
      </w:pPr>
      <w:r w:rsidRPr="00C30442">
        <w:rPr>
          <w:color w:val="000000" w:themeColor="text1"/>
          <w:sz w:val="16"/>
        </w:rPr>
        <w:t>Potsdam Institute for Climate Impact Research, Leibniz Association, Potsdam, Germany</w:t>
      </w:r>
    </w:p>
    <w:p w14:paraId="1B6B6CB6" w14:textId="77777777" w:rsidR="00C30442" w:rsidRPr="00C30442" w:rsidRDefault="00C30442" w:rsidP="00C30442">
      <w:pPr>
        <w:numPr>
          <w:ilvl w:val="0"/>
          <w:numId w:val="4"/>
        </w:numPr>
        <w:rPr>
          <w:color w:val="000000" w:themeColor="text1"/>
          <w:sz w:val="16"/>
        </w:rPr>
      </w:pPr>
      <w:r w:rsidRPr="00C30442">
        <w:rPr>
          <w:color w:val="000000" w:themeColor="text1"/>
          <w:sz w:val="16"/>
        </w:rPr>
        <w:t>World Vegetable Center, Tainan, Taiwan</w:t>
      </w:r>
    </w:p>
    <w:p w14:paraId="033635E6" w14:textId="77777777" w:rsidR="00C30442" w:rsidRPr="00C30442" w:rsidRDefault="00C30442" w:rsidP="00C30442">
      <w:pPr>
        <w:numPr>
          <w:ilvl w:val="0"/>
          <w:numId w:val="4"/>
        </w:numPr>
        <w:rPr>
          <w:color w:val="000000" w:themeColor="text1"/>
          <w:sz w:val="16"/>
        </w:rPr>
      </w:pPr>
      <w:r w:rsidRPr="00C30442">
        <w:rPr>
          <w:color w:val="000000" w:themeColor="text1"/>
          <w:sz w:val="16"/>
        </w:rPr>
        <w:t>Humboldt University, Berlin, Germany</w:t>
      </w:r>
    </w:p>
    <w:p w14:paraId="51BE595F" w14:textId="77777777" w:rsidR="00C30442" w:rsidRPr="00C30442" w:rsidRDefault="00C30442" w:rsidP="00C30442">
      <w:pPr>
        <w:numPr>
          <w:ilvl w:val="0"/>
          <w:numId w:val="4"/>
        </w:numPr>
        <w:rPr>
          <w:color w:val="000000" w:themeColor="text1"/>
          <w:sz w:val="16"/>
        </w:rPr>
      </w:pPr>
      <w:r w:rsidRPr="00C30442">
        <w:rPr>
          <w:color w:val="000000" w:themeColor="text1"/>
          <w:sz w:val="16"/>
        </w:rPr>
        <w:t xml:space="preserve">Indian Institute of Management, Ahmedabad, India </w:t>
      </w:r>
    </w:p>
    <w:p w14:paraId="0E7780C9" w14:textId="77777777" w:rsidR="00C30442" w:rsidRPr="00C30442" w:rsidRDefault="00C30442" w:rsidP="00C30442">
      <w:pPr>
        <w:numPr>
          <w:ilvl w:val="0"/>
          <w:numId w:val="4"/>
        </w:numPr>
        <w:rPr>
          <w:color w:val="000000" w:themeColor="text1"/>
          <w:sz w:val="16"/>
        </w:rPr>
      </w:pPr>
      <w:r w:rsidRPr="00C30442">
        <w:rPr>
          <w:color w:val="000000" w:themeColor="text1"/>
          <w:sz w:val="16"/>
        </w:rPr>
        <w:t xml:space="preserve">International Food Policy Research Institute, New Delhi, India </w:t>
      </w:r>
    </w:p>
    <w:p w14:paraId="19945F63" w14:textId="77777777" w:rsidR="00C30442" w:rsidRPr="00C30442" w:rsidRDefault="00C30442" w:rsidP="00C30442">
      <w:pPr>
        <w:numPr>
          <w:ilvl w:val="0"/>
          <w:numId w:val="4"/>
        </w:numPr>
        <w:rPr>
          <w:color w:val="000000" w:themeColor="text1"/>
          <w:sz w:val="16"/>
        </w:rPr>
      </w:pPr>
      <w:r w:rsidRPr="00C30442">
        <w:rPr>
          <w:color w:val="000000" w:themeColor="text1"/>
          <w:sz w:val="16"/>
        </w:rPr>
        <w:t xml:space="preserve">International Institute for Applied System Analysis, IIASA, </w:t>
      </w:r>
      <w:proofErr w:type="spellStart"/>
      <w:r w:rsidRPr="00C30442">
        <w:rPr>
          <w:color w:val="000000" w:themeColor="text1"/>
          <w:sz w:val="16"/>
        </w:rPr>
        <w:t>Laxenburg</w:t>
      </w:r>
      <w:proofErr w:type="spellEnd"/>
      <w:r w:rsidRPr="00C30442">
        <w:rPr>
          <w:color w:val="000000" w:themeColor="text1"/>
          <w:sz w:val="16"/>
        </w:rPr>
        <w:t>, Austria</w:t>
      </w:r>
    </w:p>
    <w:p w14:paraId="6C1C0D90" w14:textId="77777777" w:rsidR="00C30442" w:rsidRPr="00C30442" w:rsidRDefault="00C30442" w:rsidP="00C30442">
      <w:pPr>
        <w:numPr>
          <w:ilvl w:val="0"/>
          <w:numId w:val="4"/>
        </w:numPr>
        <w:rPr>
          <w:color w:val="000000" w:themeColor="text1"/>
          <w:sz w:val="16"/>
        </w:rPr>
      </w:pPr>
      <w:r w:rsidRPr="00C30442">
        <w:rPr>
          <w:color w:val="000000" w:themeColor="text1"/>
          <w:sz w:val="16"/>
        </w:rPr>
        <w:t>Melbourne Climate Futures, University of Melbourne, Melbourne, Victoria, Australia</w:t>
      </w:r>
    </w:p>
    <w:p w14:paraId="0B413AC9" w14:textId="77777777" w:rsidR="00C30442" w:rsidRPr="00C30442" w:rsidRDefault="00C30442" w:rsidP="00C30442">
      <w:pPr>
        <w:numPr>
          <w:ilvl w:val="0"/>
          <w:numId w:val="4"/>
        </w:numPr>
        <w:rPr>
          <w:color w:val="000000" w:themeColor="text1"/>
          <w:sz w:val="16"/>
        </w:rPr>
      </w:pPr>
      <w:r w:rsidRPr="00C30442">
        <w:rPr>
          <w:color w:val="000000" w:themeColor="text1"/>
          <w:sz w:val="16"/>
        </w:rPr>
        <w:t>School of Geography, Earth and Atmospheric Sciences, University of Melbourne, Melbourne, Victoria, Australia</w:t>
      </w:r>
    </w:p>
    <w:p w14:paraId="6078F308" w14:textId="77777777" w:rsidR="00C30442" w:rsidRPr="00C30442" w:rsidRDefault="00C30442" w:rsidP="00C30442">
      <w:pPr>
        <w:numPr>
          <w:ilvl w:val="0"/>
          <w:numId w:val="4"/>
        </w:numPr>
        <w:rPr>
          <w:color w:val="000000" w:themeColor="text1"/>
          <w:sz w:val="16"/>
        </w:rPr>
      </w:pPr>
      <w:r w:rsidRPr="00C30442">
        <w:rPr>
          <w:color w:val="000000" w:themeColor="text1"/>
          <w:sz w:val="16"/>
        </w:rPr>
        <w:t>Climate Resource, Northcote, VIC, Australia</w:t>
      </w:r>
    </w:p>
    <w:p w14:paraId="1B1054B9" w14:textId="77777777" w:rsidR="00C30442" w:rsidRPr="00C30442" w:rsidRDefault="00C30442" w:rsidP="00C30442">
      <w:pPr>
        <w:numPr>
          <w:ilvl w:val="0"/>
          <w:numId w:val="4"/>
        </w:numPr>
        <w:rPr>
          <w:color w:val="000000" w:themeColor="text1"/>
          <w:sz w:val="16"/>
        </w:rPr>
      </w:pPr>
      <w:r w:rsidRPr="00C30442">
        <w:rPr>
          <w:color w:val="000000" w:themeColor="text1"/>
          <w:sz w:val="16"/>
        </w:rPr>
        <w:t xml:space="preserve">Integrative Research Institute for Transformations of Human-Environment Systems (IRI </w:t>
      </w:r>
      <w:proofErr w:type="spellStart"/>
      <w:r w:rsidRPr="00C30442">
        <w:rPr>
          <w:color w:val="000000" w:themeColor="text1"/>
          <w:sz w:val="16"/>
        </w:rPr>
        <w:t>THESys</w:t>
      </w:r>
      <w:proofErr w:type="spellEnd"/>
      <w:r w:rsidRPr="00C30442">
        <w:rPr>
          <w:color w:val="000000" w:themeColor="text1"/>
          <w:sz w:val="16"/>
        </w:rPr>
        <w:t xml:space="preserve">), Humboldt-Universität </w:t>
      </w:r>
      <w:proofErr w:type="spellStart"/>
      <w:r w:rsidRPr="00C30442">
        <w:rPr>
          <w:color w:val="000000" w:themeColor="text1"/>
          <w:sz w:val="16"/>
        </w:rPr>
        <w:t>zu</w:t>
      </w:r>
      <w:proofErr w:type="spellEnd"/>
      <w:r w:rsidRPr="00C30442">
        <w:rPr>
          <w:color w:val="000000" w:themeColor="text1"/>
          <w:sz w:val="16"/>
        </w:rPr>
        <w:t xml:space="preserve"> Berlin, Berlin, Germany</w:t>
      </w:r>
    </w:p>
    <w:p w14:paraId="5C8EF660" w14:textId="77777777" w:rsidR="00C30442" w:rsidRPr="00C30442" w:rsidRDefault="00C30442" w:rsidP="00C30442">
      <w:pPr>
        <w:numPr>
          <w:ilvl w:val="0"/>
          <w:numId w:val="4"/>
        </w:numPr>
        <w:rPr>
          <w:color w:val="000000" w:themeColor="text1"/>
          <w:sz w:val="16"/>
        </w:rPr>
      </w:pPr>
      <w:r w:rsidRPr="00C30442">
        <w:rPr>
          <w:color w:val="000000" w:themeColor="text1"/>
          <w:sz w:val="16"/>
        </w:rPr>
        <w:t>China Academy for Rural Development, School of Public Affairs, Zhejiang University, Hangzhou, China</w:t>
      </w:r>
    </w:p>
    <w:p w14:paraId="738EB16A" w14:textId="77777777" w:rsidR="00C30442" w:rsidRPr="00C30442" w:rsidRDefault="00C30442" w:rsidP="00C30442">
      <w:pPr>
        <w:numPr>
          <w:ilvl w:val="0"/>
          <w:numId w:val="4"/>
        </w:numPr>
        <w:rPr>
          <w:color w:val="000000" w:themeColor="text1"/>
          <w:sz w:val="16"/>
        </w:rPr>
      </w:pPr>
      <w:r w:rsidRPr="00C30442">
        <w:rPr>
          <w:color w:val="000000" w:themeColor="text1"/>
          <w:sz w:val="16"/>
        </w:rPr>
        <w:t>Grantham Institute for Climate Change and Environment, Imperial College London, United Kingdom</w:t>
      </w:r>
    </w:p>
    <w:p w14:paraId="443928F7" w14:textId="77777777" w:rsidR="00C30442" w:rsidRPr="00C30442" w:rsidRDefault="00C30442" w:rsidP="00C30442">
      <w:pPr>
        <w:numPr>
          <w:ilvl w:val="0"/>
          <w:numId w:val="4"/>
        </w:numPr>
        <w:rPr>
          <w:color w:val="000000" w:themeColor="text1"/>
          <w:sz w:val="16"/>
        </w:rPr>
      </w:pPr>
      <w:r w:rsidRPr="00C30442">
        <w:rPr>
          <w:color w:val="000000" w:themeColor="text1"/>
          <w:sz w:val="16"/>
        </w:rPr>
        <w:t>Centre for Climate Finance and Investment, Imperial College Business School, United Kingdom</w:t>
      </w:r>
    </w:p>
    <w:p w14:paraId="5FE57680" w14:textId="77777777" w:rsidR="00C30442" w:rsidRPr="00C30442" w:rsidRDefault="00C30442" w:rsidP="00C30442">
      <w:pPr>
        <w:numPr>
          <w:ilvl w:val="0"/>
          <w:numId w:val="4"/>
        </w:numPr>
        <w:rPr>
          <w:color w:val="000000" w:themeColor="text1"/>
          <w:sz w:val="16"/>
        </w:rPr>
      </w:pPr>
      <w:r w:rsidRPr="00C30442">
        <w:rPr>
          <w:color w:val="000000" w:themeColor="text1"/>
          <w:sz w:val="16"/>
        </w:rPr>
        <w:t xml:space="preserve">International Food Policy Research Institute, Washington, District of Columbia, United States of America </w:t>
      </w:r>
    </w:p>
    <w:p w14:paraId="0100067D" w14:textId="77777777" w:rsidR="00C30442" w:rsidRPr="00C30442" w:rsidRDefault="00C30442" w:rsidP="00C30442">
      <w:pPr>
        <w:numPr>
          <w:ilvl w:val="0"/>
          <w:numId w:val="4"/>
        </w:numPr>
        <w:rPr>
          <w:color w:val="000000" w:themeColor="text1"/>
          <w:sz w:val="16"/>
        </w:rPr>
      </w:pPr>
      <w:r w:rsidRPr="00C30442">
        <w:rPr>
          <w:color w:val="000000" w:themeColor="text1"/>
          <w:sz w:val="16"/>
        </w:rPr>
        <w:t>University of Oxford and London School of Hygiene and Tropical Medicine, UK</w:t>
      </w:r>
    </w:p>
    <w:p w14:paraId="790591CB" w14:textId="77777777" w:rsidR="00C30442" w:rsidRPr="00C30442" w:rsidRDefault="00C30442" w:rsidP="00C30442">
      <w:pPr>
        <w:numPr>
          <w:ilvl w:val="0"/>
          <w:numId w:val="4"/>
        </w:numPr>
        <w:rPr>
          <w:color w:val="000000" w:themeColor="text1"/>
          <w:sz w:val="16"/>
        </w:rPr>
      </w:pPr>
      <w:r w:rsidRPr="00C30442">
        <w:rPr>
          <w:color w:val="000000" w:themeColor="text1"/>
          <w:sz w:val="16"/>
        </w:rPr>
        <w:t>London School of Economics, London, UK</w:t>
      </w:r>
    </w:p>
    <w:p w14:paraId="65B71547" w14:textId="77777777" w:rsidR="00C30442" w:rsidRPr="00C30442" w:rsidRDefault="00C30442" w:rsidP="00C30442">
      <w:pPr>
        <w:numPr>
          <w:ilvl w:val="0"/>
          <w:numId w:val="4"/>
        </w:numPr>
        <w:rPr>
          <w:color w:val="000000" w:themeColor="text1"/>
          <w:sz w:val="16"/>
        </w:rPr>
      </w:pPr>
      <w:r w:rsidRPr="00C30442">
        <w:rPr>
          <w:color w:val="000000" w:themeColor="text1"/>
          <w:sz w:val="16"/>
        </w:rPr>
        <w:t>Cornell University, New York, USA</w:t>
      </w:r>
    </w:p>
    <w:p w14:paraId="3BB825D3" w14:textId="77777777" w:rsidR="00C30442" w:rsidRPr="00C30442" w:rsidRDefault="00C30442" w:rsidP="00C30442">
      <w:pPr>
        <w:numPr>
          <w:ilvl w:val="0"/>
          <w:numId w:val="4"/>
        </w:numPr>
        <w:rPr>
          <w:color w:val="000000" w:themeColor="text1"/>
          <w:sz w:val="16"/>
        </w:rPr>
      </w:pPr>
      <w:r w:rsidRPr="00C30442">
        <w:rPr>
          <w:color w:val="000000" w:themeColor="text1"/>
          <w:sz w:val="16"/>
        </w:rPr>
        <w:t xml:space="preserve">Faculty of Organic Agricultural Sciences, University of Kassel, </w:t>
      </w:r>
      <w:proofErr w:type="spellStart"/>
      <w:r w:rsidRPr="00C30442">
        <w:rPr>
          <w:color w:val="000000" w:themeColor="text1"/>
          <w:sz w:val="16"/>
        </w:rPr>
        <w:t>Witzenhausen</w:t>
      </w:r>
      <w:proofErr w:type="spellEnd"/>
      <w:r w:rsidRPr="00C30442">
        <w:rPr>
          <w:color w:val="000000" w:themeColor="text1"/>
          <w:sz w:val="16"/>
        </w:rPr>
        <w:t>, Germany</w:t>
      </w:r>
    </w:p>
    <w:p w14:paraId="228FF21C" w14:textId="77777777" w:rsidR="00C30442" w:rsidRDefault="00C30442" w:rsidP="00C30442">
      <w:pPr>
        <w:rPr>
          <w:color w:val="000000" w:themeColor="text1"/>
        </w:rPr>
      </w:pPr>
    </w:p>
    <w:p w14:paraId="0747E994" w14:textId="77777777" w:rsidR="00C30442" w:rsidRPr="00FD54EA" w:rsidRDefault="00C30442" w:rsidP="00C30442">
      <w:pPr>
        <w:rPr>
          <w:color w:val="000000" w:themeColor="text1"/>
        </w:rPr>
      </w:pPr>
      <w:r>
        <w:rPr>
          <w:color w:val="000000"/>
        </w:rPr>
        <w:t xml:space="preserve">* Corresponding author </w:t>
      </w:r>
      <w:r>
        <w:rPr>
          <w:color w:val="000000"/>
        </w:rPr>
        <w:br/>
        <w:t>bodirsky@pik-potsdam.de</w:t>
      </w:r>
    </w:p>
    <w:p w14:paraId="197CF85C" w14:textId="77777777" w:rsidR="00C30442" w:rsidRPr="00C30442" w:rsidRDefault="00C30442" w:rsidP="00C30442"/>
    <w:p w14:paraId="3012B02C" w14:textId="77777777" w:rsidR="00BE09F0" w:rsidRPr="00FD54EA" w:rsidRDefault="00FD54EA">
      <w:pPr>
        <w:pStyle w:val="Heading2"/>
        <w:rPr>
          <w:color w:val="000000" w:themeColor="text1"/>
        </w:rPr>
      </w:pPr>
      <w:bookmarkStart w:id="1" w:name="_v2bpty4wespo" w:colFirst="0" w:colLast="0"/>
      <w:bookmarkEnd w:id="1"/>
      <w:r w:rsidRPr="00FD54EA">
        <w:rPr>
          <w:color w:val="000000" w:themeColor="text1"/>
        </w:rPr>
        <w:lastRenderedPageBreak/>
        <w:t>S1: Supplementary Methods</w:t>
      </w:r>
    </w:p>
    <w:p w14:paraId="57FD633F" w14:textId="77777777" w:rsidR="00BE09F0" w:rsidRPr="00FD54EA" w:rsidRDefault="00FD54EA">
      <w:pPr>
        <w:pStyle w:val="Heading3"/>
        <w:rPr>
          <w:color w:val="000000" w:themeColor="text1"/>
        </w:rPr>
      </w:pPr>
      <w:bookmarkStart w:id="2" w:name="_hvo85qknemwd" w:colFirst="0" w:colLast="0"/>
      <w:bookmarkEnd w:id="2"/>
      <w:r w:rsidRPr="00FD54EA">
        <w:rPr>
          <w:color w:val="000000" w:themeColor="text1"/>
        </w:rPr>
        <w:t xml:space="preserve">S1.1: Extended </w:t>
      </w:r>
      <w:proofErr w:type="spellStart"/>
      <w:r w:rsidRPr="00FD54EA">
        <w:rPr>
          <w:color w:val="000000" w:themeColor="text1"/>
        </w:rPr>
        <w:t>MAgPIE</w:t>
      </w:r>
      <w:proofErr w:type="spellEnd"/>
      <w:r w:rsidRPr="00FD54EA">
        <w:rPr>
          <w:color w:val="000000" w:themeColor="text1"/>
        </w:rPr>
        <w:t xml:space="preserve"> description</w:t>
      </w:r>
    </w:p>
    <w:p w14:paraId="2ED54ADE" w14:textId="77777777" w:rsidR="00BE09F0" w:rsidRPr="00FD54EA" w:rsidRDefault="00FD54EA">
      <w:pPr>
        <w:pStyle w:val="Heading4"/>
        <w:spacing w:before="240"/>
        <w:rPr>
          <w:color w:val="000000" w:themeColor="text1"/>
        </w:rPr>
      </w:pPr>
      <w:bookmarkStart w:id="3" w:name="_2f3xhe2ywpgo" w:colFirst="0" w:colLast="0"/>
      <w:bookmarkEnd w:id="3"/>
      <w:r w:rsidRPr="00FD54EA">
        <w:rPr>
          <w:color w:val="000000" w:themeColor="text1"/>
        </w:rPr>
        <w:t>S1.1.1 Spatial Resolution</w:t>
      </w:r>
    </w:p>
    <w:p w14:paraId="47A5FE77" w14:textId="05376CCC" w:rsidR="00BE09F0" w:rsidRPr="00FD54EA" w:rsidRDefault="00FD54EA">
      <w:pPr>
        <w:spacing w:before="240"/>
        <w:rPr>
          <w:color w:val="000000" w:themeColor="text1"/>
        </w:rPr>
      </w:pPr>
      <w:proofErr w:type="spellStart"/>
      <w:r w:rsidRPr="00FD54EA">
        <w:rPr>
          <w:color w:val="000000" w:themeColor="text1"/>
        </w:rPr>
        <w:t>MAgPIE</w:t>
      </w:r>
      <w:proofErr w:type="spellEnd"/>
      <w:r w:rsidRPr="00FD54EA">
        <w:rPr>
          <w:color w:val="000000" w:themeColor="text1"/>
        </w:rPr>
        <w:t xml:space="preserve"> operates at different spatial resolutions. Food demand is estimated on the country level, while international trade and technological progress are estimated on the level of world regions, and land allocation, crop production and nitrogen budgets on the level of 59199 0.5°x0.5° grid cells. For computational reasons of the non-linear optimization algorithm, land allocation cannot be optimized on the level of 0.5°x0.5° grid cells. Instead, an aggregation algorithm</w:t>
      </w:r>
      <w:r w:rsidR="009B5957">
        <w:rPr>
          <w:color w:val="000000" w:themeColor="text1"/>
        </w:rPr>
        <w:fldChar w:fldCharType="begin"/>
      </w:r>
      <w:r w:rsidR="00A01D99">
        <w:rPr>
          <w:color w:val="000000" w:themeColor="text1"/>
        </w:rPr>
        <w:instrText xml:space="preserve"> ADDIN ZOTERO_ITEM CSL_CITATION {"citationID":"965IYEem","properties":{"formattedCitation":"\\super 112\\nosupersub{}","plainCitation":"112","noteIndex":0},"citationItems":[{"id":2314,"uris":["http://zotero.org/users/694717/items/PCZGQCK9"],"itemData":{"id":2314,"type":"article-journal","abstract":"Abstract\nGlobal land-use models have to deal with processes on several spatial scales, ranging from the global scale down to the farm level. The increasing complexity of modern land-use models combined with the problem of limited computational resources represents a challenge to modelers. One solution of this problem is to perform spatial aggregation based on a regular grid or administrative units such as countries. Unfortunately this type of aggregation flattens many regional differences and produces a homogenized map of the world. In this paper we present an alternative aggregation approach using clustering methods. Clustering reduces the loss of information due to aggregation by choosing an appropriate aggregation pattern.\n\nWe investigate different clustering methods, examining their quality in terms of information conservation. Our results indicate that clustering is always a good choice and preferable compared to grid-based aggregation. Although all the clustering methods we tested delivered a higher degree of information conservation than grid-based aggregation, the choice of clustering method is not arbitrary. Comparing outputs of a model fed with original data and a model fed with aggregated data, bottom-up clustering delivered the best results for the whole range of numbers of clusters tested.","container-title":"Ecological Modelling","DOI":"10.1016/j.ecolmodel.2013.05.009","ISSN":"0304-3800","journalAbbreviation":"Ecological Modelling","page":"233-243","source":"ScienceDirect","title":"Reducing the loss of information and gaining accuracy with clustering methods in a global land-use model","volume":"263","author":[{"family":"Dietrich","given":"Jan Philipp"},{"family":"Popp","given":"Alexander"},{"family":"Lotze-Campen","given":"Hermann"}],"issued":{"date-parts":[["2013",8,10]]}}}],"schema":"https://github.com/citation-style-language/schema/raw/master/csl-citation.json"} </w:instrText>
      </w:r>
      <w:r w:rsidR="009B5957">
        <w:rPr>
          <w:color w:val="000000" w:themeColor="text1"/>
        </w:rPr>
        <w:fldChar w:fldCharType="separate"/>
      </w:r>
      <w:r w:rsidR="00A01D99" w:rsidRPr="00A01D99">
        <w:rPr>
          <w:szCs w:val="24"/>
          <w:vertAlign w:val="superscript"/>
        </w:rPr>
        <w:t>112</w:t>
      </w:r>
      <w:r w:rsidR="009B5957">
        <w:rPr>
          <w:color w:val="000000" w:themeColor="text1"/>
        </w:rPr>
        <w:fldChar w:fldCharType="end"/>
      </w:r>
      <w:r w:rsidRPr="00FD54EA">
        <w:rPr>
          <w:color w:val="000000" w:themeColor="text1"/>
        </w:rPr>
        <w:t xml:space="preserve"> conjoins the grid cells to cluster with similar biophysical and socio-economic conditions. After optimization, these clusters are again disaggregated to 0.5° cells using high-resolution data such as historical land use or crop yield potentials. World regions and clusters are flexible. In the model-setup applied for this assessment we use 14 world regions (see Supplementary Figure 1) and simulate all scenarios for both 200 and 1000 cluster cells. For computational reasons, the </w:t>
      </w:r>
      <w:proofErr w:type="gramStart"/>
      <w:r w:rsidRPr="00FD54EA">
        <w:rPr>
          <w:color w:val="000000" w:themeColor="text1"/>
        </w:rPr>
        <w:t>200 cluster</w:t>
      </w:r>
      <w:proofErr w:type="gramEnd"/>
      <w:r w:rsidRPr="00FD54EA">
        <w:rPr>
          <w:color w:val="000000" w:themeColor="text1"/>
        </w:rPr>
        <w:t xml:space="preserve"> cell run is used to derive international trade-patterns which are then fixed for the parallel optimization of the world regions in the 1000 cluster setup. All results are reported for the 1000 cluster setup.</w:t>
      </w:r>
    </w:p>
    <w:p w14:paraId="461FF093"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33C27599" wp14:editId="46262AE6">
            <wp:extent cx="5943600" cy="334010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525D0CF8" w14:textId="77777777" w:rsidR="00BE09F0" w:rsidRPr="00FD54EA" w:rsidRDefault="00FD54EA">
      <w:pPr>
        <w:pStyle w:val="Heading5"/>
        <w:rPr>
          <w:color w:val="000000" w:themeColor="text1"/>
        </w:rPr>
      </w:pPr>
      <w:bookmarkStart w:id="4" w:name="_i192428thao" w:colFirst="0" w:colLast="0"/>
      <w:bookmarkEnd w:id="4"/>
      <w:r w:rsidRPr="00FD54EA">
        <w:rPr>
          <w:color w:val="000000" w:themeColor="text1"/>
        </w:rPr>
        <w:t xml:space="preserve">Supplementary Figure 1: Map with world regions used for the </w:t>
      </w:r>
      <w:proofErr w:type="spellStart"/>
      <w:r w:rsidRPr="00FD54EA">
        <w:rPr>
          <w:color w:val="000000" w:themeColor="text1"/>
        </w:rPr>
        <w:t>MAgPIE</w:t>
      </w:r>
      <w:proofErr w:type="spellEnd"/>
      <w:r w:rsidRPr="00FD54EA">
        <w:rPr>
          <w:color w:val="000000" w:themeColor="text1"/>
        </w:rPr>
        <w:t xml:space="preserve"> simulations in this assessment. Regional abbreviations are in the Supplementary Table 1. </w:t>
      </w:r>
    </w:p>
    <w:p w14:paraId="56C77091" w14:textId="77777777" w:rsidR="00BE09F0" w:rsidRPr="00FD54EA" w:rsidRDefault="00BE09F0">
      <w:pPr>
        <w:rPr>
          <w:color w:val="000000" w:themeColor="text1"/>
        </w:rPr>
      </w:pPr>
    </w:p>
    <w:p w14:paraId="3C3648C9" w14:textId="77777777" w:rsidR="00BE09F0" w:rsidRPr="00FD54EA" w:rsidRDefault="00FD54EA">
      <w:pPr>
        <w:rPr>
          <w:color w:val="000000" w:themeColor="text1"/>
        </w:rPr>
      </w:pPr>
      <w:r w:rsidRPr="00FD54EA">
        <w:rPr>
          <w:color w:val="000000" w:themeColor="text1"/>
        </w:rPr>
        <w:t xml:space="preserve">For presenting the results, the 14 world regions are aggregated based on current per-capita income into Low-income regions (LIR), Middle-income regions (MIR), and High-income regions </w:t>
      </w:r>
      <w:r w:rsidRPr="00FD54EA">
        <w:rPr>
          <w:color w:val="000000" w:themeColor="text1"/>
        </w:rPr>
        <w:lastRenderedPageBreak/>
        <w:t>(HIR). This aggregation is static over time, so countries do not move from one region to another when their income changes.</w:t>
      </w:r>
    </w:p>
    <w:p w14:paraId="09932642" w14:textId="77777777" w:rsidR="00BE09F0" w:rsidRPr="00FD54EA" w:rsidRDefault="00BE09F0">
      <w:pPr>
        <w:rPr>
          <w:color w:val="000000" w:themeColor="text1"/>
        </w:rPr>
      </w:pPr>
    </w:p>
    <w:p w14:paraId="6D2F6048" w14:textId="77777777" w:rsidR="00BE09F0" w:rsidRPr="00FD54EA" w:rsidRDefault="00BE09F0">
      <w:pPr>
        <w:rPr>
          <w:color w:val="000000" w:themeColor="text1"/>
        </w:rPr>
      </w:pPr>
    </w:p>
    <w:p w14:paraId="4D8D8DBC" w14:textId="77777777" w:rsidR="00BE09F0" w:rsidRPr="00FD54EA" w:rsidRDefault="00BE09F0">
      <w:pPr>
        <w:rPr>
          <w:color w:val="000000" w:themeColor="text1"/>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D54EA" w:rsidRPr="00FD54EA" w14:paraId="2952590E" w14:textId="77777777">
        <w:tc>
          <w:tcPr>
            <w:tcW w:w="3120" w:type="dxa"/>
            <w:shd w:val="clear" w:color="auto" w:fill="auto"/>
            <w:tcMar>
              <w:top w:w="100" w:type="dxa"/>
              <w:left w:w="100" w:type="dxa"/>
              <w:bottom w:w="100" w:type="dxa"/>
              <w:right w:w="100" w:type="dxa"/>
            </w:tcMar>
          </w:tcPr>
          <w:p w14:paraId="4A834E92" w14:textId="77777777" w:rsidR="00BE09F0" w:rsidRPr="00FD54EA" w:rsidRDefault="00FD54EA">
            <w:pPr>
              <w:rPr>
                <w:color w:val="000000" w:themeColor="text1"/>
              </w:rPr>
            </w:pPr>
            <w:r w:rsidRPr="00FD54EA">
              <w:rPr>
                <w:color w:val="000000" w:themeColor="text1"/>
              </w:rPr>
              <w:t xml:space="preserve">ANZ </w:t>
            </w:r>
          </w:p>
        </w:tc>
        <w:tc>
          <w:tcPr>
            <w:tcW w:w="3120" w:type="dxa"/>
            <w:shd w:val="clear" w:color="auto" w:fill="auto"/>
            <w:tcMar>
              <w:top w:w="100" w:type="dxa"/>
              <w:left w:w="100" w:type="dxa"/>
              <w:bottom w:w="100" w:type="dxa"/>
              <w:right w:w="100" w:type="dxa"/>
            </w:tcMar>
          </w:tcPr>
          <w:p w14:paraId="2A6A18BF" w14:textId="77777777" w:rsidR="00BE09F0" w:rsidRPr="00FD54EA" w:rsidRDefault="00FD54EA">
            <w:pPr>
              <w:rPr>
                <w:color w:val="000000" w:themeColor="text1"/>
              </w:rPr>
            </w:pPr>
            <w:r w:rsidRPr="00FD54EA">
              <w:rPr>
                <w:color w:val="000000" w:themeColor="text1"/>
              </w:rPr>
              <w:t>Australia &amp; New Zealand</w:t>
            </w:r>
          </w:p>
        </w:tc>
        <w:tc>
          <w:tcPr>
            <w:tcW w:w="3120" w:type="dxa"/>
            <w:shd w:val="clear" w:color="auto" w:fill="auto"/>
            <w:tcMar>
              <w:top w:w="100" w:type="dxa"/>
              <w:left w:w="100" w:type="dxa"/>
              <w:bottom w:w="100" w:type="dxa"/>
              <w:right w:w="100" w:type="dxa"/>
            </w:tcMar>
          </w:tcPr>
          <w:p w14:paraId="43442BD5" w14:textId="77777777" w:rsidR="00BE09F0" w:rsidRPr="00FD54EA" w:rsidRDefault="00FD54EA">
            <w:pPr>
              <w:widowControl w:val="0"/>
              <w:spacing w:line="240" w:lineRule="auto"/>
              <w:rPr>
                <w:color w:val="000000" w:themeColor="text1"/>
              </w:rPr>
            </w:pPr>
            <w:r w:rsidRPr="00FD54EA">
              <w:rPr>
                <w:color w:val="000000" w:themeColor="text1"/>
              </w:rPr>
              <w:t xml:space="preserve">High-income </w:t>
            </w:r>
            <w:proofErr w:type="gramStart"/>
            <w:r w:rsidRPr="00FD54EA">
              <w:rPr>
                <w:color w:val="000000" w:themeColor="text1"/>
              </w:rPr>
              <w:t>region(</w:t>
            </w:r>
            <w:proofErr w:type="gramEnd"/>
            <w:r w:rsidRPr="00FD54EA">
              <w:rPr>
                <w:color w:val="000000" w:themeColor="text1"/>
              </w:rPr>
              <w:t>HIR)</w:t>
            </w:r>
          </w:p>
        </w:tc>
      </w:tr>
      <w:tr w:rsidR="00FD54EA" w:rsidRPr="00FD54EA" w14:paraId="0A4D4E71" w14:textId="77777777">
        <w:tc>
          <w:tcPr>
            <w:tcW w:w="3120" w:type="dxa"/>
            <w:shd w:val="clear" w:color="auto" w:fill="auto"/>
            <w:tcMar>
              <w:top w:w="100" w:type="dxa"/>
              <w:left w:w="100" w:type="dxa"/>
              <w:bottom w:w="100" w:type="dxa"/>
              <w:right w:w="100" w:type="dxa"/>
            </w:tcMar>
          </w:tcPr>
          <w:p w14:paraId="572F3D49" w14:textId="77777777" w:rsidR="00BE09F0" w:rsidRPr="00FD54EA" w:rsidRDefault="00FD54EA">
            <w:pPr>
              <w:rPr>
                <w:color w:val="000000" w:themeColor="text1"/>
              </w:rPr>
            </w:pPr>
            <w:r w:rsidRPr="00FD54EA">
              <w:rPr>
                <w:color w:val="000000" w:themeColor="text1"/>
              </w:rPr>
              <w:t xml:space="preserve">BRA </w:t>
            </w:r>
          </w:p>
        </w:tc>
        <w:tc>
          <w:tcPr>
            <w:tcW w:w="3120" w:type="dxa"/>
            <w:shd w:val="clear" w:color="auto" w:fill="auto"/>
            <w:tcMar>
              <w:top w:w="100" w:type="dxa"/>
              <w:left w:w="100" w:type="dxa"/>
              <w:bottom w:w="100" w:type="dxa"/>
              <w:right w:w="100" w:type="dxa"/>
            </w:tcMar>
          </w:tcPr>
          <w:p w14:paraId="4A4EF322" w14:textId="77777777" w:rsidR="00BE09F0" w:rsidRPr="00FD54EA" w:rsidRDefault="00FD54EA">
            <w:pPr>
              <w:rPr>
                <w:color w:val="000000" w:themeColor="text1"/>
              </w:rPr>
            </w:pPr>
            <w:r w:rsidRPr="00FD54EA">
              <w:rPr>
                <w:color w:val="000000" w:themeColor="text1"/>
              </w:rPr>
              <w:t>Brazil</w:t>
            </w:r>
          </w:p>
        </w:tc>
        <w:tc>
          <w:tcPr>
            <w:tcW w:w="3120" w:type="dxa"/>
            <w:shd w:val="clear" w:color="auto" w:fill="auto"/>
            <w:tcMar>
              <w:top w:w="100" w:type="dxa"/>
              <w:left w:w="100" w:type="dxa"/>
              <w:bottom w:w="100" w:type="dxa"/>
              <w:right w:w="100" w:type="dxa"/>
            </w:tcMar>
          </w:tcPr>
          <w:p w14:paraId="51D2427B" w14:textId="77777777" w:rsidR="00BE09F0" w:rsidRPr="00FD54EA" w:rsidRDefault="00FD54EA">
            <w:pPr>
              <w:widowControl w:val="0"/>
              <w:spacing w:line="240" w:lineRule="auto"/>
              <w:rPr>
                <w:color w:val="000000" w:themeColor="text1"/>
              </w:rPr>
            </w:pPr>
            <w:r w:rsidRPr="00FD54EA">
              <w:rPr>
                <w:color w:val="000000" w:themeColor="text1"/>
              </w:rPr>
              <w:t>Middle-income region (MIR)</w:t>
            </w:r>
          </w:p>
        </w:tc>
      </w:tr>
      <w:tr w:rsidR="00FD54EA" w:rsidRPr="00FD54EA" w14:paraId="60D14BC4" w14:textId="77777777">
        <w:tc>
          <w:tcPr>
            <w:tcW w:w="3120" w:type="dxa"/>
            <w:shd w:val="clear" w:color="auto" w:fill="auto"/>
            <w:tcMar>
              <w:top w:w="100" w:type="dxa"/>
              <w:left w:w="100" w:type="dxa"/>
              <w:bottom w:w="100" w:type="dxa"/>
              <w:right w:w="100" w:type="dxa"/>
            </w:tcMar>
          </w:tcPr>
          <w:p w14:paraId="52C6EBCA" w14:textId="77777777" w:rsidR="00BE09F0" w:rsidRPr="00FD54EA" w:rsidRDefault="00FD54EA">
            <w:pPr>
              <w:rPr>
                <w:color w:val="000000" w:themeColor="text1"/>
              </w:rPr>
            </w:pPr>
            <w:r w:rsidRPr="00FD54EA">
              <w:rPr>
                <w:color w:val="000000" w:themeColor="text1"/>
              </w:rPr>
              <w:t xml:space="preserve">CAN </w:t>
            </w:r>
          </w:p>
        </w:tc>
        <w:tc>
          <w:tcPr>
            <w:tcW w:w="3120" w:type="dxa"/>
            <w:shd w:val="clear" w:color="auto" w:fill="auto"/>
            <w:tcMar>
              <w:top w:w="100" w:type="dxa"/>
              <w:left w:w="100" w:type="dxa"/>
              <w:bottom w:w="100" w:type="dxa"/>
              <w:right w:w="100" w:type="dxa"/>
            </w:tcMar>
          </w:tcPr>
          <w:p w14:paraId="34507AB4" w14:textId="77777777" w:rsidR="00BE09F0" w:rsidRPr="00FD54EA" w:rsidRDefault="00FD54EA">
            <w:pPr>
              <w:rPr>
                <w:color w:val="000000" w:themeColor="text1"/>
              </w:rPr>
            </w:pPr>
            <w:r w:rsidRPr="00FD54EA">
              <w:rPr>
                <w:color w:val="000000" w:themeColor="text1"/>
              </w:rPr>
              <w:t>Canada</w:t>
            </w:r>
          </w:p>
        </w:tc>
        <w:tc>
          <w:tcPr>
            <w:tcW w:w="3120" w:type="dxa"/>
            <w:shd w:val="clear" w:color="auto" w:fill="auto"/>
            <w:tcMar>
              <w:top w:w="100" w:type="dxa"/>
              <w:left w:w="100" w:type="dxa"/>
              <w:bottom w:w="100" w:type="dxa"/>
              <w:right w:w="100" w:type="dxa"/>
            </w:tcMar>
          </w:tcPr>
          <w:p w14:paraId="0E800876" w14:textId="77777777" w:rsidR="00BE09F0" w:rsidRPr="00FD54EA" w:rsidRDefault="00FD54EA">
            <w:pPr>
              <w:widowControl w:val="0"/>
              <w:spacing w:line="240" w:lineRule="auto"/>
              <w:rPr>
                <w:color w:val="000000" w:themeColor="text1"/>
              </w:rPr>
            </w:pPr>
            <w:r w:rsidRPr="00FD54EA">
              <w:rPr>
                <w:color w:val="000000" w:themeColor="text1"/>
              </w:rPr>
              <w:t>High-income region (HIR)</w:t>
            </w:r>
          </w:p>
        </w:tc>
      </w:tr>
      <w:tr w:rsidR="00FD54EA" w:rsidRPr="00FD54EA" w14:paraId="150B648E" w14:textId="77777777">
        <w:tc>
          <w:tcPr>
            <w:tcW w:w="3120" w:type="dxa"/>
            <w:shd w:val="clear" w:color="auto" w:fill="auto"/>
            <w:tcMar>
              <w:top w:w="100" w:type="dxa"/>
              <w:left w:w="100" w:type="dxa"/>
              <w:bottom w:w="100" w:type="dxa"/>
              <w:right w:w="100" w:type="dxa"/>
            </w:tcMar>
          </w:tcPr>
          <w:p w14:paraId="5854812F" w14:textId="77777777" w:rsidR="00BE09F0" w:rsidRPr="00FD54EA" w:rsidRDefault="00FD54EA">
            <w:pPr>
              <w:rPr>
                <w:color w:val="000000" w:themeColor="text1"/>
              </w:rPr>
            </w:pPr>
            <w:r w:rsidRPr="00FD54EA">
              <w:rPr>
                <w:color w:val="000000" w:themeColor="text1"/>
              </w:rPr>
              <w:t xml:space="preserve">CHN </w:t>
            </w:r>
          </w:p>
        </w:tc>
        <w:tc>
          <w:tcPr>
            <w:tcW w:w="3120" w:type="dxa"/>
            <w:shd w:val="clear" w:color="auto" w:fill="auto"/>
            <w:tcMar>
              <w:top w:w="100" w:type="dxa"/>
              <w:left w:w="100" w:type="dxa"/>
              <w:bottom w:w="100" w:type="dxa"/>
              <w:right w:w="100" w:type="dxa"/>
            </w:tcMar>
          </w:tcPr>
          <w:p w14:paraId="3CECBFE4" w14:textId="77777777" w:rsidR="00BE09F0" w:rsidRPr="00FD54EA" w:rsidRDefault="00FD54EA">
            <w:pPr>
              <w:rPr>
                <w:color w:val="000000" w:themeColor="text1"/>
              </w:rPr>
            </w:pPr>
            <w:r w:rsidRPr="00FD54EA">
              <w:rPr>
                <w:color w:val="000000" w:themeColor="text1"/>
              </w:rPr>
              <w:t>China</w:t>
            </w:r>
          </w:p>
        </w:tc>
        <w:tc>
          <w:tcPr>
            <w:tcW w:w="3120" w:type="dxa"/>
            <w:shd w:val="clear" w:color="auto" w:fill="auto"/>
            <w:tcMar>
              <w:top w:w="100" w:type="dxa"/>
              <w:left w:w="100" w:type="dxa"/>
              <w:bottom w:w="100" w:type="dxa"/>
              <w:right w:w="100" w:type="dxa"/>
            </w:tcMar>
          </w:tcPr>
          <w:p w14:paraId="618A632B" w14:textId="77777777" w:rsidR="00BE09F0" w:rsidRPr="00FD54EA" w:rsidRDefault="00FD54EA">
            <w:pPr>
              <w:widowControl w:val="0"/>
              <w:spacing w:line="240" w:lineRule="auto"/>
              <w:rPr>
                <w:color w:val="000000" w:themeColor="text1"/>
              </w:rPr>
            </w:pPr>
            <w:r w:rsidRPr="00FD54EA">
              <w:rPr>
                <w:color w:val="000000" w:themeColor="text1"/>
              </w:rPr>
              <w:t>Middle-income region (MIR)</w:t>
            </w:r>
          </w:p>
        </w:tc>
      </w:tr>
      <w:tr w:rsidR="00FD54EA" w:rsidRPr="00FD54EA" w14:paraId="37E1D3ED" w14:textId="77777777">
        <w:tc>
          <w:tcPr>
            <w:tcW w:w="3120" w:type="dxa"/>
            <w:shd w:val="clear" w:color="auto" w:fill="auto"/>
            <w:tcMar>
              <w:top w:w="100" w:type="dxa"/>
              <w:left w:w="100" w:type="dxa"/>
              <w:bottom w:w="100" w:type="dxa"/>
              <w:right w:w="100" w:type="dxa"/>
            </w:tcMar>
          </w:tcPr>
          <w:p w14:paraId="711D5FB1" w14:textId="77777777" w:rsidR="00BE09F0" w:rsidRPr="00FD54EA" w:rsidRDefault="00FD54EA">
            <w:pPr>
              <w:rPr>
                <w:color w:val="000000" w:themeColor="text1"/>
              </w:rPr>
            </w:pPr>
            <w:r w:rsidRPr="00FD54EA">
              <w:rPr>
                <w:color w:val="000000" w:themeColor="text1"/>
              </w:rPr>
              <w:t xml:space="preserve">EUR </w:t>
            </w:r>
          </w:p>
        </w:tc>
        <w:tc>
          <w:tcPr>
            <w:tcW w:w="3120" w:type="dxa"/>
            <w:shd w:val="clear" w:color="auto" w:fill="auto"/>
            <w:tcMar>
              <w:top w:w="100" w:type="dxa"/>
              <w:left w:w="100" w:type="dxa"/>
              <w:bottom w:w="100" w:type="dxa"/>
              <w:right w:w="100" w:type="dxa"/>
            </w:tcMar>
          </w:tcPr>
          <w:p w14:paraId="0EED0DC7" w14:textId="77777777" w:rsidR="00BE09F0" w:rsidRPr="00FD54EA" w:rsidRDefault="00FD54EA">
            <w:pPr>
              <w:rPr>
                <w:color w:val="000000" w:themeColor="text1"/>
              </w:rPr>
            </w:pPr>
            <w:r w:rsidRPr="00FD54EA">
              <w:rPr>
                <w:color w:val="000000" w:themeColor="text1"/>
              </w:rPr>
              <w:t>European Union</w:t>
            </w:r>
          </w:p>
        </w:tc>
        <w:tc>
          <w:tcPr>
            <w:tcW w:w="3120" w:type="dxa"/>
            <w:shd w:val="clear" w:color="auto" w:fill="auto"/>
            <w:tcMar>
              <w:top w:w="100" w:type="dxa"/>
              <w:left w:w="100" w:type="dxa"/>
              <w:bottom w:w="100" w:type="dxa"/>
              <w:right w:w="100" w:type="dxa"/>
            </w:tcMar>
          </w:tcPr>
          <w:p w14:paraId="3736442A" w14:textId="77777777" w:rsidR="00BE09F0" w:rsidRPr="00FD54EA" w:rsidRDefault="00FD54EA">
            <w:pPr>
              <w:widowControl w:val="0"/>
              <w:spacing w:line="240" w:lineRule="auto"/>
              <w:rPr>
                <w:color w:val="000000" w:themeColor="text1"/>
              </w:rPr>
            </w:pPr>
            <w:r w:rsidRPr="00FD54EA">
              <w:rPr>
                <w:color w:val="000000" w:themeColor="text1"/>
              </w:rPr>
              <w:t>High-income region (HIR)</w:t>
            </w:r>
          </w:p>
        </w:tc>
      </w:tr>
      <w:tr w:rsidR="00FD54EA" w:rsidRPr="00FD54EA" w14:paraId="5C558EA5" w14:textId="77777777">
        <w:tc>
          <w:tcPr>
            <w:tcW w:w="3120" w:type="dxa"/>
            <w:shd w:val="clear" w:color="auto" w:fill="auto"/>
            <w:tcMar>
              <w:top w:w="100" w:type="dxa"/>
              <w:left w:w="100" w:type="dxa"/>
              <w:bottom w:w="100" w:type="dxa"/>
              <w:right w:w="100" w:type="dxa"/>
            </w:tcMar>
          </w:tcPr>
          <w:p w14:paraId="6D8C0EAD" w14:textId="77777777" w:rsidR="00BE09F0" w:rsidRPr="00FD54EA" w:rsidRDefault="00FD54EA">
            <w:pPr>
              <w:rPr>
                <w:color w:val="000000" w:themeColor="text1"/>
              </w:rPr>
            </w:pPr>
            <w:r w:rsidRPr="00FD54EA">
              <w:rPr>
                <w:color w:val="000000" w:themeColor="text1"/>
              </w:rPr>
              <w:t xml:space="preserve">IND </w:t>
            </w:r>
          </w:p>
        </w:tc>
        <w:tc>
          <w:tcPr>
            <w:tcW w:w="3120" w:type="dxa"/>
            <w:shd w:val="clear" w:color="auto" w:fill="auto"/>
            <w:tcMar>
              <w:top w:w="100" w:type="dxa"/>
              <w:left w:w="100" w:type="dxa"/>
              <w:bottom w:w="100" w:type="dxa"/>
              <w:right w:w="100" w:type="dxa"/>
            </w:tcMar>
          </w:tcPr>
          <w:p w14:paraId="311BEC0C" w14:textId="77777777" w:rsidR="00BE09F0" w:rsidRPr="00FD54EA" w:rsidRDefault="00FD54EA">
            <w:pPr>
              <w:rPr>
                <w:color w:val="000000" w:themeColor="text1"/>
              </w:rPr>
            </w:pPr>
            <w:r w:rsidRPr="00FD54EA">
              <w:rPr>
                <w:color w:val="000000" w:themeColor="text1"/>
              </w:rPr>
              <w:t>India</w:t>
            </w:r>
          </w:p>
        </w:tc>
        <w:tc>
          <w:tcPr>
            <w:tcW w:w="3120" w:type="dxa"/>
            <w:shd w:val="clear" w:color="auto" w:fill="auto"/>
            <w:tcMar>
              <w:top w:w="100" w:type="dxa"/>
              <w:left w:w="100" w:type="dxa"/>
              <w:bottom w:w="100" w:type="dxa"/>
              <w:right w:w="100" w:type="dxa"/>
            </w:tcMar>
          </w:tcPr>
          <w:p w14:paraId="173B631A" w14:textId="77777777" w:rsidR="00BE09F0" w:rsidRPr="00FD54EA" w:rsidRDefault="00FD54EA">
            <w:pPr>
              <w:widowControl w:val="0"/>
              <w:spacing w:line="240" w:lineRule="auto"/>
              <w:rPr>
                <w:color w:val="000000" w:themeColor="text1"/>
              </w:rPr>
            </w:pPr>
            <w:r w:rsidRPr="00FD54EA">
              <w:rPr>
                <w:color w:val="000000" w:themeColor="text1"/>
              </w:rPr>
              <w:t>Low-income region (LIR)</w:t>
            </w:r>
          </w:p>
        </w:tc>
      </w:tr>
      <w:tr w:rsidR="00FD54EA" w:rsidRPr="00FD54EA" w14:paraId="11E8751A" w14:textId="77777777">
        <w:tc>
          <w:tcPr>
            <w:tcW w:w="3120" w:type="dxa"/>
            <w:shd w:val="clear" w:color="auto" w:fill="auto"/>
            <w:tcMar>
              <w:top w:w="100" w:type="dxa"/>
              <w:left w:w="100" w:type="dxa"/>
              <w:bottom w:w="100" w:type="dxa"/>
              <w:right w:w="100" w:type="dxa"/>
            </w:tcMar>
          </w:tcPr>
          <w:p w14:paraId="594E449B" w14:textId="77777777" w:rsidR="00BE09F0" w:rsidRPr="00FD54EA" w:rsidRDefault="00FD54EA">
            <w:pPr>
              <w:rPr>
                <w:color w:val="000000" w:themeColor="text1"/>
              </w:rPr>
            </w:pPr>
            <w:r w:rsidRPr="00FD54EA">
              <w:rPr>
                <w:color w:val="000000" w:themeColor="text1"/>
              </w:rPr>
              <w:t xml:space="preserve">JKO </w:t>
            </w:r>
          </w:p>
        </w:tc>
        <w:tc>
          <w:tcPr>
            <w:tcW w:w="3120" w:type="dxa"/>
            <w:shd w:val="clear" w:color="auto" w:fill="auto"/>
            <w:tcMar>
              <w:top w:w="100" w:type="dxa"/>
              <w:left w:w="100" w:type="dxa"/>
              <w:bottom w:w="100" w:type="dxa"/>
              <w:right w:w="100" w:type="dxa"/>
            </w:tcMar>
          </w:tcPr>
          <w:p w14:paraId="2AAAC108" w14:textId="77777777" w:rsidR="00BE09F0" w:rsidRPr="00FD54EA" w:rsidRDefault="00FD54EA">
            <w:pPr>
              <w:rPr>
                <w:color w:val="000000" w:themeColor="text1"/>
              </w:rPr>
            </w:pPr>
            <w:r w:rsidRPr="00FD54EA">
              <w:rPr>
                <w:color w:val="000000" w:themeColor="text1"/>
              </w:rPr>
              <w:t>Japan &amp; South Korea</w:t>
            </w:r>
          </w:p>
        </w:tc>
        <w:tc>
          <w:tcPr>
            <w:tcW w:w="3120" w:type="dxa"/>
            <w:shd w:val="clear" w:color="auto" w:fill="auto"/>
            <w:tcMar>
              <w:top w:w="100" w:type="dxa"/>
              <w:left w:w="100" w:type="dxa"/>
              <w:bottom w:w="100" w:type="dxa"/>
              <w:right w:w="100" w:type="dxa"/>
            </w:tcMar>
          </w:tcPr>
          <w:p w14:paraId="73BC17C2" w14:textId="77777777" w:rsidR="00BE09F0" w:rsidRPr="00FD54EA" w:rsidRDefault="00FD54EA">
            <w:pPr>
              <w:widowControl w:val="0"/>
              <w:spacing w:line="240" w:lineRule="auto"/>
              <w:rPr>
                <w:color w:val="000000" w:themeColor="text1"/>
              </w:rPr>
            </w:pPr>
            <w:r w:rsidRPr="00FD54EA">
              <w:rPr>
                <w:color w:val="000000" w:themeColor="text1"/>
              </w:rPr>
              <w:t>High-income region (HIR)</w:t>
            </w:r>
          </w:p>
        </w:tc>
      </w:tr>
      <w:tr w:rsidR="00FD54EA" w:rsidRPr="00FD54EA" w14:paraId="36C2C5B1" w14:textId="77777777">
        <w:tc>
          <w:tcPr>
            <w:tcW w:w="3120" w:type="dxa"/>
            <w:shd w:val="clear" w:color="auto" w:fill="auto"/>
            <w:tcMar>
              <w:top w:w="100" w:type="dxa"/>
              <w:left w:w="100" w:type="dxa"/>
              <w:bottom w:w="100" w:type="dxa"/>
              <w:right w:w="100" w:type="dxa"/>
            </w:tcMar>
          </w:tcPr>
          <w:p w14:paraId="1DE1113B" w14:textId="77777777" w:rsidR="00BE09F0" w:rsidRPr="00FD54EA" w:rsidRDefault="00FD54EA">
            <w:pPr>
              <w:rPr>
                <w:color w:val="000000" w:themeColor="text1"/>
              </w:rPr>
            </w:pPr>
            <w:r w:rsidRPr="00FD54EA">
              <w:rPr>
                <w:color w:val="000000" w:themeColor="text1"/>
              </w:rPr>
              <w:t xml:space="preserve">LAM </w:t>
            </w:r>
          </w:p>
        </w:tc>
        <w:tc>
          <w:tcPr>
            <w:tcW w:w="3120" w:type="dxa"/>
            <w:shd w:val="clear" w:color="auto" w:fill="auto"/>
            <w:tcMar>
              <w:top w:w="100" w:type="dxa"/>
              <w:left w:w="100" w:type="dxa"/>
              <w:bottom w:w="100" w:type="dxa"/>
              <w:right w:w="100" w:type="dxa"/>
            </w:tcMar>
          </w:tcPr>
          <w:p w14:paraId="5E5ED368" w14:textId="77777777" w:rsidR="00BE09F0" w:rsidRPr="00FD54EA" w:rsidRDefault="00FD54EA">
            <w:pPr>
              <w:rPr>
                <w:color w:val="000000" w:themeColor="text1"/>
              </w:rPr>
            </w:pPr>
            <w:r w:rsidRPr="00FD54EA">
              <w:rPr>
                <w:color w:val="000000" w:themeColor="text1"/>
              </w:rPr>
              <w:t>Latin America (excl. Brazil)</w:t>
            </w:r>
          </w:p>
        </w:tc>
        <w:tc>
          <w:tcPr>
            <w:tcW w:w="3120" w:type="dxa"/>
            <w:shd w:val="clear" w:color="auto" w:fill="auto"/>
            <w:tcMar>
              <w:top w:w="100" w:type="dxa"/>
              <w:left w:w="100" w:type="dxa"/>
              <w:bottom w:w="100" w:type="dxa"/>
              <w:right w:w="100" w:type="dxa"/>
            </w:tcMar>
          </w:tcPr>
          <w:p w14:paraId="76E127DA" w14:textId="77777777" w:rsidR="00BE09F0" w:rsidRPr="00FD54EA" w:rsidRDefault="00FD54EA">
            <w:pPr>
              <w:widowControl w:val="0"/>
              <w:spacing w:line="240" w:lineRule="auto"/>
              <w:rPr>
                <w:color w:val="000000" w:themeColor="text1"/>
              </w:rPr>
            </w:pPr>
            <w:r w:rsidRPr="00FD54EA">
              <w:rPr>
                <w:color w:val="000000" w:themeColor="text1"/>
              </w:rPr>
              <w:t>Middle-income region (MIR)</w:t>
            </w:r>
          </w:p>
        </w:tc>
      </w:tr>
      <w:tr w:rsidR="00FD54EA" w:rsidRPr="00FD54EA" w14:paraId="034CC6B0" w14:textId="77777777">
        <w:tc>
          <w:tcPr>
            <w:tcW w:w="3120" w:type="dxa"/>
            <w:shd w:val="clear" w:color="auto" w:fill="auto"/>
            <w:tcMar>
              <w:top w:w="100" w:type="dxa"/>
              <w:left w:w="100" w:type="dxa"/>
              <w:bottom w:w="100" w:type="dxa"/>
              <w:right w:w="100" w:type="dxa"/>
            </w:tcMar>
          </w:tcPr>
          <w:p w14:paraId="6926D590" w14:textId="77777777" w:rsidR="00BE09F0" w:rsidRPr="00FD54EA" w:rsidRDefault="00FD54EA">
            <w:pPr>
              <w:rPr>
                <w:color w:val="000000" w:themeColor="text1"/>
              </w:rPr>
            </w:pPr>
            <w:r w:rsidRPr="00FD54EA">
              <w:rPr>
                <w:color w:val="000000" w:themeColor="text1"/>
              </w:rPr>
              <w:t xml:space="preserve">MEA </w:t>
            </w:r>
          </w:p>
        </w:tc>
        <w:tc>
          <w:tcPr>
            <w:tcW w:w="3120" w:type="dxa"/>
            <w:shd w:val="clear" w:color="auto" w:fill="auto"/>
            <w:tcMar>
              <w:top w:w="100" w:type="dxa"/>
              <w:left w:w="100" w:type="dxa"/>
              <w:bottom w:w="100" w:type="dxa"/>
              <w:right w:w="100" w:type="dxa"/>
            </w:tcMar>
          </w:tcPr>
          <w:p w14:paraId="11DBF358" w14:textId="77777777" w:rsidR="00BE09F0" w:rsidRPr="00FD54EA" w:rsidRDefault="00FD54EA">
            <w:pPr>
              <w:rPr>
                <w:color w:val="000000" w:themeColor="text1"/>
              </w:rPr>
            </w:pPr>
            <w:r w:rsidRPr="00FD54EA">
              <w:rPr>
                <w:color w:val="000000" w:themeColor="text1"/>
              </w:rPr>
              <w:t>Middle East &amp; North Africa</w:t>
            </w:r>
          </w:p>
        </w:tc>
        <w:tc>
          <w:tcPr>
            <w:tcW w:w="3120" w:type="dxa"/>
            <w:shd w:val="clear" w:color="auto" w:fill="auto"/>
            <w:tcMar>
              <w:top w:w="100" w:type="dxa"/>
              <w:left w:w="100" w:type="dxa"/>
              <w:bottom w:w="100" w:type="dxa"/>
              <w:right w:w="100" w:type="dxa"/>
            </w:tcMar>
          </w:tcPr>
          <w:p w14:paraId="3E133E60" w14:textId="77777777" w:rsidR="00BE09F0" w:rsidRPr="00FD54EA" w:rsidRDefault="00FD54EA">
            <w:pPr>
              <w:widowControl w:val="0"/>
              <w:spacing w:line="240" w:lineRule="auto"/>
              <w:rPr>
                <w:color w:val="000000" w:themeColor="text1"/>
              </w:rPr>
            </w:pPr>
            <w:r w:rsidRPr="00FD54EA">
              <w:rPr>
                <w:color w:val="000000" w:themeColor="text1"/>
              </w:rPr>
              <w:t>Middle-income region (MIR)</w:t>
            </w:r>
          </w:p>
        </w:tc>
      </w:tr>
      <w:tr w:rsidR="00FD54EA" w:rsidRPr="00FD54EA" w14:paraId="7175F5F4" w14:textId="77777777">
        <w:tc>
          <w:tcPr>
            <w:tcW w:w="3120" w:type="dxa"/>
            <w:shd w:val="clear" w:color="auto" w:fill="auto"/>
            <w:tcMar>
              <w:top w:w="100" w:type="dxa"/>
              <w:left w:w="100" w:type="dxa"/>
              <w:bottom w:w="100" w:type="dxa"/>
              <w:right w:w="100" w:type="dxa"/>
            </w:tcMar>
          </w:tcPr>
          <w:p w14:paraId="336F114D" w14:textId="77777777" w:rsidR="00BE09F0" w:rsidRPr="00FD54EA" w:rsidRDefault="00FD54EA">
            <w:pPr>
              <w:rPr>
                <w:color w:val="000000" w:themeColor="text1"/>
              </w:rPr>
            </w:pPr>
            <w:r w:rsidRPr="00FD54EA">
              <w:rPr>
                <w:color w:val="000000" w:themeColor="text1"/>
              </w:rPr>
              <w:t xml:space="preserve">NEA </w:t>
            </w:r>
          </w:p>
        </w:tc>
        <w:tc>
          <w:tcPr>
            <w:tcW w:w="3120" w:type="dxa"/>
            <w:shd w:val="clear" w:color="auto" w:fill="auto"/>
            <w:tcMar>
              <w:top w:w="100" w:type="dxa"/>
              <w:left w:w="100" w:type="dxa"/>
              <w:bottom w:w="100" w:type="dxa"/>
              <w:right w:w="100" w:type="dxa"/>
            </w:tcMar>
          </w:tcPr>
          <w:p w14:paraId="46F775C4" w14:textId="77777777" w:rsidR="00BE09F0" w:rsidRPr="00FD54EA" w:rsidRDefault="00FD54EA">
            <w:pPr>
              <w:rPr>
                <w:color w:val="000000" w:themeColor="text1"/>
              </w:rPr>
            </w:pPr>
            <w:r w:rsidRPr="00FD54EA">
              <w:rPr>
                <w:color w:val="000000" w:themeColor="text1"/>
              </w:rPr>
              <w:t>Northern Eurasia</w:t>
            </w:r>
          </w:p>
        </w:tc>
        <w:tc>
          <w:tcPr>
            <w:tcW w:w="3120" w:type="dxa"/>
            <w:shd w:val="clear" w:color="auto" w:fill="auto"/>
            <w:tcMar>
              <w:top w:w="100" w:type="dxa"/>
              <w:left w:w="100" w:type="dxa"/>
              <w:bottom w:w="100" w:type="dxa"/>
              <w:right w:w="100" w:type="dxa"/>
            </w:tcMar>
          </w:tcPr>
          <w:p w14:paraId="1E6DB2ED" w14:textId="77777777" w:rsidR="00BE09F0" w:rsidRPr="00FD54EA" w:rsidRDefault="00FD54EA">
            <w:pPr>
              <w:widowControl w:val="0"/>
              <w:spacing w:line="240" w:lineRule="auto"/>
              <w:rPr>
                <w:color w:val="000000" w:themeColor="text1"/>
              </w:rPr>
            </w:pPr>
            <w:r w:rsidRPr="00FD54EA">
              <w:rPr>
                <w:color w:val="000000" w:themeColor="text1"/>
              </w:rPr>
              <w:t>Middle-income region (MIR)</w:t>
            </w:r>
          </w:p>
        </w:tc>
      </w:tr>
      <w:tr w:rsidR="00FD54EA" w:rsidRPr="00FD54EA" w14:paraId="5AA544DB" w14:textId="77777777">
        <w:tc>
          <w:tcPr>
            <w:tcW w:w="3120" w:type="dxa"/>
            <w:shd w:val="clear" w:color="auto" w:fill="auto"/>
            <w:tcMar>
              <w:top w:w="100" w:type="dxa"/>
              <w:left w:w="100" w:type="dxa"/>
              <w:bottom w:w="100" w:type="dxa"/>
              <w:right w:w="100" w:type="dxa"/>
            </w:tcMar>
          </w:tcPr>
          <w:p w14:paraId="556972E6" w14:textId="77777777" w:rsidR="00BE09F0" w:rsidRPr="00FD54EA" w:rsidRDefault="00FD54EA">
            <w:pPr>
              <w:rPr>
                <w:color w:val="000000" w:themeColor="text1"/>
              </w:rPr>
            </w:pPr>
            <w:r w:rsidRPr="00FD54EA">
              <w:rPr>
                <w:color w:val="000000" w:themeColor="text1"/>
              </w:rPr>
              <w:t xml:space="preserve">NEU </w:t>
            </w:r>
          </w:p>
        </w:tc>
        <w:tc>
          <w:tcPr>
            <w:tcW w:w="3120" w:type="dxa"/>
            <w:shd w:val="clear" w:color="auto" w:fill="auto"/>
            <w:tcMar>
              <w:top w:w="100" w:type="dxa"/>
              <w:left w:w="100" w:type="dxa"/>
              <w:bottom w:w="100" w:type="dxa"/>
              <w:right w:w="100" w:type="dxa"/>
            </w:tcMar>
          </w:tcPr>
          <w:p w14:paraId="4969B2B4" w14:textId="77777777" w:rsidR="00BE09F0" w:rsidRPr="00FD54EA" w:rsidRDefault="00FD54EA">
            <w:pPr>
              <w:rPr>
                <w:color w:val="000000" w:themeColor="text1"/>
              </w:rPr>
            </w:pPr>
            <w:r w:rsidRPr="00FD54EA">
              <w:rPr>
                <w:color w:val="000000" w:themeColor="text1"/>
              </w:rPr>
              <w:t>Europe (Non-EU)</w:t>
            </w:r>
          </w:p>
        </w:tc>
        <w:tc>
          <w:tcPr>
            <w:tcW w:w="3120" w:type="dxa"/>
            <w:shd w:val="clear" w:color="auto" w:fill="auto"/>
            <w:tcMar>
              <w:top w:w="100" w:type="dxa"/>
              <w:left w:w="100" w:type="dxa"/>
              <w:bottom w:w="100" w:type="dxa"/>
              <w:right w:w="100" w:type="dxa"/>
            </w:tcMar>
          </w:tcPr>
          <w:p w14:paraId="76F9725D" w14:textId="77777777" w:rsidR="00BE09F0" w:rsidRPr="00FD54EA" w:rsidRDefault="00FD54EA">
            <w:pPr>
              <w:widowControl w:val="0"/>
              <w:spacing w:line="240" w:lineRule="auto"/>
              <w:rPr>
                <w:color w:val="000000" w:themeColor="text1"/>
              </w:rPr>
            </w:pPr>
            <w:r w:rsidRPr="00FD54EA">
              <w:rPr>
                <w:color w:val="000000" w:themeColor="text1"/>
              </w:rPr>
              <w:t>High-income region (HIR)</w:t>
            </w:r>
          </w:p>
        </w:tc>
      </w:tr>
      <w:tr w:rsidR="00FD54EA" w:rsidRPr="00FD54EA" w14:paraId="54C6A365" w14:textId="77777777">
        <w:tc>
          <w:tcPr>
            <w:tcW w:w="3120" w:type="dxa"/>
            <w:shd w:val="clear" w:color="auto" w:fill="auto"/>
            <w:tcMar>
              <w:top w:w="100" w:type="dxa"/>
              <w:left w:w="100" w:type="dxa"/>
              <w:bottom w:w="100" w:type="dxa"/>
              <w:right w:w="100" w:type="dxa"/>
            </w:tcMar>
          </w:tcPr>
          <w:p w14:paraId="114F7521" w14:textId="77777777" w:rsidR="00BE09F0" w:rsidRPr="00FD54EA" w:rsidRDefault="00FD54EA">
            <w:pPr>
              <w:rPr>
                <w:color w:val="000000" w:themeColor="text1"/>
              </w:rPr>
            </w:pPr>
            <w:r w:rsidRPr="00FD54EA">
              <w:rPr>
                <w:color w:val="000000" w:themeColor="text1"/>
              </w:rPr>
              <w:t xml:space="preserve">OAS </w:t>
            </w:r>
          </w:p>
        </w:tc>
        <w:tc>
          <w:tcPr>
            <w:tcW w:w="3120" w:type="dxa"/>
            <w:shd w:val="clear" w:color="auto" w:fill="auto"/>
            <w:tcMar>
              <w:top w:w="100" w:type="dxa"/>
              <w:left w:w="100" w:type="dxa"/>
              <w:bottom w:w="100" w:type="dxa"/>
              <w:right w:w="100" w:type="dxa"/>
            </w:tcMar>
          </w:tcPr>
          <w:p w14:paraId="304D3839" w14:textId="77777777" w:rsidR="00BE09F0" w:rsidRPr="00FD54EA" w:rsidRDefault="00FD54EA">
            <w:pPr>
              <w:rPr>
                <w:color w:val="000000" w:themeColor="text1"/>
              </w:rPr>
            </w:pPr>
            <w:proofErr w:type="gramStart"/>
            <w:r w:rsidRPr="00FD54EA">
              <w:rPr>
                <w:color w:val="000000" w:themeColor="text1"/>
              </w:rPr>
              <w:t>Other</w:t>
            </w:r>
            <w:proofErr w:type="gramEnd"/>
            <w:r w:rsidRPr="00FD54EA">
              <w:rPr>
                <w:color w:val="000000" w:themeColor="text1"/>
              </w:rPr>
              <w:t xml:space="preserve"> Asia</w:t>
            </w:r>
          </w:p>
        </w:tc>
        <w:tc>
          <w:tcPr>
            <w:tcW w:w="3120" w:type="dxa"/>
            <w:shd w:val="clear" w:color="auto" w:fill="auto"/>
            <w:tcMar>
              <w:top w:w="100" w:type="dxa"/>
              <w:left w:w="100" w:type="dxa"/>
              <w:bottom w:w="100" w:type="dxa"/>
              <w:right w:w="100" w:type="dxa"/>
            </w:tcMar>
          </w:tcPr>
          <w:p w14:paraId="1D72B641" w14:textId="77777777" w:rsidR="00BE09F0" w:rsidRPr="00FD54EA" w:rsidRDefault="00FD54EA">
            <w:pPr>
              <w:widowControl w:val="0"/>
              <w:spacing w:line="240" w:lineRule="auto"/>
              <w:rPr>
                <w:color w:val="000000" w:themeColor="text1"/>
              </w:rPr>
            </w:pPr>
            <w:r w:rsidRPr="00FD54EA">
              <w:rPr>
                <w:color w:val="000000" w:themeColor="text1"/>
              </w:rPr>
              <w:t>Middle-income region (MIR)</w:t>
            </w:r>
          </w:p>
        </w:tc>
      </w:tr>
      <w:tr w:rsidR="00FD54EA" w:rsidRPr="00FD54EA" w14:paraId="54A55E8C" w14:textId="77777777">
        <w:tc>
          <w:tcPr>
            <w:tcW w:w="3120" w:type="dxa"/>
            <w:shd w:val="clear" w:color="auto" w:fill="auto"/>
            <w:tcMar>
              <w:top w:w="100" w:type="dxa"/>
              <w:left w:w="100" w:type="dxa"/>
              <w:bottom w:w="100" w:type="dxa"/>
              <w:right w:w="100" w:type="dxa"/>
            </w:tcMar>
          </w:tcPr>
          <w:p w14:paraId="637733FA" w14:textId="77777777" w:rsidR="00BE09F0" w:rsidRPr="00FD54EA" w:rsidRDefault="00FD54EA">
            <w:pPr>
              <w:rPr>
                <w:color w:val="000000" w:themeColor="text1"/>
              </w:rPr>
            </w:pPr>
            <w:r w:rsidRPr="00FD54EA">
              <w:rPr>
                <w:color w:val="000000" w:themeColor="text1"/>
              </w:rPr>
              <w:t xml:space="preserve">SSA </w:t>
            </w:r>
          </w:p>
        </w:tc>
        <w:tc>
          <w:tcPr>
            <w:tcW w:w="3120" w:type="dxa"/>
            <w:shd w:val="clear" w:color="auto" w:fill="auto"/>
            <w:tcMar>
              <w:top w:w="100" w:type="dxa"/>
              <w:left w:w="100" w:type="dxa"/>
              <w:bottom w:w="100" w:type="dxa"/>
              <w:right w:w="100" w:type="dxa"/>
            </w:tcMar>
          </w:tcPr>
          <w:p w14:paraId="6F11F94D" w14:textId="77777777" w:rsidR="00BE09F0" w:rsidRPr="00FD54EA" w:rsidRDefault="00FD54EA">
            <w:pPr>
              <w:rPr>
                <w:color w:val="000000" w:themeColor="text1"/>
              </w:rPr>
            </w:pPr>
            <w:r w:rsidRPr="00FD54EA">
              <w:rPr>
                <w:color w:val="000000" w:themeColor="text1"/>
              </w:rPr>
              <w:t>Sub-Saharan Africa</w:t>
            </w:r>
          </w:p>
        </w:tc>
        <w:tc>
          <w:tcPr>
            <w:tcW w:w="3120" w:type="dxa"/>
            <w:shd w:val="clear" w:color="auto" w:fill="auto"/>
            <w:tcMar>
              <w:top w:w="100" w:type="dxa"/>
              <w:left w:w="100" w:type="dxa"/>
              <w:bottom w:w="100" w:type="dxa"/>
              <w:right w:w="100" w:type="dxa"/>
            </w:tcMar>
          </w:tcPr>
          <w:p w14:paraId="1F95E600" w14:textId="77777777" w:rsidR="00BE09F0" w:rsidRPr="00FD54EA" w:rsidRDefault="00FD54EA">
            <w:pPr>
              <w:widowControl w:val="0"/>
              <w:spacing w:line="240" w:lineRule="auto"/>
              <w:rPr>
                <w:color w:val="000000" w:themeColor="text1"/>
              </w:rPr>
            </w:pPr>
            <w:r w:rsidRPr="00FD54EA">
              <w:rPr>
                <w:color w:val="000000" w:themeColor="text1"/>
              </w:rPr>
              <w:t>Low-income region (LIR)</w:t>
            </w:r>
          </w:p>
        </w:tc>
      </w:tr>
      <w:tr w:rsidR="00FD54EA" w:rsidRPr="00FD54EA" w14:paraId="209D4479" w14:textId="77777777">
        <w:tc>
          <w:tcPr>
            <w:tcW w:w="3120" w:type="dxa"/>
            <w:shd w:val="clear" w:color="auto" w:fill="auto"/>
            <w:tcMar>
              <w:top w:w="100" w:type="dxa"/>
              <w:left w:w="100" w:type="dxa"/>
              <w:bottom w:w="100" w:type="dxa"/>
              <w:right w:w="100" w:type="dxa"/>
            </w:tcMar>
          </w:tcPr>
          <w:p w14:paraId="672904D0" w14:textId="77777777" w:rsidR="00BE09F0" w:rsidRPr="00FD54EA" w:rsidRDefault="00FD54EA">
            <w:pPr>
              <w:rPr>
                <w:color w:val="000000" w:themeColor="text1"/>
              </w:rPr>
            </w:pPr>
            <w:r w:rsidRPr="00FD54EA">
              <w:rPr>
                <w:color w:val="000000" w:themeColor="text1"/>
              </w:rPr>
              <w:t xml:space="preserve">USA </w:t>
            </w:r>
          </w:p>
        </w:tc>
        <w:tc>
          <w:tcPr>
            <w:tcW w:w="3120" w:type="dxa"/>
            <w:shd w:val="clear" w:color="auto" w:fill="auto"/>
            <w:tcMar>
              <w:top w:w="100" w:type="dxa"/>
              <w:left w:w="100" w:type="dxa"/>
              <w:bottom w:w="100" w:type="dxa"/>
              <w:right w:w="100" w:type="dxa"/>
            </w:tcMar>
          </w:tcPr>
          <w:p w14:paraId="2BAA853E" w14:textId="77777777" w:rsidR="00BE09F0" w:rsidRPr="00FD54EA" w:rsidRDefault="00FD54EA">
            <w:pPr>
              <w:rPr>
                <w:color w:val="000000" w:themeColor="text1"/>
              </w:rPr>
            </w:pPr>
            <w:r w:rsidRPr="00FD54EA">
              <w:rPr>
                <w:color w:val="000000" w:themeColor="text1"/>
              </w:rPr>
              <w:t>United States of America</w:t>
            </w:r>
          </w:p>
        </w:tc>
        <w:tc>
          <w:tcPr>
            <w:tcW w:w="3120" w:type="dxa"/>
            <w:shd w:val="clear" w:color="auto" w:fill="auto"/>
            <w:tcMar>
              <w:top w:w="100" w:type="dxa"/>
              <w:left w:w="100" w:type="dxa"/>
              <w:bottom w:w="100" w:type="dxa"/>
              <w:right w:w="100" w:type="dxa"/>
            </w:tcMar>
          </w:tcPr>
          <w:p w14:paraId="47C661A8" w14:textId="77777777" w:rsidR="00BE09F0" w:rsidRPr="00FD54EA" w:rsidRDefault="00FD54EA">
            <w:pPr>
              <w:widowControl w:val="0"/>
              <w:spacing w:line="240" w:lineRule="auto"/>
              <w:rPr>
                <w:color w:val="000000" w:themeColor="text1"/>
              </w:rPr>
            </w:pPr>
            <w:r w:rsidRPr="00FD54EA">
              <w:rPr>
                <w:color w:val="000000" w:themeColor="text1"/>
              </w:rPr>
              <w:t>High-income region (HIR)</w:t>
            </w:r>
          </w:p>
        </w:tc>
      </w:tr>
    </w:tbl>
    <w:p w14:paraId="4C5892A6" w14:textId="77777777" w:rsidR="00BE09F0" w:rsidRPr="00FD54EA" w:rsidRDefault="00FD54EA">
      <w:pPr>
        <w:pStyle w:val="Heading5"/>
        <w:rPr>
          <w:color w:val="000000" w:themeColor="text1"/>
        </w:rPr>
      </w:pPr>
      <w:bookmarkStart w:id="5" w:name="_u03awyo6yd4" w:colFirst="0" w:colLast="0"/>
      <w:bookmarkEnd w:id="5"/>
      <w:r w:rsidRPr="00FD54EA">
        <w:rPr>
          <w:i/>
          <w:color w:val="000000" w:themeColor="text1"/>
        </w:rPr>
        <w:t xml:space="preserve">Supplementary Table 1: World regions used for </w:t>
      </w:r>
      <w:proofErr w:type="spellStart"/>
      <w:r w:rsidRPr="00FD54EA">
        <w:rPr>
          <w:i/>
          <w:color w:val="000000" w:themeColor="text1"/>
        </w:rPr>
        <w:t>MAgPIE</w:t>
      </w:r>
      <w:proofErr w:type="spellEnd"/>
      <w:r w:rsidRPr="00FD54EA">
        <w:rPr>
          <w:i/>
          <w:color w:val="000000" w:themeColor="text1"/>
        </w:rPr>
        <w:t xml:space="preserve"> simulations and their classification into low-income, middle-income, and high-income</w:t>
      </w:r>
      <w:r w:rsidRPr="00FD54EA">
        <w:rPr>
          <w:color w:val="000000" w:themeColor="text1"/>
        </w:rPr>
        <w:t xml:space="preserve">. </w:t>
      </w:r>
    </w:p>
    <w:p w14:paraId="7CFEC916" w14:textId="77777777" w:rsidR="00BE09F0" w:rsidRPr="00FD54EA" w:rsidRDefault="00BE09F0">
      <w:pPr>
        <w:spacing w:before="240"/>
        <w:rPr>
          <w:color w:val="000000" w:themeColor="text1"/>
        </w:rPr>
      </w:pPr>
    </w:p>
    <w:p w14:paraId="55754894" w14:textId="77777777" w:rsidR="00BE09F0" w:rsidRPr="00FD54EA" w:rsidRDefault="00FD54EA">
      <w:pPr>
        <w:pStyle w:val="Heading4"/>
        <w:rPr>
          <w:color w:val="000000" w:themeColor="text1"/>
        </w:rPr>
      </w:pPr>
      <w:bookmarkStart w:id="6" w:name="_4skcoenlyssf" w:colFirst="0" w:colLast="0"/>
      <w:bookmarkEnd w:id="6"/>
      <w:r w:rsidRPr="00FD54EA">
        <w:rPr>
          <w:color w:val="000000" w:themeColor="text1"/>
        </w:rPr>
        <w:t>S1.1.2 Material and bioenergy demand: 1st generation bioenergy, 2nd generation bioenergy, bioplastics, other materials.</w:t>
      </w:r>
    </w:p>
    <w:p w14:paraId="0F6E2BB6" w14:textId="10C6FAC0" w:rsidR="00BE09F0" w:rsidRPr="00FD54EA" w:rsidRDefault="00FD54EA">
      <w:pPr>
        <w:spacing w:before="240"/>
        <w:rPr>
          <w:color w:val="000000" w:themeColor="text1"/>
        </w:rPr>
      </w:pPr>
      <w:r w:rsidRPr="00FD54EA">
        <w:rPr>
          <w:color w:val="000000" w:themeColor="text1"/>
        </w:rPr>
        <w:t>Additional to the food demand, there is also a historically considerably smaller demand for other usage of agricultural products. The FAOSTAT</w:t>
      </w:r>
      <w:r w:rsidR="00267872">
        <w:rPr>
          <w:color w:val="000000" w:themeColor="text1"/>
        </w:rPr>
        <w:fldChar w:fldCharType="begin"/>
      </w:r>
      <w:r w:rsidR="00A01D99">
        <w:rPr>
          <w:color w:val="000000" w:themeColor="text1"/>
        </w:rPr>
        <w:instrText xml:space="preserve"> ADDIN ZOTERO_ITEM CSL_CITATION {"citationID":"K1zE2z9p","properties":{"formattedCitation":"\\super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267872">
        <w:rPr>
          <w:color w:val="000000" w:themeColor="text1"/>
        </w:rPr>
        <w:fldChar w:fldCharType="separate"/>
      </w:r>
      <w:r w:rsidR="00A01D99" w:rsidRPr="00A01D99">
        <w:rPr>
          <w:szCs w:val="24"/>
          <w:vertAlign w:val="superscript"/>
        </w:rPr>
        <w:t>113</w:t>
      </w:r>
      <w:r w:rsidR="00267872">
        <w:rPr>
          <w:color w:val="000000" w:themeColor="text1"/>
        </w:rPr>
        <w:fldChar w:fldCharType="end"/>
      </w:r>
      <w:r w:rsidRPr="00FD54EA">
        <w:rPr>
          <w:color w:val="000000" w:themeColor="text1"/>
        </w:rPr>
        <w:t xml:space="preserve"> estimate of this “other usage” was split into 1st generation bioenergy usage (ethanol, biodiesel) and other material demand using the World Energy Balances</w:t>
      </w:r>
      <w:r w:rsidR="00267872">
        <w:rPr>
          <w:color w:val="000000" w:themeColor="text1"/>
        </w:rPr>
        <w:fldChar w:fldCharType="begin"/>
      </w:r>
      <w:r w:rsidR="00A01D99">
        <w:rPr>
          <w:color w:val="000000" w:themeColor="text1"/>
        </w:rPr>
        <w:instrText xml:space="preserve"> ADDIN ZOTERO_ITEM CSL_CITATION {"citationID":"jC9W1z4D","properties":{"formattedCitation":"\\super 114\\nosupersub{}","plainCitation":"114","noteIndex":0},"citationItems":[{"id":9338,"uris":["http://zotero.org/users/694717/items/X9DCCNNV"],"itemData":{"id":9338,"type":"webpage","title":"World Energy Balances 2022","URL":"https://www.iea.org/data-and-statistics/data-product/world-energy-balances","author":[{"literal":"IEA"}],"issued":{"date-parts":[["2022"]]}}}],"schema":"https://github.com/citation-style-language/schema/raw/master/csl-citation.json"} </w:instrText>
      </w:r>
      <w:r w:rsidR="00267872">
        <w:rPr>
          <w:color w:val="000000" w:themeColor="text1"/>
        </w:rPr>
        <w:fldChar w:fldCharType="separate"/>
      </w:r>
      <w:r w:rsidR="00A01D99" w:rsidRPr="00A01D99">
        <w:rPr>
          <w:szCs w:val="24"/>
          <w:vertAlign w:val="superscript"/>
        </w:rPr>
        <w:t>114</w:t>
      </w:r>
      <w:r w:rsidR="00267872">
        <w:rPr>
          <w:color w:val="000000" w:themeColor="text1"/>
        </w:rPr>
        <w:fldChar w:fldCharType="end"/>
      </w:r>
      <w:r w:rsidRPr="00FD54EA">
        <w:rPr>
          <w:color w:val="000000" w:themeColor="text1"/>
        </w:rPr>
        <w:t>. The other material demand was further split into a fraction used for bioplastics and a fraction used for other material purposes (e.g. industrial starch, cosmetics) using estimates by the Institute for Bioplastics and Biocomposites</w:t>
      </w:r>
      <w:r w:rsidR="00267872">
        <w:rPr>
          <w:color w:val="000000" w:themeColor="text1"/>
        </w:rPr>
        <w:fldChar w:fldCharType="begin"/>
      </w:r>
      <w:r w:rsidR="00A01D99">
        <w:rPr>
          <w:color w:val="000000" w:themeColor="text1"/>
        </w:rPr>
        <w:instrText xml:space="preserve"> ADDIN ZOTERO_ITEM CSL_CITATION {"citationID":"8khobT8I","properties":{"formattedCitation":"\\super 115\\nosupersub{}","plainCitation":"115","noteIndex":0},"citationItems":[{"id":9451,"uris":["http://zotero.org/users/694717/items/8AFPIC45"],"itemData":{"id":9451,"type":"report","event-place":"Germany","publisher":"Hochschule Hannover","publisher-place":"Germany","title":"Biopolymers-Facts-Statistics-einseitig-2021.pdf","URL":"https://www.ifbb-hannover.de/files/IfBB/downloads/faltblaetter_broschueren/f+s/Biopolymers-Facts-Statistics-einseitig-2021.pdf","author":[{"literal":"Institute for Bioplastics and Biocomposites"}],"accessed":{"date-parts":[["2023",5,12]]},"issued":{"date-parts":[["2021"]]}}}],"schema":"https://github.com/citation-style-language/schema/raw/master/csl-citation.json"} </w:instrText>
      </w:r>
      <w:r w:rsidR="00267872">
        <w:rPr>
          <w:color w:val="000000" w:themeColor="text1"/>
        </w:rPr>
        <w:fldChar w:fldCharType="separate"/>
      </w:r>
      <w:r w:rsidR="00A01D99" w:rsidRPr="00A01D99">
        <w:rPr>
          <w:szCs w:val="24"/>
          <w:vertAlign w:val="superscript"/>
        </w:rPr>
        <w:t>115</w:t>
      </w:r>
      <w:r w:rsidR="00267872">
        <w:rPr>
          <w:color w:val="000000" w:themeColor="text1"/>
        </w:rPr>
        <w:fldChar w:fldCharType="end"/>
      </w:r>
      <w:r w:rsidRPr="00FD54EA">
        <w:rPr>
          <w:color w:val="000000" w:themeColor="text1"/>
        </w:rPr>
        <w:t xml:space="preserve">. 1st generation bioenergy </w:t>
      </w:r>
      <w:r w:rsidRPr="00FD54EA">
        <w:rPr>
          <w:color w:val="000000" w:themeColor="text1"/>
        </w:rPr>
        <w:lastRenderedPageBreak/>
        <w:t>usage was projected into the future using country-specific bioenergy targets</w:t>
      </w:r>
      <w:r w:rsidR="00267872">
        <w:rPr>
          <w:color w:val="000000" w:themeColor="text1"/>
        </w:rPr>
        <w:fldChar w:fldCharType="begin"/>
      </w:r>
      <w:r w:rsidR="00A01D99">
        <w:rPr>
          <w:color w:val="000000" w:themeColor="text1"/>
        </w:rPr>
        <w:instrText xml:space="preserve"> ADDIN ZOTERO_ITEM CSL_CITATION {"citationID":"0RAfBLLv","properties":{"formattedCitation":"\\super 81\\nosupersub{}","plainCitation":"81","noteIndex":0},"citationItems":[{"id":2690,"uris":["http://zotero.org/users/694717/items/B66XBXMR"],"itemData":{"id":2690,"type":"article-journal","container-title":"Agricultural Economics","DOI":"10.1111/agec.12092","ISSN":"01695150","issue":"1","language":"en","page":"103-116","source":"CrossRef","title":"Impacts of increased bioenergy demand on global food markets: an AgMIP economic model intercomparison","title-short":"Impacts of increased bioenergy demand on global food markets","volume":"45","author":[{"family":"Lotze-Campen","given":"Hermann"},{"family":"Lampe","given":"Martin","non-dropping-particle":"von"},{"family":"Kyle","given":"Page"},{"family":"Fujimori","given":"Shinichiro"},{"family":"Havlik","given":"Petr"},{"family":"Meijl","given":"Hans","non-dropping-particle":"van"},{"family":"Hasegawa","given":"Tomoko"},{"family":"Popp","given":"Alexander"},{"family":"Schmitz","given":"Christoph"},{"family":"Tabeau","given":"Andrzej"},{"family":"Valin","given":"Hugo"},{"family":"Willenbockel","given":"Dirk"},{"family":"Wise","given":"Marshall"}],"issued":{"date-parts":[["2014",1]]}}}],"schema":"https://github.com/citation-style-language/schema/raw/master/csl-citation.json"} </w:instrText>
      </w:r>
      <w:r w:rsidR="00267872">
        <w:rPr>
          <w:color w:val="000000" w:themeColor="text1"/>
        </w:rPr>
        <w:fldChar w:fldCharType="separate"/>
      </w:r>
      <w:r w:rsidR="00A01D99" w:rsidRPr="00A01D99">
        <w:rPr>
          <w:szCs w:val="24"/>
          <w:vertAlign w:val="superscript"/>
        </w:rPr>
        <w:t>81</w:t>
      </w:r>
      <w:r w:rsidR="00267872">
        <w:rPr>
          <w:color w:val="000000" w:themeColor="text1"/>
        </w:rPr>
        <w:fldChar w:fldCharType="end"/>
      </w:r>
      <w:r w:rsidRPr="00FD54EA">
        <w:rPr>
          <w:color w:val="000000" w:themeColor="text1"/>
        </w:rPr>
        <w:t>. Additional to first generation bioenergy demand, there is demand for 2nd generation bioenergy made from cellulosic fast-growing grasses and trees. While these 2nd generation bioenergy crops have no significant market share today, they are projected to have large relevance for the future. Scenarios for 2nd generation bioenergy crops were derived from a previous model exercise</w:t>
      </w:r>
      <w:r w:rsidR="00267872">
        <w:rPr>
          <w:color w:val="000000" w:themeColor="text1"/>
        </w:rPr>
        <w:fldChar w:fldCharType="begin"/>
      </w:r>
      <w:r w:rsidR="00267872">
        <w:rPr>
          <w:color w:val="000000" w:themeColor="text1"/>
        </w:rPr>
        <w:instrText xml:space="preserve"> ADDIN ZOTERO_ITEM CSL_CITATION {"citationID":"nUy4NTaB","properties":{"formattedCitation":"\\super 25\\nosupersub{}","plainCitation":"25","noteIndex":0},"citationItems":[{"id":7587,"uris":["http://zotero.org/users/694717/items/F9LEZKZA"],"itemData":{"id":7587,"type":"article-journal","abstract":"Ambitious climate policies, as well as economic development, education, technological progress and less resource-intensive lifestyles, are crucial elements for progress towards the UN Sustainable Development Goals (SDGs). However, using an integrated modelling framework covering 56 indicators or proxies across all 17 SDGs, we show that they are insufficient to reach the targets. An additional sustainable development package, including international climate finance, progressive redistribution of carbon pricing revenues, sufficient and healthy nutrition and improved access to modern energy, enables a more comprehensive sustainable development pathway. We quantify climate and SDG outcomes, showing that these interventions substantially boost progress towards many aspects of the UN Agenda 2030 and simultaneously facilitate reaching ambitious climate targets. Nonetheless, several important gaps remain; for example, with respect to the eradication of extreme poverty (180 million people remaining in 2030). These gaps can be closed by 2050 for many SDGs while also respecting the 1.5 °C target and several other planetary boundaries.","container-title":"Nature Climate Change","DOI":"10.1038/s41558-021-01098-3","ISSN":"1758-6798","issue":"8","journalAbbreviation":"Nat. Clim. Chang.","language":"en","license":"2021 The Author(s), under exclusive licence to Springer Nature Limited","note":"Bandiera_abtest: a\nCg_type: Nature Research Journals\nnumber: 8\nPrimary_atype: Research\npublisher: Nature Publishing Group\nSubject_term: Climate-change mitigation;Climate-change policy;Socioeconomic scenarios;Sustainability\nSubject_term_id: climate-change-mitigation;climate-change-policy;socioeconomic-scenarios;sustainability","page":"656-664","source":"www.nature.com","title":"A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Jeetze","given":"Patrick","non-dropping-particle":"von"},{"family":"Klein","given":"David"},{"family":"Koch","given":"Johannes"},{"family":"Pietzcker","given":"Robert"},{"family":"Strefler","given":"Jessica"},{"family":"Lotze-Campen","given":"Hermann"},{"family":"Popp","given":"Alexander"}],"issued":{"date-parts":[["2021",8]]}}}],"schema":"https://github.com/citation-style-language/schema/raw/master/csl-citation.json"} </w:instrText>
      </w:r>
      <w:r w:rsidR="00267872">
        <w:rPr>
          <w:color w:val="000000" w:themeColor="text1"/>
        </w:rPr>
        <w:fldChar w:fldCharType="separate"/>
      </w:r>
      <w:r w:rsidR="00267872" w:rsidRPr="00267872">
        <w:rPr>
          <w:szCs w:val="24"/>
          <w:vertAlign w:val="superscript"/>
        </w:rPr>
        <w:t>25</w:t>
      </w:r>
      <w:r w:rsidR="00267872">
        <w:rPr>
          <w:color w:val="000000" w:themeColor="text1"/>
        </w:rPr>
        <w:fldChar w:fldCharType="end"/>
      </w:r>
      <w:r w:rsidRPr="00FD54EA">
        <w:rPr>
          <w:color w:val="000000" w:themeColor="text1"/>
        </w:rPr>
        <w:t xml:space="preserve">, where the </w:t>
      </w:r>
      <w:proofErr w:type="spellStart"/>
      <w:r w:rsidRPr="00FD54EA">
        <w:rPr>
          <w:color w:val="000000" w:themeColor="text1"/>
        </w:rPr>
        <w:t>MAgPIE</w:t>
      </w:r>
      <w:proofErr w:type="spellEnd"/>
      <w:r w:rsidRPr="00FD54EA">
        <w:rPr>
          <w:color w:val="000000" w:themeColor="text1"/>
        </w:rPr>
        <w:t xml:space="preserve"> model was iterated with the REMIND energy and macroeconomy model (see Methods section Macro-Economy and Energy Model (REMIND)). </w:t>
      </w:r>
    </w:p>
    <w:p w14:paraId="108FA5B5" w14:textId="4079009D" w:rsidR="00BE09F0" w:rsidRPr="00FD54EA" w:rsidRDefault="00FD54EA">
      <w:pPr>
        <w:spacing w:before="240"/>
        <w:rPr>
          <w:color w:val="000000" w:themeColor="text1"/>
        </w:rPr>
      </w:pPr>
      <w:r w:rsidRPr="00FD54EA">
        <w:rPr>
          <w:color w:val="000000" w:themeColor="text1"/>
        </w:rPr>
        <w:t>The production of bioplastics requires biomass in the form of oils, sugar, starch, glycerol, or cellulose. We assume that for future projections, the composition between different sources for bioplastic production stays constant based on current shares</w:t>
      </w:r>
      <w:r w:rsidR="00267872">
        <w:rPr>
          <w:color w:val="000000" w:themeColor="text1"/>
        </w:rPr>
        <w:fldChar w:fldCharType="begin"/>
      </w:r>
      <w:r w:rsidR="00A01D99">
        <w:rPr>
          <w:color w:val="000000" w:themeColor="text1"/>
        </w:rPr>
        <w:instrText xml:space="preserve"> ADDIN ZOTERO_ITEM CSL_CITATION {"citationID":"yFLgxUL9","properties":{"formattedCitation":"\\super 116\\nosupersub{}","plainCitation":"116","noteIndex":0},"citationItems":[{"id":9099,"uris":["http://zotero.org/users/694717/items/BJM7HPU7"],"itemData":{"id":9099,"type":"document","publisher":"nova-Institute","title":"Bio-Based Building Blocks and Polymers – Global Capacities, Production and Trends 2020 – 2025 (Short Version)","author":[{"family":"Skoczinski","given":"Pia"},{"family":"Carus","given":"Michael"},{"family":"Guzman","given":"Doris","non-dropping-particle":"de"},{"family":"Käb","given":"Harald"},{"family":"Chinthapalli","given":"Raj"},{"family":"Ravenstijn","given":"Jan"},{"family":"Baltus","given":"Wolfgang"},{"family":"Raschka","given":"Achim"}],"issued":{"date-parts":[["2021"]]}}}],"schema":"https://github.com/citation-style-language/schema/raw/master/csl-citation.json"} </w:instrText>
      </w:r>
      <w:r w:rsidR="00267872">
        <w:rPr>
          <w:color w:val="000000" w:themeColor="text1"/>
        </w:rPr>
        <w:fldChar w:fldCharType="separate"/>
      </w:r>
      <w:r w:rsidR="00A01D99" w:rsidRPr="00A01D99">
        <w:rPr>
          <w:szCs w:val="24"/>
          <w:vertAlign w:val="superscript"/>
        </w:rPr>
        <w:t>116</w:t>
      </w:r>
      <w:r w:rsidR="00267872">
        <w:rPr>
          <w:color w:val="000000" w:themeColor="text1"/>
        </w:rPr>
        <w:fldChar w:fldCharType="end"/>
      </w:r>
      <w:r w:rsidRPr="00FD54EA">
        <w:rPr>
          <w:color w:val="000000" w:themeColor="text1"/>
        </w:rPr>
        <w:t xml:space="preserve">. Glycerol is assumed to be sufficiently available as a byproduct from other production (e.g. biodiesel). Oils and sugar are included in </w:t>
      </w:r>
      <w:proofErr w:type="spellStart"/>
      <w:r w:rsidRPr="00FD54EA">
        <w:rPr>
          <w:color w:val="000000" w:themeColor="text1"/>
        </w:rPr>
        <w:t>MAgPIE</w:t>
      </w:r>
      <w:proofErr w:type="spellEnd"/>
      <w:r w:rsidRPr="00FD54EA">
        <w:rPr>
          <w:color w:val="000000" w:themeColor="text1"/>
        </w:rPr>
        <w:t xml:space="preserve"> as processed goods, while starch and cellulose demand was translated to primary agricultural products using conversion factors from literature</w:t>
      </w:r>
      <w:r w:rsidR="00267872">
        <w:rPr>
          <w:color w:val="000000" w:themeColor="text1"/>
        </w:rPr>
        <w:fldChar w:fldCharType="begin"/>
      </w:r>
      <w:r w:rsidR="00A01D99">
        <w:rPr>
          <w:color w:val="000000" w:themeColor="text1"/>
        </w:rPr>
        <w:instrText xml:space="preserve"> ADDIN ZOTERO_ITEM CSL_CITATION {"citationID":"vcCDJidb","properties":{"formattedCitation":"\\super 115,117\\uc0\\u8211{}119\\nosupersub{}","plainCitation":"115,117–119","noteIndex":0},"citationItems":[{"id":9451,"uris":["http://zotero.org/users/694717/items/8AFPIC45"],"itemData":{"id":9451,"type":"report","event-place":"Germany","publisher":"Hochschule Hannover","publisher-place":"Germany","title":"Biopolymers-Facts-Statistics-einseitig-2021.pdf","URL":"https://www.ifbb-hannover.de/files/IfBB/downloads/faltblaetter_broschueren/f+s/Biopolymers-Facts-Statistics-einseitig-2021.pdf","author":[{"literal":"Institute for Bioplastics and Biocomposites"}],"accessed":{"date-parts":[["2023",5,12]]},"issued":{"date-parts":[["2021"]]}}},{"id":9098,"uris":["http://zotero.org/users/694717/items/ZC76JRCA"],"itemData":{"id":9098,"type":"article-journal","abstract":"The growing demand for transportation fuels, along with concerns about the harmful effects of greenhouse gas emissions from the burning of fossil fuels, has assured a viable future for the development of alternative fuels from renewable resources, such as lignocellulosic biomass. The efficient utilization of these biomass resources is critically dependant on the in-depth knowledge of their chemical constituents. This, together with the desired fuel properties, helps tailor the chemical and/or enzymatic processes involved in converting biomass to biofuels. Hybrid poplars are among the fastest growing temperate trees in the world and a very promising feedstock for biofuels and other value-added products. Sequencing of the poplar genome has paved the way for tailoring new cultivars and clones optimized for biofuels production. Our objective is to review published research on the composition of the key chemical constituents of hybrid poplar species used for biofuels. Biomass yields, elemental composition, carbohydrate and lignin content and composition are some of the characteristics reviewed, with emphasis on lignin structure. Genetic modifications used to alter lignin content and composition, with the aim of improving biofuels yields, are also examined. Copyright © 2010 Society of Chemical Industry and John Wiley &amp; Sons, Ltd","container-title":"Biofuels, Bioproducts and Biorefining","DOI":"10.1002/bbb.206","ISSN":"1932-1031","issue":"2","page":"209–226","title":"Poplar as a Feedstock for Biofuels: A Review of Compositional Characteristics","title-short":"Poplar as a Feedstock for Biofuels","volume":"4","author":[{"family":"Sannigrahi","given":"Poulomi"},{"family":"Ragauskas","given":"Arthur J."},{"family":"Tuskan","given":"Gerald A."}],"issued":{"date-parts":[["2010"]]}}},{"id":9095,"uris":["http://zotero.org/users/694717/items/ZQPHFWZT"],"itemData":{"id":9095,"type":"book","abstract":"Comprehensive coverage on the growing science and technology of producing ethanol from the world's abundant cellulosic biomass The inevitable decline in petroleum reserves and its impact on gasoline prices, combined with climate change concerns, have contributed to current interest in renewable fuels. Bioethanol is the most successful renewable transport fuel— with corn and sugarcane ethanol currently in wide use as blend-in fuels in the United States, Brazil, and a few other countries. However, there are a number of major drawbacks in these first-generation biofuels, such as their effect on food prices, net energy balance, and poor greenhouse gas mitigation. Alternatively, cellulosic ethanol can be produced from abundant lignocellulosic biomass forms such as agricultural or municipal wastes, forest residues, fast growing trees, or grasses grown in marginal lands, and should be producible in substantial amounts to meet growing global energy demand. The Handbook of Cellulosic Ethanol covers all aspects of this new and vital alternative fuel source, providing readers with the background, scientific theory, and recent research progress in producing cellulosic ethanol via different biochemical routes, as well as future directions. The seventeen chapters include information on: Advantages of cellulosic ethanol over first-generation ethanol as a transportation fuel Various biomass feedstocks that can be used to make cellulosic ethanol Details of the aqueous phase or cellulolysis route, pretreatment, enzyme or acid saccharification, fermentation, simultaneous saccharification fermentation, consolidated bioprocessing, genetically modified microorganisms, and yeasts Details of the syngas fermentation or thermochemical route, gasifiers, syngas cleaning, microorganisms for syngas fermentation, and chemical catalysts for syngas-to-ethanol conversion Distillation and dehydration to fuel-grade ethanol Techno-economical aspects and the future of cellulosic ethanol Readership Chemical engineers, chemists, and technicians working on renewable energy and fuels in industry, research institutions, and universities. The Handbook can also be used by students interested in biofuels and renewable energy issues.","ISBN":"978-1-118-87842-2","publisher":"John Wiley &amp; Sons","title":"Handbook of Cellulosic Ethanol","author":[{"family":"Amarasekara","given":"Ananda S."}],"issued":{"date-parts":[["2013"]]}}},{"id":9097,"uris":["http://zotero.org/users/694717/items/NN7YJ7QK"],"itemData":{"id":9097,"type":"article-journal","abstract":"The impact of residual effective alkali (REA) and pulp delignification degree on Eucalyptus kraft pulp yield and chemistry was investigated. In this study fo...","container-title":"CERNE","issue":"4","page":"408–419","title":"Effect of residual effective alkali on eucalyptus kraft pulp yield and chemistry","volume":"24","author":[{"family":"Ribeiro","given":"Robisnéa Adriana"},{"family":"Colodette","given":"Jorge Luiz"},{"family":"Júnior","given":"Sílvio Vaz"}],"issued":{"date-parts":[["2018"]]}}}],"schema":"https://github.com/citation-style-language/schema/raw/master/csl-citation.json"} </w:instrText>
      </w:r>
      <w:r w:rsidR="00267872">
        <w:rPr>
          <w:color w:val="000000" w:themeColor="text1"/>
        </w:rPr>
        <w:fldChar w:fldCharType="separate"/>
      </w:r>
      <w:r w:rsidR="00A01D99" w:rsidRPr="00A01D99">
        <w:rPr>
          <w:szCs w:val="24"/>
          <w:vertAlign w:val="superscript"/>
        </w:rPr>
        <w:t>115,117–119</w:t>
      </w:r>
      <w:r w:rsidR="00267872">
        <w:rPr>
          <w:color w:val="000000" w:themeColor="text1"/>
        </w:rPr>
        <w:fldChar w:fldCharType="end"/>
      </w:r>
      <w:r w:rsidRPr="00FD54EA">
        <w:rPr>
          <w:color w:val="000000" w:themeColor="text1"/>
        </w:rPr>
        <w:t>. For all biomass sources we assume the same conversion factor to bioplastic, which we keep constant over time</w:t>
      </w:r>
      <w:r w:rsidR="00267872">
        <w:rPr>
          <w:color w:val="000000" w:themeColor="text1"/>
        </w:rPr>
        <w:fldChar w:fldCharType="begin"/>
      </w:r>
      <w:r w:rsidR="00A01D99">
        <w:rPr>
          <w:color w:val="000000" w:themeColor="text1"/>
        </w:rPr>
        <w:instrText xml:space="preserve"> ADDIN ZOTERO_ITEM CSL_CITATION {"citationID":"L5C9s49U","properties":{"formattedCitation":"\\super 116\\nosupersub{}","plainCitation":"116","noteIndex":0},"citationItems":[{"id":9099,"uris":["http://zotero.org/users/694717/items/BJM7HPU7"],"itemData":{"id":9099,"type":"document","publisher":"nova-Institute","title":"Bio-Based Building Blocks and Polymers – Global Capacities, Production and Trends 2020 – 2025 (Short Version)","author":[{"family":"Skoczinski","given":"Pia"},{"family":"Carus","given":"Michael"},{"family":"Guzman","given":"Doris","non-dropping-particle":"de"},{"family":"Käb","given":"Harald"},{"family":"Chinthapalli","given":"Raj"},{"family":"Ravenstijn","given":"Jan"},{"family":"Baltus","given":"Wolfgang"},{"family":"Raschka","given":"Achim"}],"issued":{"date-parts":[["2021"]]}}}],"schema":"https://github.com/citation-style-language/schema/raw/master/csl-citation.json"} </w:instrText>
      </w:r>
      <w:r w:rsidR="00267872">
        <w:rPr>
          <w:color w:val="000000" w:themeColor="text1"/>
        </w:rPr>
        <w:fldChar w:fldCharType="separate"/>
      </w:r>
      <w:r w:rsidR="00A01D99" w:rsidRPr="00A01D99">
        <w:rPr>
          <w:szCs w:val="24"/>
          <w:vertAlign w:val="superscript"/>
        </w:rPr>
        <w:t>116</w:t>
      </w:r>
      <w:r w:rsidR="00267872">
        <w:rPr>
          <w:color w:val="000000" w:themeColor="text1"/>
        </w:rPr>
        <w:fldChar w:fldCharType="end"/>
      </w:r>
      <w:r w:rsidRPr="00FD54EA">
        <w:rPr>
          <w:color w:val="000000" w:themeColor="text1"/>
        </w:rPr>
        <w:t>. The demand for bioplastics depends on scenario assumptions (see section FSMs and section SSPs).</w:t>
      </w:r>
    </w:p>
    <w:p w14:paraId="71D4DA41" w14:textId="649FE564" w:rsidR="00BE09F0" w:rsidRPr="00FD54EA" w:rsidRDefault="00FD54EA">
      <w:pPr>
        <w:spacing w:before="240"/>
        <w:rPr>
          <w:color w:val="000000" w:themeColor="text1"/>
        </w:rPr>
      </w:pPr>
      <w:r w:rsidRPr="00FD54EA">
        <w:rPr>
          <w:color w:val="000000" w:themeColor="text1"/>
        </w:rPr>
        <w:t xml:space="preserve">The </w:t>
      </w:r>
      <w:r w:rsidRPr="00FD54EA">
        <w:rPr>
          <w:i/>
          <w:color w:val="000000" w:themeColor="text1"/>
        </w:rPr>
        <w:t xml:space="preserve">Bioplastics </w:t>
      </w:r>
      <w:r w:rsidRPr="00FD54EA">
        <w:rPr>
          <w:color w:val="000000" w:themeColor="text1"/>
        </w:rPr>
        <w:t>FSM assumes that 30% of the projected plastic demand by 2050 is replaced by bioplastics. Total plastic demand is assumed to increase to 675 Mt</w:t>
      </w:r>
      <w:r w:rsidR="00267872">
        <w:rPr>
          <w:color w:val="000000" w:themeColor="text1"/>
        </w:rPr>
        <w:fldChar w:fldCharType="begin"/>
      </w:r>
      <w:r w:rsidR="00A01D99">
        <w:rPr>
          <w:color w:val="000000" w:themeColor="text1"/>
        </w:rPr>
        <w:instrText xml:space="preserve"> ADDIN ZOTERO_ITEM CSL_CITATION {"citationID":"ylJ4JhC2","properties":{"formattedCitation":"\\super 120\\nosupersub{}","plainCitation":"120","noteIndex":0},"citationItems":[{"id":9454,"uris":["http://zotero.org/users/694717/items/9F9YEBUZ"],"itemData":{"id":9454,"type":"book","abstract":"The global community is far from achieving its objective of ending plastic pollution, unless more stringent and co-ordinated policies are implemented. A key question is: What are the plausible scenarios for the evolution of plastics in the absence of...","event-place":"Paris","language":"en","publisher":"Organisation for Economic Co-operation and Development","publisher-place":"Paris","source":"OECD iLibrary","title":"Global Plastics Outlook: Policy Scenarios to 2060","title-short":"Global Plastics Outlook","URL":"https://www.oecd-ilibrary.org/environment/global-plastics-outlook_aa1edf33-en","author":[{"literal":"OECD"}],"accessed":{"date-parts":[["2023",5,12]]},"issued":{"date-parts":[["2022"]]}}}],"schema":"https://github.com/citation-style-language/schema/raw/master/csl-citation.json"} </w:instrText>
      </w:r>
      <w:r w:rsidR="00267872">
        <w:rPr>
          <w:color w:val="000000" w:themeColor="text1"/>
        </w:rPr>
        <w:fldChar w:fldCharType="separate"/>
      </w:r>
      <w:r w:rsidR="00A01D99" w:rsidRPr="00A01D99">
        <w:rPr>
          <w:szCs w:val="24"/>
          <w:vertAlign w:val="superscript"/>
        </w:rPr>
        <w:t>120</w:t>
      </w:r>
      <w:r w:rsidR="00267872">
        <w:rPr>
          <w:color w:val="000000" w:themeColor="text1"/>
        </w:rPr>
        <w:fldChar w:fldCharType="end"/>
      </w:r>
      <w:r w:rsidRPr="00FD54EA">
        <w:rPr>
          <w:color w:val="000000" w:themeColor="text1"/>
        </w:rPr>
        <w:t>.</w:t>
      </w:r>
    </w:p>
    <w:p w14:paraId="0DC5F716" w14:textId="77777777" w:rsidR="00BE09F0" w:rsidRPr="00FD54EA" w:rsidRDefault="00FD54EA">
      <w:pPr>
        <w:pStyle w:val="Heading4"/>
        <w:rPr>
          <w:color w:val="000000" w:themeColor="text1"/>
        </w:rPr>
      </w:pPr>
      <w:bookmarkStart w:id="7" w:name="_s44stb8xjisn" w:colFirst="0" w:colLast="0"/>
      <w:bookmarkEnd w:id="7"/>
      <w:r w:rsidRPr="00FD54EA">
        <w:rPr>
          <w:color w:val="000000" w:themeColor="text1"/>
        </w:rPr>
        <w:t>S1.1.3 Livestock management and feed demand</w:t>
      </w:r>
    </w:p>
    <w:p w14:paraId="7EA4CA0D" w14:textId="1D2AA62F" w:rsidR="00BE09F0" w:rsidRPr="00FD54EA" w:rsidRDefault="00FD54EA">
      <w:pPr>
        <w:spacing w:before="240" w:after="240"/>
        <w:rPr>
          <w:color w:val="000000" w:themeColor="text1"/>
        </w:rPr>
      </w:pPr>
      <w:r w:rsidRPr="00FD54EA">
        <w:rPr>
          <w:color w:val="000000" w:themeColor="text1"/>
        </w:rPr>
        <w:t>Livestock production requires feed, which is estimated as the product of regional livestock production and regional feed baskets that vary by modeled livestock commodity</w:t>
      </w:r>
      <w:r w:rsidR="00267872">
        <w:rPr>
          <w:color w:val="000000" w:themeColor="text1"/>
        </w:rPr>
        <w:fldChar w:fldCharType="begin"/>
      </w:r>
      <w:r w:rsidR="00A01D99">
        <w:rPr>
          <w:color w:val="000000" w:themeColor="text1"/>
        </w:rPr>
        <w:instrText xml:space="preserve"> ADDIN ZOTERO_ITEM CSL_CITATION {"citationID":"10EzyFgV","properties":{"formattedCitation":"\\super 69,70\\nosupersub{}","plainCitation":"69,70","noteIndex":0},"citationItems":[{"id":4286,"uris":["http://zotero.org/users/694717/items/XZDKPAN4"],"itemData":{"id":4286,"type":"article-journal","abstract":"Land use change has been the primary driving force of human alteration of terrestrial ecosystems. With 80% of agricultural land dedicated to livestock production, the sector is an important lever to attenuate land requirements for food production and carbon emissions from land use change. In this study, we quantify impacts of changing human diets and livestock productivity on land dynamics and depletion of carbon stored in vegetation, litter and soils. Across all investigated productivity pathways, lower consumption of livestock products can substantially reduce deforestation (47–55%) and cumulative carbon losses (34–57%). On the supply side, already minor productivity growth in extensive livestock production systems leads to substantial CO2 emission abatement, but the emission saving potential of productivity gains in intensive systems is limited, also involving trade-offs with soil carbon stocks. If accounting for uncertainties related to future trade restrictions, crop yields and pasture productivity, the range of projected carbon savings from changing diets increases to 23–78%. Highest abatement of carbon emissions (63–78%) can be achieved if reduced consumption of animal-based products is combined with sustained investments into productivity increases in plant production. Our analysis emphasizes the importance to integrate demand- and supply-side oriented mitigation strategies and to combine efforts in the crop and livestock sector to enable synergies for climate protection.","container-title":"Global and Planetary Change","DOI":"10.1016/j.gloplacha.2017.10.002","ISSN":"0921-8181","issue":"Supplement C","journalAbbreviation":"Global and Planetary Change","page":"1-10","source":"ScienceDirect","title":"Livestock and human use of land: Productivity trends and dietary choices as drivers of future land and carbon dynamics","title-short":"Livestock and human use of land","volume":"159","author":[{"family":"Weindl","given":"Isabelle"},{"family":"Popp","given":"Alexander"},{"family":"Bodirsky","given":"Benjamin Leon"},{"family":"Rolinski","given":"Susanne"},{"family":"Lotze-Campen","given":"Hermann"},{"family":"Biewald","given":"Anne"},{"family":"Humpenöder","given":"Florian"},{"family":"Dietrich","given":"Jan Philipp"},{"family":"Stevanović","given":"Miodrag"}],"issued":{"date-parts":[["2017",12,1]]}}},{"id":4282,"uris":["http://zotero.org/users/694717/items/KUZF7W6F"],"itemData":{"id":4282,"type":"article-journal","abstract":"Human activities use more than half of accessible freshwater, above all for agriculture. Most approaches for reconciling water conservation with feeding a growing population focus on the cropping sector. However, livestock production is pivotal to agricultural resource use, due to its low resource-use efficiency upstream in the food supply chain. Using a global modelling approach, we quantify the current and future contribution of livestock production, under different demand- and supply-side scenarios, to the consumption of “green” precipitation water infiltrated into the soil and “blue” freshwater withdrawn from rivers, lakes and reservoirs. Currently, cropland feed production accounts for 38% of crop water consumption and grazing involves 29% of total agricultural water consumption (9990km3yr−1). Our analysis shows that changes in diets and livestock productivity have substantial implications for future consumption of agricultural blue water (19–36% increase compared to current levels) and green water (26–69% increase), but they can, at best, slow down trends of rising water requirements for decades to come. However, moderate productivity reductions in highly intensive livestock systems are possible without aggravating water scarcity. Productivity gains in developing regions decrease total agricultural water consumption, but lead to expansion of irrigated agriculture, due to the shift from grassland/green water to cropland/blue water resources. While the magnitude of the livestock water footprint gives cause for concern, neither dietary choices nor changes in livestock productivity will solve the water challenge of future food supply, unless accompanied by dedicated water protection policies.","container-title":"Global Environmental Change","DOI":"10.1016/j.gloenvcha.2017.09.010","ISSN":"0959-3780","issue":"Supplement C","journalAbbreviation":"Global Environmental Change","page":"121-132","source":"ScienceDirect","title":"Livestock production and the water challenge of future food supply: Implications of agricultural management and dietary choices","title-short":"Livestock production and the water challenge of future food supply","volume":"47","author":[{"family":"Weindl","given":"Isabelle"},{"family":"Bodirsky","given":"Benjamin Leon"},{"family":"Rolinski","given":"Susanne"},{"family":"Biewald","given":"Anne"},{"family":"Lotze-Campen","given":"Hermann"},{"family":"Müller","given":"Christoph"},{"family":"Dietrich","given":"Jan Philipp"},{"family":"Humpenöder","given":"Florian"},{"family":"Stevanović","given":"Miodrag"},{"family":"Schaphoff","given":"Sibyll"},{"family":"Popp","given":"Alexander"}],"issued":{"date-parts":[["2017",11,1]]}}}],"schema":"https://github.com/citation-style-language/schema/raw/master/csl-citation.json"} </w:instrText>
      </w:r>
      <w:r w:rsidR="00267872">
        <w:rPr>
          <w:color w:val="000000" w:themeColor="text1"/>
        </w:rPr>
        <w:fldChar w:fldCharType="separate"/>
      </w:r>
      <w:r w:rsidR="00A01D99" w:rsidRPr="00A01D99">
        <w:rPr>
          <w:szCs w:val="24"/>
          <w:vertAlign w:val="superscript"/>
        </w:rPr>
        <w:t>69,70</w:t>
      </w:r>
      <w:r w:rsidR="00267872">
        <w:rPr>
          <w:color w:val="000000" w:themeColor="text1"/>
        </w:rPr>
        <w:fldChar w:fldCharType="end"/>
      </w:r>
      <w:r w:rsidRPr="00FD54EA">
        <w:rPr>
          <w:color w:val="000000" w:themeColor="text1"/>
        </w:rPr>
        <w:t>. The feed baskets comprise food and forage crops cultivated on cropland, by-products from food processing such as oilcakes, crop residues as well as grazed biomass. They were derived from feed energy balances for different animal food systems (beef cattle, dairy cattle, pigs, broilers and laying hens), using feed energy requirements per output for each animal food system</w:t>
      </w:r>
      <w:r w:rsidR="00DC6222">
        <w:rPr>
          <w:color w:val="000000" w:themeColor="text1"/>
        </w:rPr>
        <w:fldChar w:fldCharType="begin"/>
      </w:r>
      <w:r w:rsidR="00A01D99">
        <w:rPr>
          <w:color w:val="000000" w:themeColor="text1"/>
        </w:rPr>
        <w:instrText xml:space="preserve"> ADDIN ZOTERO_ITEM CSL_CITATION {"citationID":"AaWspIoO","properties":{"formattedCitation":"\\super 121\\nosupersub{}","plainCitation":"121","noteIndex":0},"citationItems":[{"id":175,"uris":["http://zotero.org/users/694717/items/E43G3T4M"],"itemData":{"id":175,"type":"book","event-place":"Göteborg, Sweden","ISBN":"91-7197-886-0","publisher":"Chalmers University of Technology and Gäteborg University","publisher-place":"Göteborg, Sweden","title":"Human Use of Land and Organic Materials","author":[{"family":"Wirsenius","given":"S."}],"issued":{"date-parts":[["2000"]]}}}],"schema":"https://github.com/citation-style-language/schema/raw/master/csl-citation.json"} </w:instrText>
      </w:r>
      <w:r w:rsidR="00DC6222">
        <w:rPr>
          <w:color w:val="000000" w:themeColor="text1"/>
        </w:rPr>
        <w:fldChar w:fldCharType="separate"/>
      </w:r>
      <w:r w:rsidR="00A01D99" w:rsidRPr="00A01D99">
        <w:rPr>
          <w:szCs w:val="24"/>
          <w:vertAlign w:val="superscript"/>
        </w:rPr>
        <w:t>121</w:t>
      </w:r>
      <w:r w:rsidR="00DC6222">
        <w:rPr>
          <w:color w:val="000000" w:themeColor="text1"/>
        </w:rPr>
        <w:fldChar w:fldCharType="end"/>
      </w:r>
      <w:r w:rsidRPr="00FD54EA">
        <w:rPr>
          <w:color w:val="000000" w:themeColor="text1"/>
        </w:rPr>
        <w:t>. Feed energy requirements cover growth, maintenance, lactation, reproduction, other basic biological functions of the animals as well as a general allowance for temperature effects and basic activity.</w:t>
      </w:r>
    </w:p>
    <w:p w14:paraId="12E8445E" w14:textId="4D83A6FE" w:rsidR="00BE09F0" w:rsidRPr="00FD54EA" w:rsidRDefault="00FD54EA">
      <w:pPr>
        <w:spacing w:before="240" w:after="240"/>
        <w:rPr>
          <w:color w:val="000000" w:themeColor="text1"/>
        </w:rPr>
      </w:pPr>
      <w:r w:rsidRPr="00FD54EA">
        <w:rPr>
          <w:color w:val="000000" w:themeColor="text1"/>
        </w:rPr>
        <w:t>To project future developments of region- and product-specific feed baskets over time, we calculated feed conversion and feed composition for future time steps (e.g. the share of concentrates in the feed mix) based on exogenous scenario assumptions about future regional trajectories of livestock productivity (annual production per animal [ton/animal/year]), using non-linear regression models for feed conversion and feed composition with livestock productivity as predictor</w:t>
      </w:r>
      <w:r w:rsidR="00DC6222">
        <w:rPr>
          <w:color w:val="000000" w:themeColor="text1"/>
        </w:rPr>
        <w:fldChar w:fldCharType="begin"/>
      </w:r>
      <w:r w:rsidR="00A01D99">
        <w:rPr>
          <w:color w:val="000000" w:themeColor="text1"/>
        </w:rPr>
        <w:instrText xml:space="preserve"> ADDIN ZOTERO_ITEM CSL_CITATION {"citationID":"M4s2Frnk","properties":{"formattedCitation":"\\super 69,70\\nosupersub{}","plainCitation":"69,70","noteIndex":0},"citationItems":[{"id":4286,"uris":["http://zotero.org/users/694717/items/XZDKPAN4"],"itemData":{"id":4286,"type":"article-journal","abstract":"Land use change has been the primary driving force of human alteration of terrestrial ecosystems. With 80% of agricultural land dedicated to livestock production, the sector is an important lever to attenuate land requirements for food production and carbon emissions from land use change. In this study, we quantify impacts of changing human diets and livestock productivity on land dynamics and depletion of carbon stored in vegetation, litter and soils. Across all investigated productivity pathways, lower consumption of livestock products can substantially reduce deforestation (47–55%) and cumulative carbon losses (34–57%). On the supply side, already minor productivity growth in extensive livestock production systems leads to substantial CO2 emission abatement, but the emission saving potential of productivity gains in intensive systems is limited, also involving trade-offs with soil carbon stocks. If accounting for uncertainties related to future trade restrictions, crop yields and pasture productivity, the range of projected carbon savings from changing diets increases to 23–78%. Highest abatement of carbon emissions (63–78%) can be achieved if reduced consumption of animal-based products is combined with sustained investments into productivity increases in plant production. Our analysis emphasizes the importance to integrate demand- and supply-side oriented mitigation strategies and to combine efforts in the crop and livestock sector to enable synergies for climate protection.","container-title":"Global and Planetary Change","DOI":"10.1016/j.gloplacha.2017.10.002","ISSN":"0921-8181","issue":"Supplement C","journalAbbreviation":"Global and Planetary Change","page":"1-10","source":"ScienceDirect","title":"Livestock and human use of land: Productivity trends and dietary choices as drivers of future land and carbon dynamics","title-short":"Livestock and human use of land","volume":"159","author":[{"family":"Weindl","given":"Isabelle"},{"family":"Popp","given":"Alexander"},{"family":"Bodirsky","given":"Benjamin Leon"},{"family":"Rolinski","given":"Susanne"},{"family":"Lotze-Campen","given":"Hermann"},{"family":"Biewald","given":"Anne"},{"family":"Humpenöder","given":"Florian"},{"family":"Dietrich","given":"Jan Philipp"},{"family":"Stevanović","given":"Miodrag"}],"issued":{"date-parts":[["2017",12,1]]}}},{"id":4282,"uris":["http://zotero.org/users/694717/items/KUZF7W6F"],"itemData":{"id":4282,"type":"article-journal","abstract":"Human activities use more than half of accessible freshwater, above all for agriculture. Most approaches for reconciling water conservation with feeding a growing population focus on the cropping sector. However, livestock production is pivotal to agricultural resource use, due to its low resource-use efficiency upstream in the food supply chain. Using a global modelling approach, we quantify the current and future contribution of livestock production, under different demand- and supply-side scenarios, to the consumption of “green” precipitation water infiltrated into the soil and “blue” freshwater withdrawn from rivers, lakes and reservoirs. Currently, cropland feed production accounts for 38% of crop water consumption and grazing involves 29% of total agricultural water consumption (9990km3yr−1). Our analysis shows that changes in diets and livestock productivity have substantial implications for future consumption of agricultural blue water (19–36% increase compared to current levels) and green water (26–69% increase), but they can, at best, slow down trends of rising water requirements for decades to come. However, moderate productivity reductions in highly intensive livestock systems are possible without aggravating water scarcity. Productivity gains in developing regions decrease total agricultural water consumption, but lead to expansion of irrigated agriculture, due to the shift from grassland/green water to cropland/blue water resources. While the magnitude of the livestock water footprint gives cause for concern, neither dietary choices nor changes in livestock productivity will solve the water challenge of future food supply, unless accompanied by dedicated water protection policies.","container-title":"Global Environmental Change","DOI":"10.1016/j.gloenvcha.2017.09.010","ISSN":"0959-3780","issue":"Supplement C","journalAbbreviation":"Global Environmental Change","page":"121-132","source":"ScienceDirect","title":"Livestock production and the water challenge of future food supply: Implications of agricultural management and dietary choices","title-short":"Livestock production and the water challenge of future food supply","volume":"47","author":[{"family":"Weindl","given":"Isabelle"},{"family":"Bodirsky","given":"Benjamin Leon"},{"family":"Rolinski","given":"Susanne"},{"family":"Biewald","given":"Anne"},{"family":"Lotze-Campen","given":"Hermann"},{"family":"Müller","given":"Christoph"},{"family":"Dietrich","given":"Jan Philipp"},{"family":"Humpenöder","given":"Florian"},{"family":"Stevanović","given":"Miodrag"},{"family":"Schaphoff","given":"Sibyll"},{"family":"Popp","given":"Alexander"}],"issued":{"date-parts":[["2017",11,1]]}}}],"schema":"https://github.com/citation-style-language/schema/raw/master/csl-citation.json"} </w:instrText>
      </w:r>
      <w:r w:rsidR="00DC6222">
        <w:rPr>
          <w:color w:val="000000" w:themeColor="text1"/>
        </w:rPr>
        <w:fldChar w:fldCharType="separate"/>
      </w:r>
      <w:r w:rsidR="00A01D99" w:rsidRPr="00A01D99">
        <w:rPr>
          <w:szCs w:val="24"/>
          <w:vertAlign w:val="superscript"/>
        </w:rPr>
        <w:t>69,70</w:t>
      </w:r>
      <w:r w:rsidR="00DC6222">
        <w:rPr>
          <w:color w:val="000000" w:themeColor="text1"/>
        </w:rPr>
        <w:fldChar w:fldCharType="end"/>
      </w:r>
      <w:r w:rsidRPr="00FD54EA">
        <w:rPr>
          <w:color w:val="000000" w:themeColor="text1"/>
        </w:rPr>
        <w:t>. As a result, feed baskets shift towards more concentrate feeds and feed conversion improves, as livestock productivity increases. Region- and product-specific livestock productivity is derived from the FAOSTAT database</w:t>
      </w:r>
      <w:r w:rsidR="00DC6222">
        <w:rPr>
          <w:color w:val="000000" w:themeColor="text1"/>
        </w:rPr>
        <w:fldChar w:fldCharType="begin"/>
      </w:r>
      <w:r w:rsidR="00A01D99">
        <w:rPr>
          <w:color w:val="000000" w:themeColor="text1"/>
        </w:rPr>
        <w:instrText xml:space="preserve"> ADDIN ZOTERO_ITEM CSL_CITATION {"citationID":"bgRSOi7g","properties":{"formattedCitation":"\\super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DC6222">
        <w:rPr>
          <w:color w:val="000000" w:themeColor="text1"/>
        </w:rPr>
        <w:fldChar w:fldCharType="separate"/>
      </w:r>
      <w:r w:rsidR="00A01D99" w:rsidRPr="00A01D99">
        <w:rPr>
          <w:szCs w:val="24"/>
          <w:vertAlign w:val="superscript"/>
        </w:rPr>
        <w:t>113</w:t>
      </w:r>
      <w:r w:rsidR="00DC6222">
        <w:rPr>
          <w:color w:val="000000" w:themeColor="text1"/>
        </w:rPr>
        <w:fldChar w:fldCharType="end"/>
      </w:r>
      <w:r w:rsidRPr="00FD54EA">
        <w:rPr>
          <w:color w:val="000000" w:themeColor="text1"/>
        </w:rPr>
        <w:t xml:space="preserve"> for historical time steps. For future time steps, the development of livestock productivity over time is aligned with the SSP narratives</w:t>
      </w:r>
      <w:r w:rsidR="00DC6222">
        <w:rPr>
          <w:color w:val="000000" w:themeColor="text1"/>
        </w:rPr>
        <w:fldChar w:fldCharType="begin"/>
      </w:r>
      <w:r w:rsidR="00DC6222">
        <w:rPr>
          <w:color w:val="000000" w:themeColor="text1"/>
        </w:rPr>
        <w:instrText xml:space="preserve"> ADDIN ZOTERO_ITEM CSL_CITATION {"citationID":"6JL1Bg8f","properties":{"formattedCitation":"\\super 8\\nosupersub{}","plainCitation":"8","noteIndex":0},"citationItems":[{"id":4032,"uris":["http://zotero.org/users/694717/items/7FF5TGGR"],"itemData":{"id":4032,"type":"article-journal","abstract":"In the future, the land system will be facing new intersecting challenges. While food demand, especially for resource-intensive livestock based commodities, is expected to increase, the terrestrial system has large potentials for climate change mitigation through improved agricultural management, providing biomass for bioenergy, and conserving or even enhancing carbon stocks of ecosystems. However, uncertainties in future socio-economic land use drivers may result in very different land-use dynamics and consequences for land-based ecosystem services. This is the first study with a systematic interpretation of the Shared Socio-Economic Pathways (SSPs) in terms of possible land-use changes and their consequences for the agricultural system, food provision and prices as well as greenhouse gas emissions. Therefore, five alternative Integrated Assessment Models with distinctive land-use modules have been used for the translation of the SSP narratives into quantitative projections. The model results reflect the general storylines of the SSPs and indicate a broad range of potential land-use futures with global agricultural land of 4900 mio ha in 2005 decreasing by 743 mio ha until 2100 at the lower (SSP1) and increasing by 1080 mio ha (SSP3) at the upper end. Greenhouse gas emissions from land use and land use change, as a direct outcome of these diverse land-use dynamics, and agricultural production systems differ strongly across SSPs (e.g. cumulative land use change emissions between 2005 and 2100 range from −54 to 402 Gt CO2). The inclusion of land-based mitigation efforts, particularly those in the most ambitious mitigation scenarios, further broadens the range of potential land futures and can strongly affect greenhouse gas dynamics and food prices. In general, it can be concluded that low demand for agricultural commodities, rapid growth in agricultural productivity and globalized trade, all most pronounced in a SSP1 world, have the potential to enhance the extent of natural ecosystems, lead to lowest greenhouse gas emissions from the land system and decrease food prices over time. The SSP-based land use pathways presented in this paper aim at supporting future climate research and provide the basis for further regional integrated assessments, biodiversity research and climate impact analysis.","container-title":"Global Environmental Change","DOI":"10.1016/j.gloenvcha.2016.10.002","ISSN":"0959-3780","journalAbbreviation":"Global Environmental Change","page":"331-345","source":"ScienceDirect","title":"Land-use futures in the shared socio-economic pathways","volume":"42","author":[{"family":"Popp","given":"Alexander"},{"family":"Calvin","given":"Katherine"},{"family":"Fujimori","given":"Shinichiro"},{"family":"Havlik","given":"Petr"},{"family":"Humpenöder","given":"Florian"},{"family":"Stehfest","given":"Elke"},{"family":"Bodirsky","given":"Benjamin Leon"},{"family":"Dietrich","given":"Jan Philipp"},{"family":"Doelmann","given":"Jonathan C."},{"family":"Gusti","given":"Mykola"},{"family":"Hasegawa","given":"Tomoko"},{"family":"Kyle","given":"Page"},{"family":"Obersteiner","given":"Michael"},{"family":"Tabeau","given":"Andrzej"},{"family":"Takahashi","given":"Kiyoshi"},{"family":"Valin","given":"Hugo"},{"family":"Waldhoff","given":"Stephanie"},{"family":"Weindl","given":"Isabelle"},{"family":"Wise","given":"Marshall"},{"family":"Kriegler","given":"Elmar"},{"family":"Lotze-Campen","given":"Hermann"},{"family":"Fricko","given":"Oliver"},{"family":"Riahi","given":"Keywan"},{"family":"Vuuren","given":"Detlef P.","dropping-particle":"van"}],"issued":{"date-parts":[["2017",1]]}}}],"schema":"https://github.com/citation-style-language/schema/raw/master/csl-citation.json"} </w:instrText>
      </w:r>
      <w:r w:rsidR="00DC6222">
        <w:rPr>
          <w:color w:val="000000" w:themeColor="text1"/>
        </w:rPr>
        <w:fldChar w:fldCharType="separate"/>
      </w:r>
      <w:r w:rsidR="00DC6222" w:rsidRPr="00DC6222">
        <w:rPr>
          <w:szCs w:val="24"/>
          <w:vertAlign w:val="superscript"/>
        </w:rPr>
        <w:t>8</w:t>
      </w:r>
      <w:r w:rsidR="00DC6222">
        <w:rPr>
          <w:color w:val="000000" w:themeColor="text1"/>
        </w:rPr>
        <w:fldChar w:fldCharType="end"/>
      </w:r>
      <w:r w:rsidRPr="00FD54EA">
        <w:rPr>
          <w:color w:val="000000" w:themeColor="text1"/>
        </w:rPr>
        <w:t>.</w:t>
      </w:r>
    </w:p>
    <w:p w14:paraId="7393967F" w14:textId="167066BF" w:rsidR="00BE09F0" w:rsidRPr="00FD54EA" w:rsidRDefault="00FD54EA">
      <w:pPr>
        <w:spacing w:before="240"/>
        <w:rPr>
          <w:color w:val="000000" w:themeColor="text1"/>
        </w:rPr>
      </w:pPr>
      <w:r w:rsidRPr="00FD54EA">
        <w:rPr>
          <w:color w:val="000000" w:themeColor="text1"/>
        </w:rPr>
        <w:lastRenderedPageBreak/>
        <w:t xml:space="preserve">The </w:t>
      </w:r>
      <w:proofErr w:type="spellStart"/>
      <w:r w:rsidRPr="00FD54EA">
        <w:rPr>
          <w:i/>
          <w:color w:val="000000" w:themeColor="text1"/>
        </w:rPr>
        <w:t>LivestockManagement</w:t>
      </w:r>
      <w:proofErr w:type="spellEnd"/>
      <w:r w:rsidRPr="00FD54EA">
        <w:rPr>
          <w:i/>
          <w:color w:val="000000" w:themeColor="text1"/>
        </w:rPr>
        <w:t xml:space="preserve"> </w:t>
      </w:r>
      <w:r w:rsidRPr="00FD54EA">
        <w:rPr>
          <w:color w:val="000000" w:themeColor="text1"/>
        </w:rPr>
        <w:t>FSM assumes higher livestock productivity increases and associated changes in feed baskets compared to the baseline, especially in low-income regions, realized via a shift from SSP2 to SSP1 parametrization</w:t>
      </w:r>
      <w:r w:rsidR="00DC6222">
        <w:rPr>
          <w:color w:val="000000" w:themeColor="text1"/>
        </w:rPr>
        <w:fldChar w:fldCharType="begin"/>
      </w:r>
      <w:r w:rsidR="00A01D99">
        <w:rPr>
          <w:color w:val="000000" w:themeColor="text1"/>
        </w:rPr>
        <w:instrText xml:space="preserve"> ADDIN ZOTERO_ITEM CSL_CITATION {"citationID":"M0iA0lEt","properties":{"formattedCitation":"\\super 69,70\\nosupersub{}","plainCitation":"69,70","noteIndex":0},"citationItems":[{"id":4286,"uris":["http://zotero.org/users/694717/items/XZDKPAN4"],"itemData":{"id":4286,"type":"article-journal","abstract":"Land use change has been the primary driving force of human alteration of terrestrial ecosystems. With 80% of agricultural land dedicated to livestock production, the sector is an important lever to attenuate land requirements for food production and carbon emissions from land use change. In this study, we quantify impacts of changing human diets and livestock productivity on land dynamics and depletion of carbon stored in vegetation, litter and soils. Across all investigated productivity pathways, lower consumption of livestock products can substantially reduce deforestation (47–55%) and cumulative carbon losses (34–57%). On the supply side, already minor productivity growth in extensive livestock production systems leads to substantial CO2 emission abatement, but the emission saving potential of productivity gains in intensive systems is limited, also involving trade-offs with soil carbon stocks. If accounting for uncertainties related to future trade restrictions, crop yields and pasture productivity, the range of projected carbon savings from changing diets increases to 23–78%. Highest abatement of carbon emissions (63–78%) can be achieved if reduced consumption of animal-based products is combined with sustained investments into productivity increases in plant production. Our analysis emphasizes the importance to integrate demand- and supply-side oriented mitigation strategies and to combine efforts in the crop and livestock sector to enable synergies for climate protection.","container-title":"Global and Planetary Change","DOI":"10.1016/j.gloplacha.2017.10.002","ISSN":"0921-8181","issue":"Supplement C","journalAbbreviation":"Global and Planetary Change","page":"1-10","source":"ScienceDirect","title":"Livestock and human use of land: Productivity trends and dietary choices as drivers of future land and carbon dynamics","title-short":"Livestock and human use of land","volume":"159","author":[{"family":"Weindl","given":"Isabelle"},{"family":"Popp","given":"Alexander"},{"family":"Bodirsky","given":"Benjamin Leon"},{"family":"Rolinski","given":"Susanne"},{"family":"Lotze-Campen","given":"Hermann"},{"family":"Biewald","given":"Anne"},{"family":"Humpenöder","given":"Florian"},{"family":"Dietrich","given":"Jan Philipp"},{"family":"Stevanović","given":"Miodrag"}],"issued":{"date-parts":[["2017",12,1]]}}},{"id":4282,"uris":["http://zotero.org/users/694717/items/KUZF7W6F"],"itemData":{"id":4282,"type":"article-journal","abstract":"Human activities use more than half of accessible freshwater, above all for agriculture. Most approaches for reconciling water conservation with feeding a growing population focus on the cropping sector. However, livestock production is pivotal to agricultural resource use, due to its low resource-use efficiency upstream in the food supply chain. Using a global modelling approach, we quantify the current and future contribution of livestock production, under different demand- and supply-side scenarios, to the consumption of “green” precipitation water infiltrated into the soil and “blue” freshwater withdrawn from rivers, lakes and reservoirs. Currently, cropland feed production accounts for 38% of crop water consumption and grazing involves 29% of total agricultural water consumption (9990km3yr−1). Our analysis shows that changes in diets and livestock productivity have substantial implications for future consumption of agricultural blue water (19–36% increase compared to current levels) and green water (26–69% increase), but they can, at best, slow down trends of rising water requirements for decades to come. However, moderate productivity reductions in highly intensive livestock systems are possible without aggravating water scarcity. Productivity gains in developing regions decrease total agricultural water consumption, but lead to expansion of irrigated agriculture, due to the shift from grassland/green water to cropland/blue water resources. While the magnitude of the livestock water footprint gives cause for concern, neither dietary choices nor changes in livestock productivity will solve the water challenge of future food supply, unless accompanied by dedicated water protection policies.","container-title":"Global Environmental Change","DOI":"10.1016/j.gloenvcha.2017.09.010","ISSN":"0959-3780","issue":"Supplement C","journalAbbreviation":"Global Environmental Change","page":"121-132","source":"ScienceDirect","title":"Livestock production and the water challenge of future food supply: Implications of agricultural management and dietary choices","title-short":"Livestock production and the water challenge of future food supply","volume":"47","author":[{"family":"Weindl","given":"Isabelle"},{"family":"Bodirsky","given":"Benjamin Leon"},{"family":"Rolinski","given":"Susanne"},{"family":"Biewald","given":"Anne"},{"family":"Lotze-Campen","given":"Hermann"},{"family":"Müller","given":"Christoph"},{"family":"Dietrich","given":"Jan Philipp"},{"family":"Humpenöder","given":"Florian"},{"family":"Stevanović","given":"Miodrag"},{"family":"Schaphoff","given":"Sibyll"},{"family":"Popp","given":"Alexander"}],"issued":{"date-parts":[["2017",11,1]]}}}],"schema":"https://github.com/citation-style-language/schema/raw/master/csl-citation.json"} </w:instrText>
      </w:r>
      <w:r w:rsidR="00DC6222">
        <w:rPr>
          <w:color w:val="000000" w:themeColor="text1"/>
        </w:rPr>
        <w:fldChar w:fldCharType="separate"/>
      </w:r>
      <w:r w:rsidR="00A01D99" w:rsidRPr="00A01D99">
        <w:rPr>
          <w:szCs w:val="24"/>
          <w:vertAlign w:val="superscript"/>
        </w:rPr>
        <w:t>69,70</w:t>
      </w:r>
      <w:r w:rsidR="00DC6222">
        <w:rPr>
          <w:color w:val="000000" w:themeColor="text1"/>
        </w:rPr>
        <w:fldChar w:fldCharType="end"/>
      </w:r>
      <w:r w:rsidRPr="00FD54EA">
        <w:rPr>
          <w:color w:val="000000" w:themeColor="text1"/>
        </w:rPr>
        <w:t>.</w:t>
      </w:r>
    </w:p>
    <w:p w14:paraId="000189DD" w14:textId="77777777" w:rsidR="00BE09F0" w:rsidRPr="00FD54EA" w:rsidRDefault="00FD54EA">
      <w:pPr>
        <w:pStyle w:val="Heading4"/>
        <w:rPr>
          <w:color w:val="000000" w:themeColor="text1"/>
        </w:rPr>
      </w:pPr>
      <w:bookmarkStart w:id="8" w:name="_yvz0svhj526u" w:colFirst="0" w:colLast="0"/>
      <w:bookmarkEnd w:id="8"/>
      <w:r w:rsidRPr="00FD54EA">
        <w:rPr>
          <w:color w:val="000000" w:themeColor="text1"/>
        </w:rPr>
        <w:t>S1.1.4 Food processing</w:t>
      </w:r>
    </w:p>
    <w:p w14:paraId="5612A359" w14:textId="2A74B313" w:rsidR="00BE09F0" w:rsidRPr="00FD54EA" w:rsidRDefault="00FD54EA">
      <w:pPr>
        <w:spacing w:before="240"/>
        <w:rPr>
          <w:color w:val="000000" w:themeColor="text1"/>
        </w:rPr>
      </w:pPr>
      <w:r w:rsidRPr="00FD54EA">
        <w:rPr>
          <w:color w:val="000000" w:themeColor="text1"/>
        </w:rPr>
        <w:t xml:space="preserve">Our food processing implementation is aligned with the </w:t>
      </w:r>
      <w:r w:rsidRPr="00FD54EA">
        <w:rPr>
          <w:i/>
          <w:color w:val="000000" w:themeColor="text1"/>
        </w:rPr>
        <w:t>FAOSTAT</w:t>
      </w:r>
      <w:r w:rsidR="00DC6222">
        <w:rPr>
          <w:i/>
          <w:color w:val="000000" w:themeColor="text1"/>
        </w:rPr>
        <w:fldChar w:fldCharType="begin"/>
      </w:r>
      <w:r w:rsidR="00A01D99">
        <w:rPr>
          <w:i/>
          <w:color w:val="000000" w:themeColor="text1"/>
        </w:rPr>
        <w:instrText xml:space="preserve"> ADDIN ZOTERO_ITEM CSL_CITATION {"citationID":"UdNX30XI","properties":{"formattedCitation":"\\super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DC6222">
        <w:rPr>
          <w:i/>
          <w:color w:val="000000" w:themeColor="text1"/>
        </w:rPr>
        <w:fldChar w:fldCharType="separate"/>
      </w:r>
      <w:r w:rsidR="00A01D99" w:rsidRPr="00A01D99">
        <w:rPr>
          <w:szCs w:val="24"/>
          <w:vertAlign w:val="superscript"/>
        </w:rPr>
        <w:t>113</w:t>
      </w:r>
      <w:r w:rsidR="00DC6222">
        <w:rPr>
          <w:i/>
          <w:color w:val="000000" w:themeColor="text1"/>
        </w:rPr>
        <w:fldChar w:fldCharType="end"/>
      </w:r>
      <w:r w:rsidRPr="00FD54EA">
        <w:rPr>
          <w:i/>
          <w:color w:val="000000" w:themeColor="text1"/>
        </w:rPr>
        <w:t xml:space="preserve"> </w:t>
      </w:r>
      <w:r w:rsidRPr="00FD54EA">
        <w:rPr>
          <w:color w:val="000000" w:themeColor="text1"/>
        </w:rPr>
        <w:t xml:space="preserve">database. As such, only the primary processing stage is explicitly captured by the model. This includes milling of cereals, pressing of oil crops into oils and oilcakes, refining of sugarcane, </w:t>
      </w:r>
      <w:proofErr w:type="spellStart"/>
      <w:r w:rsidRPr="00FD54EA">
        <w:rPr>
          <w:color w:val="000000" w:themeColor="text1"/>
        </w:rPr>
        <w:t>sugarbeet</w:t>
      </w:r>
      <w:proofErr w:type="spellEnd"/>
      <w:r w:rsidRPr="00FD54EA">
        <w:rPr>
          <w:color w:val="000000" w:themeColor="text1"/>
        </w:rPr>
        <w:t xml:space="preserve"> and maize into sugars and glucose syrup, as well as alcohol fermentation and distillation. Additionally, ethanol production for biofuels is estimated, resulting in the byproduct of </w:t>
      </w:r>
      <w:proofErr w:type="gramStart"/>
      <w:r w:rsidRPr="00FD54EA">
        <w:rPr>
          <w:color w:val="000000" w:themeColor="text1"/>
        </w:rPr>
        <w:t>distillers</w:t>
      </w:r>
      <w:proofErr w:type="gramEnd"/>
      <w:r w:rsidRPr="00FD54EA">
        <w:rPr>
          <w:color w:val="000000" w:themeColor="text1"/>
        </w:rPr>
        <w:t xml:space="preserve"> grains for feed. The couple products of processing often cause the relatively inelastic demand within </w:t>
      </w:r>
      <w:proofErr w:type="spellStart"/>
      <w:r w:rsidRPr="00FD54EA">
        <w:rPr>
          <w:color w:val="000000" w:themeColor="text1"/>
        </w:rPr>
        <w:t>MAgPIE</w:t>
      </w:r>
      <w:proofErr w:type="spellEnd"/>
      <w:r w:rsidRPr="00FD54EA">
        <w:rPr>
          <w:color w:val="000000" w:themeColor="text1"/>
        </w:rPr>
        <w:t xml:space="preserve"> to diverge between the two couple products. To avoid that couple products are wasted, we allow for substitution of oilcakes by </w:t>
      </w:r>
      <w:proofErr w:type="spellStart"/>
      <w:r w:rsidRPr="00FD54EA">
        <w:rPr>
          <w:color w:val="000000" w:themeColor="text1"/>
        </w:rPr>
        <w:t>oilcrops</w:t>
      </w:r>
      <w:proofErr w:type="spellEnd"/>
      <w:r w:rsidRPr="00FD54EA">
        <w:rPr>
          <w:color w:val="000000" w:themeColor="text1"/>
        </w:rPr>
        <w:t xml:space="preserve"> in the case of excess oilcakes, or for an elastic demand for ethanol and oil for materials at a low price. This can cause fluctuations of the </w:t>
      </w:r>
      <w:proofErr w:type="spellStart"/>
      <w:r w:rsidRPr="00FD54EA">
        <w:rPr>
          <w:color w:val="000000" w:themeColor="text1"/>
        </w:rPr>
        <w:t>bioeconomy</w:t>
      </w:r>
      <w:proofErr w:type="spellEnd"/>
      <w:r w:rsidRPr="00FD54EA">
        <w:rPr>
          <w:color w:val="000000" w:themeColor="text1"/>
        </w:rPr>
        <w:t xml:space="preserve"> supply even when the scenarios do not address </w:t>
      </w:r>
      <w:proofErr w:type="spellStart"/>
      <w:r w:rsidRPr="00FD54EA">
        <w:rPr>
          <w:color w:val="000000" w:themeColor="text1"/>
        </w:rPr>
        <w:t>bioeconomy</w:t>
      </w:r>
      <w:proofErr w:type="spellEnd"/>
      <w:r w:rsidRPr="00FD54EA">
        <w:rPr>
          <w:color w:val="000000" w:themeColor="text1"/>
        </w:rPr>
        <w:t xml:space="preserve"> directly.</w:t>
      </w:r>
      <w:r w:rsidRPr="00FD54EA">
        <w:rPr>
          <w:color w:val="000000" w:themeColor="text1"/>
        </w:rPr>
        <w:br/>
        <w:t>Further processing in FAOSTAT is implicit to the conversion ratio of agricultural raw products being used as food to final calories available for consumers. It represents all conversions and losses between agricultural markets and the retail level, while retail losses and household waste are still included in the caloric food supply estimates by FAOSTAT. Our current model does not allow for changes in secondary and tertiary food processing.</w:t>
      </w:r>
    </w:p>
    <w:p w14:paraId="241172CA" w14:textId="77777777" w:rsidR="00BE09F0" w:rsidRPr="00FD54EA" w:rsidRDefault="00FD54EA">
      <w:pPr>
        <w:pStyle w:val="Heading4"/>
        <w:rPr>
          <w:color w:val="000000" w:themeColor="text1"/>
        </w:rPr>
      </w:pPr>
      <w:bookmarkStart w:id="9" w:name="_1vh6ylpmj1j1" w:colFirst="0" w:colLast="0"/>
      <w:bookmarkEnd w:id="9"/>
      <w:r w:rsidRPr="00FD54EA">
        <w:rPr>
          <w:color w:val="000000" w:themeColor="text1"/>
        </w:rPr>
        <w:t xml:space="preserve">S1.1.5 Trade </w:t>
      </w:r>
    </w:p>
    <w:p w14:paraId="4C6D6E79" w14:textId="09F948E1" w:rsidR="00BE09F0" w:rsidRPr="00FD54EA" w:rsidRDefault="00FD54EA">
      <w:pPr>
        <w:spacing w:before="240"/>
        <w:rPr>
          <w:color w:val="000000" w:themeColor="text1"/>
        </w:rPr>
      </w:pPr>
      <w:r w:rsidRPr="00FD54EA">
        <w:rPr>
          <w:color w:val="000000" w:themeColor="text1"/>
        </w:rPr>
        <w:t>Agricultural demand has to be met by agricultural production via trade. The model reflects two types of trade; intra-regional transport with the costs of transporting a product to the next population center with &gt;40 000 inhabitants, and international trade between major world regions simulated based on a two-pool model</w:t>
      </w:r>
      <w:r w:rsidR="00DC6222">
        <w:rPr>
          <w:color w:val="000000" w:themeColor="text1"/>
        </w:rPr>
        <w:fldChar w:fldCharType="begin"/>
      </w:r>
      <w:r w:rsidR="009E54D2">
        <w:rPr>
          <w:color w:val="000000" w:themeColor="text1"/>
        </w:rPr>
        <w:instrText xml:space="preserve"> ADDIN ZOTERO_ITEM CSL_CITATION {"citationID":"QxThO3H4","properties":{"formattedCitation":"\\super 61\\nosupersub{}","plainCitation":"61","noteIndex":0},"citationItems":[{"id":2090,"uris":["http://zotero.org/users/694717/items/FR48KJ9U"],"itemData":{"id":2090,"type":"article-journal","abstract":"An increasing demand for agricultural goods affects the pressure on global water resources over the coming decades. In order to quantify these effects, we have developed a new agroeconomic water scarcity indicator, considering explicitly economic processes in the agricultural system. The indicator is based on the water shadow price generated by an economic land use model linked to a global vegetation-hydrology model. Irrigation efficiency is implemented as a dynamic input depending on the level of economic development. We are able to simulate the heterogeneous distribution of water supply and agricultural water demand for irrigation through the spatially explicit representation of agricultural production. This allows in identifying regional hot spots of blue water scarcity and explicit shadow prices for water. We generate scenarios based on moderate policies regarding future trade liberalization and the control of livestock-based consumption, dependent on different population and gross domestic product (GDP) projections. Results indicate increased water scarcity in the future, especially in South Asia, the Middle East, and north Africa. In general, water shadow prices decrease with increasing liberalization, foremost in South Asia, Southeast Asia, and the Middle East. Policies to reduce livestock consumption in developed countries not only lower the domestic pressure on water but also alleviate water scarcity to a large extent in developing countries. It is shown that one of the two policy options would be insufficient for most regions to retain water scarcity in 2045 on levels comparable to 2005.","container-title":"Water Resources Research","DOI":"10.1002/wrcr.20188","ISSN":"1944-7973","issue":"6","language":"en","license":"©2013. American Geophysical Union. All Rights Reserved.","page":"3601–3617","source":"Wiley Online Library","title":"Blue water scarcity and the economic impacts of future agricultural trade and demand","volume":"49","author":[{"family":"Schmitz","given":"Christoph"},{"family":"Lotze-Campen","given":"Hermann"},{"family":"Gerten","given":"Dieter"},{"family":"Dietrich","given":"Jan Philipp"},{"family":"Bodirsky","given":"Benjamin"},{"family":"Biewald","given":"Anne"},{"family":"Popp","given":"Alexander"}],"issued":{"date-parts":[["2013"]]}}}],"schema":"https://github.com/citation-style-language/schema/raw/master/csl-citation.json"} </w:instrText>
      </w:r>
      <w:r w:rsidR="00DC6222">
        <w:rPr>
          <w:color w:val="000000" w:themeColor="text1"/>
        </w:rPr>
        <w:fldChar w:fldCharType="separate"/>
      </w:r>
      <w:r w:rsidR="009E54D2" w:rsidRPr="009E54D2">
        <w:rPr>
          <w:szCs w:val="24"/>
          <w:vertAlign w:val="superscript"/>
        </w:rPr>
        <w:t>61</w:t>
      </w:r>
      <w:r w:rsidR="00DC6222">
        <w:rPr>
          <w:color w:val="000000" w:themeColor="text1"/>
        </w:rPr>
        <w:fldChar w:fldCharType="end"/>
      </w:r>
      <w:r w:rsidRPr="00FD54EA">
        <w:rPr>
          <w:color w:val="000000" w:themeColor="text1"/>
        </w:rPr>
        <w:t>: the first trade pool is traded according to historical trade patterns, such that importing countries have to import a fixed fraction of the first pool, while exporting countries have to satisfy a fixed share of global net-exports. The second, “free trade pool” is traded according to relative competitiveness, such that all countries export or import based on equal marginal costs. Trade costs include export and import tariffs as well as trade margins (transport and administrative costs). Trade costs were derived from the GTAP 7 database</w:t>
      </w:r>
      <w:r w:rsidR="00DC6222">
        <w:rPr>
          <w:color w:val="000000" w:themeColor="text1"/>
        </w:rPr>
        <w:fldChar w:fldCharType="begin"/>
      </w:r>
      <w:r w:rsidR="00A01D99">
        <w:rPr>
          <w:color w:val="000000" w:themeColor="text1"/>
        </w:rPr>
        <w:instrText xml:space="preserve"> ADDIN ZOTERO_ITEM CSL_CITATION {"citationID":"LrKo9qqq","properties":{"formattedCitation":"\\super 122\\nosupersub{}","plainCitation":"122","noteIndex":0},"citationItems":[{"id":9455,"uris":["http://zotero.org/users/694717/items/JIHN6GB6"],"itemData":{"id":9455,"type":"report","event-place":"Purdue University","publisher":"Center for Global Trade Analysis","publisher-place":"Purdue University","title":"Global Trade, Assistance, and Production: The GTAP 7 Data Base","contributor":[{"family":"Narayanan","given":"Badri"},{"family":"Walmsley","given":"Terrie L."}],"issued":{"date-parts":[["2008"]]}}}],"schema":"https://github.com/citation-style-language/schema/raw/master/csl-citation.json"} </w:instrText>
      </w:r>
      <w:r w:rsidR="00DC6222">
        <w:rPr>
          <w:color w:val="000000" w:themeColor="text1"/>
        </w:rPr>
        <w:fldChar w:fldCharType="separate"/>
      </w:r>
      <w:r w:rsidR="00A01D99" w:rsidRPr="00A01D99">
        <w:rPr>
          <w:szCs w:val="24"/>
          <w:vertAlign w:val="superscript"/>
        </w:rPr>
        <w:t>122</w:t>
      </w:r>
      <w:r w:rsidR="00DC6222">
        <w:rPr>
          <w:color w:val="000000" w:themeColor="text1"/>
        </w:rPr>
        <w:fldChar w:fldCharType="end"/>
      </w:r>
      <w:r w:rsidRPr="00FD54EA">
        <w:rPr>
          <w:color w:val="000000" w:themeColor="text1"/>
        </w:rPr>
        <w:t xml:space="preserve">. In the </w:t>
      </w:r>
      <w:proofErr w:type="spellStart"/>
      <w:r w:rsidRPr="00FD54EA">
        <w:rPr>
          <w:color w:val="000000" w:themeColor="text1"/>
        </w:rPr>
        <w:t>LibTrade</w:t>
      </w:r>
      <w:proofErr w:type="spellEnd"/>
      <w:r w:rsidRPr="00FD54EA">
        <w:rPr>
          <w:color w:val="000000" w:themeColor="text1"/>
        </w:rPr>
        <w:t xml:space="preserve"> scenario, the share of the free trade pool is increased from 20% to 30% for crops, and from 10 to 20% for livestock and secondary products.</w:t>
      </w:r>
    </w:p>
    <w:p w14:paraId="1D33EF8D" w14:textId="77777777" w:rsidR="00BE09F0" w:rsidRPr="00FD54EA" w:rsidRDefault="00FD54EA">
      <w:pPr>
        <w:pStyle w:val="Heading4"/>
        <w:rPr>
          <w:color w:val="000000" w:themeColor="text1"/>
        </w:rPr>
      </w:pPr>
      <w:bookmarkStart w:id="10" w:name="_7njj3hxnb0d" w:colFirst="0" w:colLast="0"/>
      <w:bookmarkEnd w:id="10"/>
      <w:r w:rsidRPr="00FD54EA">
        <w:rPr>
          <w:color w:val="000000" w:themeColor="text1"/>
        </w:rPr>
        <w:t>S1.1.6 Agricultural production, labor and capital requirements</w:t>
      </w:r>
    </w:p>
    <w:p w14:paraId="6C79B4A9" w14:textId="139A3E85" w:rsidR="00BE09F0" w:rsidRPr="00FD54EA" w:rsidRDefault="00FD54EA">
      <w:pPr>
        <w:spacing w:before="240"/>
        <w:rPr>
          <w:color w:val="000000" w:themeColor="text1"/>
        </w:rPr>
      </w:pPr>
      <w:r w:rsidRPr="00FD54EA">
        <w:rPr>
          <w:color w:val="000000" w:themeColor="text1"/>
        </w:rPr>
        <w:t xml:space="preserve">Agricultural production requires inputs of land, labor, capital, nitrogen, water, and sinks for environmental pollution. </w:t>
      </w:r>
      <w:r w:rsidRPr="00FD54EA">
        <w:rPr>
          <w:color w:val="000000" w:themeColor="text1"/>
        </w:rPr>
        <w:br/>
        <w:t xml:space="preserve">Labor and capital requirements for crop and livestock production are calculated based on overall value of production and respective cost shares. In a first step, regional factor requirements (i.e. the sum of labor and capital requirements) for crop production are estimated as given shares of the crop specific </w:t>
      </w:r>
      <w:r w:rsidRPr="00FD54EA">
        <w:rPr>
          <w:i/>
          <w:color w:val="000000" w:themeColor="text1"/>
        </w:rPr>
        <w:t>FAOSTAT</w:t>
      </w:r>
      <w:r w:rsidR="00DC6222">
        <w:rPr>
          <w:i/>
          <w:color w:val="000000" w:themeColor="text1"/>
        </w:rPr>
        <w:fldChar w:fldCharType="begin"/>
      </w:r>
      <w:r w:rsidR="00A01D99">
        <w:rPr>
          <w:i/>
          <w:color w:val="000000" w:themeColor="text1"/>
        </w:rPr>
        <w:instrText xml:space="preserve"> ADDIN ZOTERO_ITEM CSL_CITATION {"citationID":"oaPWt8sd","properties":{"formattedCitation":"\\super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DC6222">
        <w:rPr>
          <w:i/>
          <w:color w:val="000000" w:themeColor="text1"/>
        </w:rPr>
        <w:fldChar w:fldCharType="separate"/>
      </w:r>
      <w:r w:rsidR="00A01D99" w:rsidRPr="00A01D99">
        <w:rPr>
          <w:szCs w:val="24"/>
          <w:vertAlign w:val="superscript"/>
        </w:rPr>
        <w:t>113</w:t>
      </w:r>
      <w:r w:rsidR="00DC6222">
        <w:rPr>
          <w:i/>
          <w:color w:val="000000" w:themeColor="text1"/>
        </w:rPr>
        <w:fldChar w:fldCharType="end"/>
      </w:r>
      <w:r w:rsidRPr="00FD54EA">
        <w:rPr>
          <w:i/>
          <w:color w:val="000000" w:themeColor="text1"/>
        </w:rPr>
        <w:t xml:space="preserve"> </w:t>
      </w:r>
      <w:r w:rsidRPr="00FD54EA">
        <w:rPr>
          <w:color w:val="000000" w:themeColor="text1"/>
        </w:rPr>
        <w:t xml:space="preserve">production value. The regional factor cost </w:t>
      </w:r>
      <w:r w:rsidRPr="00FD54EA">
        <w:rPr>
          <w:color w:val="000000" w:themeColor="text1"/>
        </w:rPr>
        <w:lastRenderedPageBreak/>
        <w:t>shares are based on a USDA dataset on total agricultural production costs by cost type</w:t>
      </w:r>
      <w:r w:rsidR="00DC6222">
        <w:rPr>
          <w:color w:val="000000" w:themeColor="text1"/>
        </w:rPr>
        <w:fldChar w:fldCharType="begin"/>
      </w:r>
      <w:r w:rsidR="00A01D99">
        <w:rPr>
          <w:color w:val="000000" w:themeColor="text1"/>
        </w:rPr>
        <w:instrText xml:space="preserve"> ADDIN ZOTERO_ITEM CSL_CITATION {"citationID":"O6QPygaL","properties":{"formattedCitation":"\\super 123,124\\nosupersub{}","plainCitation":"123,124","noteIndex":0},"citationItems":[{"id":9457,"uris":["http://zotero.org/users/694717/items/72QV56BY"],"itemData":{"id":9457,"type":"article-journal","abstract":"Rising prices of agricultural commodities have renewed concerns about constraints to agricultural productivity. To assess productivity trends, total factor productivity (TFP) is generally preferred to partial productivity indexes as an indicator of technical and efficiency changes because it is more closely related to the unit costs of production. But measuring TFP is demanding of data, and developing comprehensive and comparable indexes of international agricultural TFP has been challenging. This study proposes a growth accounting approach, using FAO data on quantity changes in inputs and outputs and aggregating input changes using cost shares derived from other sources, as a consistent way of constructing agricultural TFP indexes for world agriculture. This produces aggregate growth rates for agricultural output, input and TFP at the country, regional and global levels. Results suggest that the rate of agricultural TFP growth accelerated in recent decades, especially in developing countries. Most regions of the world now rely on productivity-based growth rather than resource-based growth to raise agricultural output.","container-title":"Bio-based and Applied Economics","DOI":"10.13128/BAE-17151","language":"en","note":"dimensions: 201-234 Pages\npublisher: Bio-based and Applied Economics","page":"201-234 Pages","source":"DOI.org (Datacite)","title":"Accounting for growth in global agriculture","volume":"Vol 4 No 3","author":[{"family":"Fuglie","given":"Keith"}],"issued":{"date-parts":[["2015",10,4]]}}},{"id":9459,"uris":["http://zotero.org/users/694717/items/FIV2N49S"],"itemData":{"id":9459,"type":"webpage","title":"International Agricultural Productivity -- Machine-Readable and Long Format File of TFP Indices and Components for Countries, Regions, Countries Grouped by Income Level, and the World, 1961–2016.","URL":"https://www.ers.usda.gov/data-products/international-agricultural-productivity/","author":[{"literal":"USDA"}],"accessed":{"date-parts":[["2023",5,12]]},"issued":{"date-parts":[["2021"]]}}}],"schema":"https://github.com/citation-style-language/schema/raw/master/csl-citation.json"} </w:instrText>
      </w:r>
      <w:r w:rsidR="00DC6222">
        <w:rPr>
          <w:color w:val="000000" w:themeColor="text1"/>
        </w:rPr>
        <w:fldChar w:fldCharType="separate"/>
      </w:r>
      <w:r w:rsidR="00A01D99" w:rsidRPr="00A01D99">
        <w:rPr>
          <w:szCs w:val="24"/>
          <w:vertAlign w:val="superscript"/>
        </w:rPr>
        <w:t>123,124</w:t>
      </w:r>
      <w:r w:rsidR="00DC6222">
        <w:rPr>
          <w:color w:val="000000" w:themeColor="text1"/>
        </w:rPr>
        <w:fldChar w:fldCharType="end"/>
      </w:r>
      <w:r w:rsidRPr="00FD54EA">
        <w:rPr>
          <w:color w:val="000000" w:themeColor="text1"/>
        </w:rPr>
        <w:t>. For livestock production, factor requirements are estimated based on a regression with livestock yields</w:t>
      </w:r>
      <w:r w:rsidR="00DC6222">
        <w:rPr>
          <w:color w:val="000000" w:themeColor="text1"/>
        </w:rPr>
        <w:fldChar w:fldCharType="begin"/>
      </w:r>
      <w:r w:rsidR="00A01D99">
        <w:rPr>
          <w:color w:val="000000" w:themeColor="text1"/>
        </w:rPr>
        <w:instrText xml:space="preserve"> ADDIN ZOTERO_ITEM CSL_CITATION {"citationID":"DRZ54N9I","properties":{"formattedCitation":"\\super 69,70\\nosupersub{}","plainCitation":"69,70","noteIndex":0},"citationItems":[{"id":4286,"uris":["http://zotero.org/users/694717/items/XZDKPAN4"],"itemData":{"id":4286,"type":"article-journal","abstract":"Land use change has been the primary driving force of human alteration of terrestrial ecosystems. With 80% of agricultural land dedicated to livestock production, the sector is an important lever to attenuate land requirements for food production and carbon emissions from land use change. In this study, we quantify impacts of changing human diets and livestock productivity on land dynamics and depletion of carbon stored in vegetation, litter and soils. Across all investigated productivity pathways, lower consumption of livestock products can substantially reduce deforestation (47–55%) and cumulative carbon losses (34–57%). On the supply side, already minor productivity growth in extensive livestock production systems leads to substantial CO2 emission abatement, but the emission saving potential of productivity gains in intensive systems is limited, also involving trade-offs with soil carbon stocks. If accounting for uncertainties related to future trade restrictions, crop yields and pasture productivity, the range of projected carbon savings from changing diets increases to 23–78%. Highest abatement of carbon emissions (63–78%) can be achieved if reduced consumption of animal-based products is combined with sustained investments into productivity increases in plant production. Our analysis emphasizes the importance to integrate demand- and supply-side oriented mitigation strategies and to combine efforts in the crop and livestock sector to enable synergies for climate protection.","container-title":"Global and Planetary Change","DOI":"10.1016/j.gloplacha.2017.10.002","ISSN":"0921-8181","issue":"Supplement C","journalAbbreviation":"Global and Planetary Change","page":"1-10","source":"ScienceDirect","title":"Livestock and human use of land: Productivity trends and dietary choices as drivers of future land and carbon dynamics","title-short":"Livestock and human use of land","volume":"159","author":[{"family":"Weindl","given":"Isabelle"},{"family":"Popp","given":"Alexander"},{"family":"Bodirsky","given":"Benjamin Leon"},{"family":"Rolinski","given":"Susanne"},{"family":"Lotze-Campen","given":"Hermann"},{"family":"Biewald","given":"Anne"},{"family":"Humpenöder","given":"Florian"},{"family":"Dietrich","given":"Jan Philipp"},{"family":"Stevanović","given":"Miodrag"}],"issued":{"date-parts":[["2017",12,1]]}}},{"id":4282,"uris":["http://zotero.org/users/694717/items/KUZF7W6F"],"itemData":{"id":4282,"type":"article-journal","abstract":"Human activities use more than half of accessible freshwater, above all for agriculture. Most approaches for reconciling water conservation with feeding a growing population focus on the cropping sector. However, livestock production is pivotal to agricultural resource use, due to its low resource-use efficiency upstream in the food supply chain. Using a global modelling approach, we quantify the current and future contribution of livestock production, under different demand- and supply-side scenarios, to the consumption of “green” precipitation water infiltrated into the soil and “blue” freshwater withdrawn from rivers, lakes and reservoirs. Currently, cropland feed production accounts for 38% of crop water consumption and grazing involves 29% of total agricultural water consumption (9990km3yr−1). Our analysis shows that changes in diets and livestock productivity have substantial implications for future consumption of agricultural blue water (19–36% increase compared to current levels) and green water (26–69% increase), but they can, at best, slow down trends of rising water requirements for decades to come. However, moderate productivity reductions in highly intensive livestock systems are possible without aggravating water scarcity. Productivity gains in developing regions decrease total agricultural water consumption, but lead to expansion of irrigated agriculture, due to the shift from grassland/green water to cropland/blue water resources. While the magnitude of the livestock water footprint gives cause for concern, neither dietary choices nor changes in livestock productivity will solve the water challenge of future food supply, unless accompanied by dedicated water protection policies.","container-title":"Global Environmental Change","DOI":"10.1016/j.gloenvcha.2017.09.010","ISSN":"0959-3780","issue":"Supplement C","journalAbbreviation":"Global Environmental Change","page":"121-132","source":"ScienceDirect","title":"Livestock production and the water challenge of future food supply: Implications of agricultural management and dietary choices","title-short":"Livestock production and the water challenge of future food supply","volume":"47","author":[{"family":"Weindl","given":"Isabelle"},{"family":"Bodirsky","given":"Benjamin Leon"},{"family":"Rolinski","given":"Susanne"},{"family":"Biewald","given":"Anne"},{"family":"Lotze-Campen","given":"Hermann"},{"family":"Müller","given":"Christoph"},{"family":"Dietrich","given":"Jan Philipp"},{"family":"Humpenöder","given":"Florian"},{"family":"Stevanović","given":"Miodrag"},{"family":"Schaphoff","given":"Sibyll"},{"family":"Popp","given":"Alexander"}],"issued":{"date-parts":[["2017",11,1]]}}}],"schema":"https://github.com/citation-style-language/schema/raw/master/csl-citation.json"} </w:instrText>
      </w:r>
      <w:r w:rsidR="00DC6222">
        <w:rPr>
          <w:color w:val="000000" w:themeColor="text1"/>
        </w:rPr>
        <w:fldChar w:fldCharType="separate"/>
      </w:r>
      <w:r w:rsidR="00A01D99" w:rsidRPr="00A01D99">
        <w:rPr>
          <w:szCs w:val="24"/>
          <w:vertAlign w:val="superscript"/>
        </w:rPr>
        <w:t>69,70</w:t>
      </w:r>
      <w:r w:rsidR="00DC6222">
        <w:rPr>
          <w:color w:val="000000" w:themeColor="text1"/>
        </w:rPr>
        <w:fldChar w:fldCharType="end"/>
      </w:r>
      <w:r w:rsidRPr="00FD54EA">
        <w:rPr>
          <w:color w:val="000000" w:themeColor="text1"/>
        </w:rPr>
        <w:t xml:space="preserve">. In a second step, factor requirements for crop and livestock production are disaggregated into labor and capital requirements based on the labor-to-capital ratio reported by the </w:t>
      </w:r>
      <w:r w:rsidRPr="00FD54EA">
        <w:rPr>
          <w:i/>
          <w:color w:val="000000" w:themeColor="text1"/>
        </w:rPr>
        <w:t>USDA</w:t>
      </w:r>
      <w:r w:rsidR="00DC6222">
        <w:rPr>
          <w:i/>
          <w:color w:val="000000" w:themeColor="text1"/>
        </w:rPr>
        <w:fldChar w:fldCharType="begin"/>
      </w:r>
      <w:r w:rsidR="00A01D99">
        <w:rPr>
          <w:i/>
          <w:color w:val="000000" w:themeColor="text1"/>
        </w:rPr>
        <w:instrText xml:space="preserve"> ADDIN ZOTERO_ITEM CSL_CITATION {"citationID":"1MpBFcf1","properties":{"formattedCitation":"\\super 124\\nosupersub{}","plainCitation":"124","noteIndex":0},"citationItems":[{"id":9459,"uris":["http://zotero.org/users/694717/items/FIV2N49S"],"itemData":{"id":9459,"type":"webpage","title":"International Agricultural Productivity -- Machine-Readable and Long Format File of TFP Indices and Components for Countries, Regions, Countries Grouped by Income Level, and the World, 1961–2016.","URL":"https://www.ers.usda.gov/data-products/international-agricultural-productivity/","author":[{"literal":"USDA"}],"accessed":{"date-parts":[["2023",5,12]]},"issued":{"date-parts":[["2021"]]}}}],"schema":"https://github.com/citation-style-language/schema/raw/master/csl-citation.json"} </w:instrText>
      </w:r>
      <w:r w:rsidR="00DC6222">
        <w:rPr>
          <w:i/>
          <w:color w:val="000000" w:themeColor="text1"/>
        </w:rPr>
        <w:fldChar w:fldCharType="separate"/>
      </w:r>
      <w:r w:rsidR="00A01D99" w:rsidRPr="00A01D99">
        <w:rPr>
          <w:szCs w:val="24"/>
          <w:vertAlign w:val="superscript"/>
        </w:rPr>
        <w:t>124</w:t>
      </w:r>
      <w:r w:rsidR="00DC6222">
        <w:rPr>
          <w:i/>
          <w:color w:val="000000" w:themeColor="text1"/>
        </w:rPr>
        <w:fldChar w:fldCharType="end"/>
      </w:r>
      <w:r w:rsidRPr="00FD54EA">
        <w:rPr>
          <w:color w:val="000000" w:themeColor="text1"/>
        </w:rPr>
        <w:t>. In future projections, the labor-to-capital ratio of crop and livestock production is modeled as a function of per-capita income.</w:t>
      </w:r>
    </w:p>
    <w:p w14:paraId="14149954" w14:textId="77777777" w:rsidR="00BE09F0" w:rsidRPr="00FD54EA" w:rsidRDefault="00FD54EA">
      <w:pPr>
        <w:spacing w:before="240"/>
        <w:rPr>
          <w:color w:val="000000" w:themeColor="text1"/>
        </w:rPr>
      </w:pPr>
      <w:r w:rsidRPr="00FD54EA">
        <w:rPr>
          <w:color w:val="000000" w:themeColor="text1"/>
        </w:rPr>
        <w:t>To meet total capital requirements in crop production, which are derived from production quantities and labor-to-capital ratio, the model requires a spatially-explicitly available capital stock. If the capital stock is not sufficiently available in a simulation unit, investments are required to top up the capital stock. The capital stock depreciates at a yearly rate of 5%. The spatial explicit capital stocks lead to higher investment costs in a growing agricultural sector in a simulation unit, and no investment costs in an agricultural sector in a simulation unit shrinking faster than the depreciation rate. It thereby also reduces the adaptation speed to changing market conditions.</w:t>
      </w:r>
    </w:p>
    <w:p w14:paraId="754AEE93" w14:textId="77777777" w:rsidR="00BE09F0" w:rsidRPr="00FD54EA" w:rsidRDefault="00FD54EA">
      <w:pPr>
        <w:spacing w:before="240"/>
        <w:rPr>
          <w:color w:val="000000" w:themeColor="text1"/>
        </w:rPr>
      </w:pPr>
      <w:r w:rsidRPr="00FD54EA">
        <w:rPr>
          <w:color w:val="000000" w:themeColor="text1"/>
        </w:rPr>
        <w:t>Employment in crop and livestock production is estimated based on total annual labor costs, agricultural wages (in the model represented by the mean nominal hourly labor cost per worker) and the average hours worked per person in a year:</w:t>
      </w:r>
    </w:p>
    <w:p w14:paraId="56AF6D0B" w14:textId="77777777" w:rsidR="00BE09F0" w:rsidRPr="00FD54EA" w:rsidRDefault="00FD54EA">
      <w:pPr>
        <w:spacing w:before="240"/>
        <w:jc w:val="center"/>
        <w:rPr>
          <w:color w:val="000000" w:themeColor="text1"/>
        </w:rPr>
      </w:pPr>
      <m:oMathPara>
        <m:oMath>
          <m:r>
            <w:rPr>
              <w:rFonts w:ascii="Cambria Math" w:hAnsi="Cambria Math"/>
              <w:color w:val="000000" w:themeColor="text1"/>
            </w:rPr>
            <m:t xml:space="preserve">employment = </m:t>
          </m:r>
          <m:f>
            <m:fPr>
              <m:ctrlPr>
                <w:rPr>
                  <w:rFonts w:ascii="Cambria Math" w:hAnsi="Cambria Math"/>
                  <w:color w:val="000000" w:themeColor="text1"/>
                </w:rPr>
              </m:ctrlPr>
            </m:fPr>
            <m:num>
              <m:r>
                <w:rPr>
                  <w:rFonts w:ascii="Cambria Math" w:hAnsi="Cambria Math"/>
                  <w:color w:val="000000" w:themeColor="text1"/>
                </w:rPr>
                <m:t>total annual labor costs</m:t>
              </m:r>
            </m:num>
            <m:den>
              <m:r>
                <w:rPr>
                  <w:rFonts w:ascii="Cambria Math" w:hAnsi="Cambria Math"/>
                  <w:color w:val="000000" w:themeColor="text1"/>
                </w:rPr>
                <m:t>hours per year ⋅ hourly labor costs</m:t>
              </m:r>
            </m:den>
          </m:f>
        </m:oMath>
      </m:oMathPara>
    </w:p>
    <w:p w14:paraId="22F731B7" w14:textId="2637516F" w:rsidR="00BE09F0" w:rsidRPr="00FD54EA" w:rsidRDefault="00FD54EA">
      <w:pPr>
        <w:spacing w:before="240"/>
        <w:rPr>
          <w:color w:val="000000" w:themeColor="text1"/>
        </w:rPr>
      </w:pPr>
      <w:r w:rsidRPr="00FD54EA">
        <w:rPr>
          <w:color w:val="000000" w:themeColor="text1"/>
        </w:rPr>
        <w:t xml:space="preserve">Total annual labor costs are derived from labor requirements and production quantities. The average hours worked in a year are based on country-specific average weekly working hours from </w:t>
      </w:r>
      <w:r w:rsidRPr="00FD54EA">
        <w:rPr>
          <w:i/>
          <w:color w:val="000000" w:themeColor="text1"/>
        </w:rPr>
        <w:t>ILOSTAT</w:t>
      </w:r>
      <w:r w:rsidR="00DC6222">
        <w:rPr>
          <w:i/>
          <w:color w:val="000000" w:themeColor="text1"/>
        </w:rPr>
        <w:fldChar w:fldCharType="begin"/>
      </w:r>
      <w:r w:rsidR="00A01D99">
        <w:rPr>
          <w:i/>
          <w:color w:val="000000" w:themeColor="text1"/>
        </w:rPr>
        <w:instrText xml:space="preserve"> ADDIN ZOTERO_ITEM CSL_CITATION {"citationID":"W9xExV29","properties":{"formattedCitation":"\\super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DC6222">
        <w:rPr>
          <w:i/>
          <w:color w:val="000000" w:themeColor="text1"/>
        </w:rPr>
        <w:fldChar w:fldCharType="separate"/>
      </w:r>
      <w:r w:rsidR="00A01D99" w:rsidRPr="00A01D99">
        <w:rPr>
          <w:szCs w:val="24"/>
          <w:vertAlign w:val="superscript"/>
        </w:rPr>
        <w:t>125</w:t>
      </w:r>
      <w:r w:rsidR="00DC6222">
        <w:rPr>
          <w:i/>
          <w:color w:val="000000" w:themeColor="text1"/>
        </w:rPr>
        <w:fldChar w:fldCharType="end"/>
      </w:r>
      <w:r w:rsidRPr="00FD54EA">
        <w:rPr>
          <w:color w:val="000000" w:themeColor="text1"/>
        </w:rPr>
        <w:t>, and are kept constant for future years. Hourly labor costs</w:t>
      </w:r>
      <w:r w:rsidR="00DC6222">
        <w:rPr>
          <w:color w:val="000000" w:themeColor="text1"/>
        </w:rPr>
        <w:fldChar w:fldCharType="begin"/>
      </w:r>
      <w:r w:rsidR="00A01D99">
        <w:rPr>
          <w:color w:val="000000" w:themeColor="text1"/>
        </w:rPr>
        <w:instrText xml:space="preserve"> ADDIN ZOTERO_ITEM CSL_CITATION {"citationID":"Tay8qN6Y","properties":{"formattedCitation":"\\super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DC6222">
        <w:rPr>
          <w:color w:val="000000" w:themeColor="text1"/>
        </w:rPr>
        <w:fldChar w:fldCharType="separate"/>
      </w:r>
      <w:r w:rsidR="00A01D99" w:rsidRPr="00A01D99">
        <w:rPr>
          <w:szCs w:val="24"/>
          <w:vertAlign w:val="superscript"/>
        </w:rPr>
        <w:t>125</w:t>
      </w:r>
      <w:r w:rsidR="00DC6222">
        <w:rPr>
          <w:color w:val="000000" w:themeColor="text1"/>
        </w:rPr>
        <w:fldChar w:fldCharType="end"/>
      </w:r>
      <w:r w:rsidRPr="00FD54EA">
        <w:rPr>
          <w:color w:val="000000" w:themeColor="text1"/>
        </w:rPr>
        <w:t xml:space="preserve"> are considered to reflect labor productivity in an inverse relationship. They are projected using a regression with per-capita income and calibrated on country level to be consistent with the historic datasets on employment</w:t>
      </w:r>
      <w:r w:rsidR="00DC6222">
        <w:rPr>
          <w:color w:val="000000" w:themeColor="text1"/>
        </w:rPr>
        <w:fldChar w:fldCharType="begin"/>
      </w:r>
      <w:r w:rsidR="00A01D99">
        <w:rPr>
          <w:color w:val="000000" w:themeColor="text1"/>
        </w:rPr>
        <w:instrText xml:space="preserve"> ADDIN ZOTERO_ITEM CSL_CITATION {"citationID":"HxKQQF74","properties":{"formattedCitation":"\\super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DC6222">
        <w:rPr>
          <w:color w:val="000000" w:themeColor="text1"/>
        </w:rPr>
        <w:fldChar w:fldCharType="separate"/>
      </w:r>
      <w:r w:rsidR="00A01D99" w:rsidRPr="00A01D99">
        <w:rPr>
          <w:szCs w:val="24"/>
          <w:vertAlign w:val="superscript"/>
        </w:rPr>
        <w:t>125</w:t>
      </w:r>
      <w:r w:rsidR="00DC6222">
        <w:rPr>
          <w:color w:val="000000" w:themeColor="text1"/>
        </w:rPr>
        <w:fldChar w:fldCharType="end"/>
      </w:r>
      <w:r w:rsidRPr="00FD54EA">
        <w:rPr>
          <w:color w:val="000000" w:themeColor="text1"/>
        </w:rPr>
        <w:t>, hours worked</w:t>
      </w:r>
      <w:r w:rsidR="00DC6222">
        <w:rPr>
          <w:color w:val="000000" w:themeColor="text1"/>
        </w:rPr>
        <w:fldChar w:fldCharType="begin"/>
      </w:r>
      <w:r w:rsidR="00A01D99">
        <w:rPr>
          <w:color w:val="000000" w:themeColor="text1"/>
        </w:rPr>
        <w:instrText xml:space="preserve"> ADDIN ZOTERO_ITEM CSL_CITATION {"citationID":"ErVOxYpe","properties":{"formattedCitation":"\\super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DC6222">
        <w:rPr>
          <w:color w:val="000000" w:themeColor="text1"/>
        </w:rPr>
        <w:fldChar w:fldCharType="separate"/>
      </w:r>
      <w:r w:rsidR="00A01D99" w:rsidRPr="00A01D99">
        <w:rPr>
          <w:szCs w:val="24"/>
          <w:vertAlign w:val="superscript"/>
        </w:rPr>
        <w:t>125</w:t>
      </w:r>
      <w:r w:rsidR="00DC6222">
        <w:rPr>
          <w:color w:val="000000" w:themeColor="text1"/>
        </w:rPr>
        <w:fldChar w:fldCharType="end"/>
      </w:r>
      <w:r w:rsidRPr="00FD54EA">
        <w:rPr>
          <w:color w:val="000000" w:themeColor="text1"/>
        </w:rPr>
        <w:t xml:space="preserve"> and labor cost (based on value of production data by </w:t>
      </w:r>
      <w:r w:rsidRPr="00FD54EA">
        <w:rPr>
          <w:i/>
          <w:color w:val="000000" w:themeColor="text1"/>
        </w:rPr>
        <w:t>FAO</w:t>
      </w:r>
      <w:r w:rsidR="002B05DD">
        <w:rPr>
          <w:i/>
          <w:color w:val="000000" w:themeColor="text1"/>
        </w:rPr>
        <w:t>STAT</w:t>
      </w:r>
      <w:r w:rsidR="002B05DD">
        <w:rPr>
          <w:i/>
          <w:color w:val="000000" w:themeColor="text1"/>
        </w:rPr>
        <w:fldChar w:fldCharType="begin"/>
      </w:r>
      <w:r w:rsidR="00A01D99">
        <w:rPr>
          <w:i/>
          <w:color w:val="000000" w:themeColor="text1"/>
        </w:rPr>
        <w:instrText xml:space="preserve"> ADDIN ZOTERO_ITEM CSL_CITATION {"citationID":"b2bPsnkI","properties":{"formattedCitation":"\\super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2B05DD">
        <w:rPr>
          <w:i/>
          <w:color w:val="000000" w:themeColor="text1"/>
        </w:rPr>
        <w:fldChar w:fldCharType="separate"/>
      </w:r>
      <w:r w:rsidR="00A01D99" w:rsidRPr="00A01D99">
        <w:rPr>
          <w:szCs w:val="24"/>
          <w:vertAlign w:val="superscript"/>
        </w:rPr>
        <w:t>113</w:t>
      </w:r>
      <w:r w:rsidR="002B05DD">
        <w:rPr>
          <w:i/>
          <w:color w:val="000000" w:themeColor="text1"/>
        </w:rPr>
        <w:fldChar w:fldCharType="end"/>
      </w:r>
      <w:r w:rsidRPr="00FD54EA">
        <w:rPr>
          <w:color w:val="000000" w:themeColor="text1"/>
        </w:rPr>
        <w:t xml:space="preserve"> and labor cost shares by </w:t>
      </w:r>
      <w:r w:rsidRPr="00FD54EA">
        <w:rPr>
          <w:i/>
          <w:color w:val="000000" w:themeColor="text1"/>
        </w:rPr>
        <w:t>USDA</w:t>
      </w:r>
      <w:r w:rsidR="002B05DD">
        <w:rPr>
          <w:color w:val="000000" w:themeColor="text1"/>
        </w:rPr>
        <w:fldChar w:fldCharType="begin"/>
      </w:r>
      <w:r w:rsidR="00A01D99">
        <w:rPr>
          <w:color w:val="000000" w:themeColor="text1"/>
        </w:rPr>
        <w:instrText xml:space="preserve"> ADDIN ZOTERO_ITEM CSL_CITATION {"citationID":"42fl20rF","properties":{"formattedCitation":"\\super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2B05DD">
        <w:rPr>
          <w:color w:val="000000" w:themeColor="text1"/>
        </w:rPr>
        <w:fldChar w:fldCharType="separate"/>
      </w:r>
      <w:r w:rsidR="00A01D99" w:rsidRPr="00A01D99">
        <w:rPr>
          <w:szCs w:val="24"/>
          <w:vertAlign w:val="superscript"/>
        </w:rPr>
        <w:t>125</w:t>
      </w:r>
      <w:r w:rsidR="002B05DD">
        <w:rPr>
          <w:color w:val="000000" w:themeColor="text1"/>
        </w:rPr>
        <w:fldChar w:fldCharType="end"/>
      </w:r>
      <w:r w:rsidRPr="00FD54EA">
        <w:rPr>
          <w:color w:val="000000" w:themeColor="text1"/>
        </w:rPr>
        <w:t>) for the calibration year 2010.</w:t>
      </w:r>
    </w:p>
    <w:p w14:paraId="003AF07B" w14:textId="77777777" w:rsidR="00BE09F0" w:rsidRPr="00FD54EA" w:rsidRDefault="00FD54EA">
      <w:pPr>
        <w:spacing w:before="240"/>
        <w:rPr>
          <w:color w:val="000000" w:themeColor="text1"/>
        </w:rPr>
      </w:pPr>
      <w:r w:rsidRPr="00FD54EA">
        <w:rPr>
          <w:color w:val="000000" w:themeColor="text1"/>
        </w:rPr>
        <w:t xml:space="preserve">In the </w:t>
      </w:r>
      <w:proofErr w:type="spellStart"/>
      <w:r w:rsidRPr="00FD54EA">
        <w:rPr>
          <w:i/>
          <w:color w:val="000000" w:themeColor="text1"/>
        </w:rPr>
        <w:t>MinWage</w:t>
      </w:r>
      <w:proofErr w:type="spellEnd"/>
      <w:r w:rsidRPr="00FD54EA">
        <w:rPr>
          <w:color w:val="000000" w:themeColor="text1"/>
        </w:rPr>
        <w:t xml:space="preserve"> FSM, we calibrate a Cobb-Douglas production function with a substitution elasticity of 0.3 to match the above long-term labor-to-capital ratio and labor productivity in a baseline scenario. We define a global minimum wage of 3 USD</w:t>
      </w:r>
      <w:r w:rsidRPr="00FD54EA">
        <w:rPr>
          <w:color w:val="000000" w:themeColor="text1"/>
          <w:vertAlign w:val="subscript"/>
        </w:rPr>
        <w:t>05MER</w:t>
      </w:r>
      <w:r w:rsidRPr="00FD54EA">
        <w:rPr>
          <w:color w:val="000000" w:themeColor="text1"/>
        </w:rPr>
        <w:t xml:space="preserve">/h to be reached by 2050. To meet this target, we accelerate the increase of agricultural wages in low-income countries between 2020 and 2050 compared to scenarios without minimum </w:t>
      </w:r>
      <w:proofErr w:type="spellStart"/>
      <w:proofErr w:type="gramStart"/>
      <w:r w:rsidRPr="00FD54EA">
        <w:rPr>
          <w:color w:val="000000" w:themeColor="text1"/>
        </w:rPr>
        <w:t>wage.The</w:t>
      </w:r>
      <w:proofErr w:type="spellEnd"/>
      <w:proofErr w:type="gramEnd"/>
      <w:r w:rsidRPr="00FD54EA">
        <w:rPr>
          <w:color w:val="000000" w:themeColor="text1"/>
        </w:rPr>
        <w:t xml:space="preserve"> minimum wage leads to higher production costs and a substitution of labor by capital. </w:t>
      </w:r>
    </w:p>
    <w:p w14:paraId="70285E98" w14:textId="77777777" w:rsidR="00BE09F0" w:rsidRPr="00FD54EA" w:rsidRDefault="00FD54EA">
      <w:pPr>
        <w:spacing w:before="240"/>
        <w:rPr>
          <w:color w:val="000000" w:themeColor="text1"/>
        </w:rPr>
      </w:pPr>
      <w:r w:rsidRPr="00FD54EA">
        <w:rPr>
          <w:color w:val="000000" w:themeColor="text1"/>
        </w:rPr>
        <w:t xml:space="preserve">In the </w:t>
      </w:r>
      <w:proofErr w:type="spellStart"/>
      <w:r w:rsidRPr="00FD54EA">
        <w:rPr>
          <w:color w:val="000000" w:themeColor="text1"/>
        </w:rPr>
        <w:t>CapitSubst</w:t>
      </w:r>
      <w:proofErr w:type="spellEnd"/>
      <w:r w:rsidRPr="00FD54EA">
        <w:rPr>
          <w:color w:val="000000" w:themeColor="text1"/>
        </w:rPr>
        <w:t xml:space="preserve"> FSM, we assume that in regions with high capital intensities, capital is replaced by labor to reduce the loss of employment. The global target for the capital share (</w:t>
      </w:r>
      <w:proofErr w:type="spellStart"/>
      <w:proofErr w:type="gramStart"/>
      <w:r w:rsidRPr="00FD54EA">
        <w:rPr>
          <w:color w:val="000000" w:themeColor="text1"/>
        </w:rPr>
        <w:t>ie.e</w:t>
      </w:r>
      <w:proofErr w:type="spellEnd"/>
      <w:proofErr w:type="gramEnd"/>
      <w:r w:rsidRPr="00FD54EA">
        <w:rPr>
          <w:color w:val="000000" w:themeColor="text1"/>
        </w:rPr>
        <w:t xml:space="preserve"> the capital requirement share out of factor requirements) in crop production is set to 20% by 2050. If countries exceed this capital share, we reduce the gap between the baseline labor share and the target share by 50%. Setting the resulting capital shares as a constraint leads to substitution of capital by labor; the use of the above Cobb-Douglas production function leads then to an increase in total factor costs.</w:t>
      </w:r>
    </w:p>
    <w:p w14:paraId="57C1EB19" w14:textId="77777777" w:rsidR="00BE09F0" w:rsidRPr="00FD54EA" w:rsidRDefault="00FD54EA">
      <w:pPr>
        <w:pStyle w:val="Heading4"/>
        <w:rPr>
          <w:color w:val="000000" w:themeColor="text1"/>
        </w:rPr>
      </w:pPr>
      <w:bookmarkStart w:id="11" w:name="_vp1x2m3o2lpt" w:colFirst="0" w:colLast="0"/>
      <w:bookmarkEnd w:id="11"/>
      <w:r w:rsidRPr="00FD54EA">
        <w:rPr>
          <w:color w:val="000000" w:themeColor="text1"/>
        </w:rPr>
        <w:lastRenderedPageBreak/>
        <w:t>S1.1.7 Nitrogen Budgets</w:t>
      </w:r>
    </w:p>
    <w:p w14:paraId="45650C4D" w14:textId="7FEC83B8" w:rsidR="00BE09F0" w:rsidRPr="00FD54EA" w:rsidRDefault="00FD54EA">
      <w:pPr>
        <w:spacing w:before="240"/>
        <w:rPr>
          <w:color w:val="000000" w:themeColor="text1"/>
        </w:rPr>
      </w:pPr>
      <w:r w:rsidRPr="00FD54EA">
        <w:rPr>
          <w:color w:val="000000" w:themeColor="text1"/>
        </w:rPr>
        <w:t>Nitrogen fertilization requirements are derived based on the soil nitrogen uptake (SNU), divided by the soil nitrogen uptake efficiency (</w:t>
      </w:r>
      <w:proofErr w:type="spellStart"/>
      <w:r w:rsidRPr="00FD54EA">
        <w:rPr>
          <w:color w:val="000000" w:themeColor="text1"/>
        </w:rPr>
        <w:t>SNUpE</w:t>
      </w:r>
      <w:proofErr w:type="spellEnd"/>
      <w:r w:rsidRPr="00FD54EA">
        <w:rPr>
          <w:color w:val="000000" w:themeColor="text1"/>
        </w:rPr>
        <w:t xml:space="preserve">) to account for the losses during fertilization </w:t>
      </w:r>
      <w:r w:rsidR="002B05DD">
        <w:rPr>
          <w:color w:val="000000" w:themeColor="text1"/>
        </w:rPr>
        <w:fldChar w:fldCharType="begin"/>
      </w:r>
      <w:r w:rsidR="002B05DD">
        <w:rPr>
          <w:color w:val="000000" w:themeColor="text1"/>
        </w:rPr>
        <w:instrText xml:space="preserve"> ADDIN ZOTERO_ITEM CSL_CITATION {"citationID":"bTKPQNsT","properties":{"formattedCitation":"\\super 51\\nosupersub{}","plainCitation":"51","noteIndex":0},"citationItems":[{"id":2504,"uris":["http://zotero.org/users/694717/items/WP4HTMA4"],"itemData":{"id":2504,"type":"article-journal","container-title":"Nature Communications","DOI":"10.1038/ncomms4858","ISSN":"2041-1723","source":"CrossRef","title":"Reactive nitrogen requirements to feed the world in 2050 and potential to mitigate nitrogen pollution","URL":"http://www.nature.com/doifinder/10.1038/ncomms4858","volume":"5","author":[{"family":"Bodirsky","given":"Benjamin Leon"},{"family":"Popp","given":"Alexander"},{"family":"Lotze-Campen","given":"Hermann"},{"family":"Dietrich","given":"Jan Philipp"},{"family":"Rolinski","given":"Susanne"},{"family":"Weindl","given":"Isabelle"},{"family":"Schmitz","given":"Christoph"},{"family":"Müller","given":"Christoph"},{"family":"Bonsch","given":"Markus"},{"family":"Humpenöder","given":"Florian"},{"family":"Biewald","given":"Anne"},{"family":"Stevanovic","given":"Miodrag"}],"accessed":{"date-parts":[["2014",5,13]]},"issued":{"date-parts":[["2014",5,13]]}}}],"schema":"https://github.com/citation-style-language/schema/raw/master/csl-citation.json"} </w:instrText>
      </w:r>
      <w:r w:rsidR="002B05DD">
        <w:rPr>
          <w:color w:val="000000" w:themeColor="text1"/>
        </w:rPr>
        <w:fldChar w:fldCharType="separate"/>
      </w:r>
      <w:r w:rsidR="002B05DD" w:rsidRPr="002B05DD">
        <w:rPr>
          <w:szCs w:val="24"/>
          <w:vertAlign w:val="superscript"/>
        </w:rPr>
        <w:t>51</w:t>
      </w:r>
      <w:r w:rsidR="002B05DD">
        <w:rPr>
          <w:color w:val="000000" w:themeColor="text1"/>
        </w:rPr>
        <w:fldChar w:fldCharType="end"/>
      </w:r>
      <w:r w:rsidRPr="00FD54EA">
        <w:rPr>
          <w:color w:val="000000" w:themeColor="text1"/>
        </w:rPr>
        <w:t>. The SNU is equivalent to the nitrogen within the harvested biomass and the above- and below-ground crop residues, multiplied with 1 minus the percentage of plant N derived from N</w:t>
      </w:r>
      <w:r w:rsidRPr="00FD54EA">
        <w:rPr>
          <w:color w:val="000000" w:themeColor="text1"/>
          <w:vertAlign w:val="subscript"/>
        </w:rPr>
        <w:t>2</w:t>
      </w:r>
      <w:r w:rsidRPr="00FD54EA">
        <w:rPr>
          <w:color w:val="000000" w:themeColor="text1"/>
        </w:rPr>
        <w:t xml:space="preserve"> fixation (%</w:t>
      </w:r>
      <w:proofErr w:type="spellStart"/>
      <w:r w:rsidRPr="00FD54EA">
        <w:rPr>
          <w:color w:val="000000" w:themeColor="text1"/>
        </w:rPr>
        <w:t>ndfa</w:t>
      </w:r>
      <w:proofErr w:type="spellEnd"/>
      <w:r w:rsidRPr="00FD54EA">
        <w:rPr>
          <w:color w:val="000000" w:themeColor="text1"/>
        </w:rPr>
        <w:t>) and minus the nitrogen in seeds which are merged into the plant biomass. Nitrogen fertilization requirements can be settled using soil nitrogen inputs (SNI). They include N in manure and crop residues, atmospheric deposition, and N from free-living nitrogen-fixing bacteria, inorganic fertilizers, as well as reactive nitrogen (Nr) released from soil organic matter after land conversion</w:t>
      </w:r>
      <w:r w:rsidR="002B05DD">
        <w:rPr>
          <w:color w:val="000000" w:themeColor="text1"/>
        </w:rPr>
        <w:fldChar w:fldCharType="begin"/>
      </w:r>
      <w:r w:rsidR="002B05DD">
        <w:rPr>
          <w:color w:val="000000" w:themeColor="text1"/>
        </w:rPr>
        <w:instrText xml:space="preserve"> ADDIN ZOTERO_ITEM CSL_CITATION {"citationID":"jLzmULNu","properties":{"formattedCitation":"\\super 51\\nosupersub{}","plainCitation":"51","noteIndex":0},"citationItems":[{"id":2504,"uris":["http://zotero.org/users/694717/items/WP4HTMA4"],"itemData":{"id":2504,"type":"article-journal","container-title":"Nature Communications","DOI":"10.1038/ncomms4858","ISSN":"2041-1723","source":"CrossRef","title":"Reactive nitrogen requirements to feed the world in 2050 and potential to mitigate nitrogen pollution","URL":"http://www.nature.com/doifinder/10.1038/ncomms4858","volume":"5","author":[{"family":"Bodirsky","given":"Benjamin Leon"},{"family":"Popp","given":"Alexander"},{"family":"Lotze-Campen","given":"Hermann"},{"family":"Dietrich","given":"Jan Philipp"},{"family":"Rolinski","given":"Susanne"},{"family":"Weindl","given":"Isabelle"},{"family":"Schmitz","given":"Christoph"},{"family":"Müller","given":"Christoph"},{"family":"Bonsch","given":"Markus"},{"family":"Humpenöder","given":"Florian"},{"family":"Biewald","given":"Anne"},{"family":"Stevanovic","given":"Miodrag"}],"accessed":{"date-parts":[["2014",5,13]]},"issued":{"date-parts":[["2014",5,13]]}}}],"schema":"https://github.com/citation-style-language/schema/raw/master/csl-citation.json"} </w:instrText>
      </w:r>
      <w:r w:rsidR="002B05DD">
        <w:rPr>
          <w:color w:val="000000" w:themeColor="text1"/>
        </w:rPr>
        <w:fldChar w:fldCharType="separate"/>
      </w:r>
      <w:r w:rsidR="002B05DD" w:rsidRPr="002B05DD">
        <w:rPr>
          <w:szCs w:val="24"/>
          <w:vertAlign w:val="superscript"/>
        </w:rPr>
        <w:t>51</w:t>
      </w:r>
      <w:r w:rsidR="002B05DD">
        <w:rPr>
          <w:color w:val="000000" w:themeColor="text1"/>
        </w:rPr>
        <w:fldChar w:fldCharType="end"/>
      </w:r>
      <w:r w:rsidRPr="00FD54EA">
        <w:rPr>
          <w:color w:val="000000" w:themeColor="text1"/>
        </w:rPr>
        <w:t xml:space="preserve">. SNU, SNI and </w:t>
      </w:r>
      <w:proofErr w:type="spellStart"/>
      <w:r w:rsidRPr="00FD54EA">
        <w:rPr>
          <w:color w:val="000000" w:themeColor="text1"/>
        </w:rPr>
        <w:t>SNUpE</w:t>
      </w:r>
      <w:proofErr w:type="spellEnd"/>
      <w:r w:rsidRPr="00FD54EA">
        <w:rPr>
          <w:color w:val="000000" w:themeColor="text1"/>
        </w:rPr>
        <w:t xml:space="preserve"> are estimated separately for croplands and pastures. The </w:t>
      </w:r>
      <w:proofErr w:type="spellStart"/>
      <w:r w:rsidRPr="00FD54EA">
        <w:rPr>
          <w:color w:val="000000" w:themeColor="text1"/>
        </w:rPr>
        <w:t>SNUpE</w:t>
      </w:r>
      <w:proofErr w:type="spellEnd"/>
      <w:r w:rsidRPr="00FD54EA">
        <w:rPr>
          <w:color w:val="000000" w:themeColor="text1"/>
        </w:rPr>
        <w:t xml:space="preserve"> is estimated based on a historical nitrogen budget; for future scenarios, the </w:t>
      </w:r>
      <w:proofErr w:type="spellStart"/>
      <w:r w:rsidRPr="00FD54EA">
        <w:rPr>
          <w:color w:val="000000" w:themeColor="text1"/>
        </w:rPr>
        <w:t>SNUpE</w:t>
      </w:r>
      <w:proofErr w:type="spellEnd"/>
      <w:r w:rsidRPr="00FD54EA">
        <w:rPr>
          <w:color w:val="000000" w:themeColor="text1"/>
        </w:rPr>
        <w:t xml:space="preserve"> is the composite of a baseline pathway component and a mitigation component (1-SNUpE) = (1-</w:t>
      </w:r>
      <w:proofErr w:type="gramStart"/>
      <w:r w:rsidRPr="00FD54EA">
        <w:rPr>
          <w:color w:val="000000" w:themeColor="text1"/>
        </w:rPr>
        <w:t>SNUpE</w:t>
      </w:r>
      <w:r w:rsidRPr="00FD54EA">
        <w:rPr>
          <w:color w:val="000000" w:themeColor="text1"/>
          <w:vertAlign w:val="subscript"/>
        </w:rPr>
        <w:t>base</w:t>
      </w:r>
      <w:r w:rsidRPr="00FD54EA">
        <w:rPr>
          <w:color w:val="000000" w:themeColor="text1"/>
        </w:rPr>
        <w:t>)*</w:t>
      </w:r>
      <w:proofErr w:type="gramEnd"/>
      <w:r w:rsidRPr="00FD54EA">
        <w:rPr>
          <w:color w:val="000000" w:themeColor="text1"/>
        </w:rPr>
        <w:t>(1-SNUpE</w:t>
      </w:r>
      <w:r w:rsidRPr="00FD54EA">
        <w:rPr>
          <w:color w:val="000000" w:themeColor="text1"/>
          <w:vertAlign w:val="subscript"/>
        </w:rPr>
        <w:t>mit</w:t>
      </w:r>
      <w:r w:rsidRPr="00FD54EA">
        <w:rPr>
          <w:color w:val="000000" w:themeColor="text1"/>
        </w:rPr>
        <w:t xml:space="preserve">). </w:t>
      </w:r>
      <w:proofErr w:type="spellStart"/>
      <w:r w:rsidRPr="00FD54EA">
        <w:rPr>
          <w:color w:val="000000" w:themeColor="text1"/>
        </w:rPr>
        <w:t>SNUpE</w:t>
      </w:r>
      <w:r w:rsidRPr="00FD54EA">
        <w:rPr>
          <w:color w:val="000000" w:themeColor="text1"/>
          <w:vertAlign w:val="subscript"/>
        </w:rPr>
        <w:t>base</w:t>
      </w:r>
      <w:proofErr w:type="spellEnd"/>
      <w:r w:rsidRPr="00FD54EA">
        <w:rPr>
          <w:color w:val="000000" w:themeColor="text1"/>
        </w:rPr>
        <w:t xml:space="preserve"> includes modest improvements that depend on assumptions on technological progress on the basis of the Shared Socioeconomic Pathways (see section S1.3). </w:t>
      </w:r>
      <w:proofErr w:type="spellStart"/>
      <w:r w:rsidRPr="00FD54EA">
        <w:rPr>
          <w:color w:val="000000" w:themeColor="text1"/>
        </w:rPr>
        <w:t>SNUpE</w:t>
      </w:r>
      <w:r w:rsidRPr="00FD54EA">
        <w:rPr>
          <w:color w:val="000000" w:themeColor="text1"/>
          <w:vertAlign w:val="subscript"/>
        </w:rPr>
        <w:t>mit</w:t>
      </w:r>
      <w:proofErr w:type="spellEnd"/>
      <w:r w:rsidRPr="00FD54EA">
        <w:rPr>
          <w:color w:val="000000" w:themeColor="text1"/>
        </w:rPr>
        <w:t xml:space="preserve"> is parametrized proportional to the mitigation potential of the marginal abatement cost curves</w:t>
      </w:r>
      <w:r w:rsidR="002B05DD">
        <w:rPr>
          <w:color w:val="000000" w:themeColor="text1"/>
        </w:rPr>
        <w:fldChar w:fldCharType="begin"/>
      </w:r>
      <w:r w:rsidR="009E54D2">
        <w:rPr>
          <w:color w:val="000000" w:themeColor="text1"/>
        </w:rPr>
        <w:instrText xml:space="preserve"> ADDIN ZOTERO_ITEM CSL_CITATION {"citationID":"8Cokjwt3","properties":{"formattedCitation":"\\super 67\\nosupersub{}","plainCitation":"67","noteIndex":0},"citationItems":[{"id":9353,"uris":["http://zotero.org/users/694717/items/RWCSJXDM"],"itemData":{"id":9353,"type":"report","abstract":"Abstract\n          \n            Despite its projected crucial role in stringent, future global climate policy, non-CO\n            2\n            greenhouse gas (NCGG) mitigation remains a large uncertain factor that has received relatively little scientific attention. A revision of the estimated mitigation potential could have massive implications for the feasibility of global climate policy to reach the Paris Agreement climate goals. Here, we provide a systematic bottom-up estimate of the total uncertainty in NCGG mitigation, by developing “optimistic, default and pessimistic” long-term non-CO\n            2\n            marginal abatement cost (MAC) curves. The global 1.5-degree climate target is found to be out of reach under pessimistic MAC assumptions, as is the 2-degree target under high emission assumptions. MAC uncertainty translates into a large projected range in (all in a 2-degree scenario) relative NCGG reduction (40–58%), carbon budget (± 120 Gt CO\n            2\n            ) and policy costs (± 16%). Partly, the MAC uncertainty signifies a gap that could be bridged by human efforts, but largely it indicates uncertainty in technical limitations.","genre":"preprint","language":"en","note":"DOI: 10.21203/rs.3.rs-2238789/v1","publisher":"In Review","source":"DOI.org (Crossref)","title":"Uncertainty in non-CO2 greenhouse gas mitigation: Make-or-break for global climate policy feasibility","title-short":"Uncertainty in non-CO2 greenhouse gas mitigation","URL":"https://www.researchsquare.com/article/rs-2238789/v1","author":[{"family":"Harmsen","given":"Mathijs"},{"family":"Tabak","given":"Charlotte"},{"family":"Höglund-Isaksson","given":"Lena"},{"family":"Humpenöder","given":"Florian"},{"family":"Purohit","given":"Pallav"},{"family":"Vuuren","given":"Detlef","dropping-particle":"van"}],"accessed":{"date-parts":[["2023",4,23]]},"issued":{"date-parts":[["2023",1,9]]}}}],"schema":"https://github.com/citation-style-language/schema/raw/master/csl-citation.json"} </w:instrText>
      </w:r>
      <w:r w:rsidR="002B05DD">
        <w:rPr>
          <w:color w:val="000000" w:themeColor="text1"/>
        </w:rPr>
        <w:fldChar w:fldCharType="separate"/>
      </w:r>
      <w:r w:rsidR="009E54D2" w:rsidRPr="009E54D2">
        <w:rPr>
          <w:szCs w:val="24"/>
          <w:vertAlign w:val="superscript"/>
        </w:rPr>
        <w:t>67</w:t>
      </w:r>
      <w:r w:rsidR="002B05DD">
        <w:rPr>
          <w:color w:val="000000" w:themeColor="text1"/>
        </w:rPr>
        <w:fldChar w:fldCharType="end"/>
      </w:r>
      <w:r w:rsidRPr="00FD54EA">
        <w:rPr>
          <w:color w:val="000000" w:themeColor="text1"/>
        </w:rPr>
        <w:t>, and connects technical mitigation activity to additional production costs. Measures include improved land manure application, spreader maintenance, improved agronomic practices, sub-optimal fertilizer applications, nitrification inhibitors and fertilizer free zones. Nitrogen surpluses from agricultural soils are estimated as the difference between nitrogen inputs in the form of organic and inorganic fertilizers, and the withdrawals in the form of harvested biomass. This budget approach, which provides the total quantity of Nr leached, volatilized or denitrified as the Nitrogen Surplus from Agricultural Soils, can be considered a robust estimate of the various forms of nitrogen pollution on an aggregated scale</w:t>
      </w:r>
      <w:r w:rsidR="002B05DD">
        <w:rPr>
          <w:color w:val="000000" w:themeColor="text1"/>
        </w:rPr>
        <w:fldChar w:fldCharType="begin"/>
      </w:r>
      <w:r w:rsidR="002B05DD">
        <w:rPr>
          <w:color w:val="000000" w:themeColor="text1"/>
        </w:rPr>
        <w:instrText xml:space="preserve"> ADDIN ZOTERO_ITEM CSL_CITATION {"citationID":"5YDFFnAp","properties":{"formattedCitation":"\\super 43\\nosupersub{}","plainCitation":"43","noteIndex":0},"citationItems":[{"id":9011,"uris":["http://zotero.org/users/694717/items/C23UMCUZ"],"itemData":{"id":9011,"type":"article-journal","abstract":"Excessive agricultural nitrogen use causes environmental problems globally1, to an extent that it has been suggested that a safe planetary boundary has been exceeded2. Earlier estimates for the planetary nitrogen boundary3,4, however, did not account for the spatial variability in both ecosystems’ sensitivity to nitrogen pollution and agricultural nitrogen losses. Here we use a spatially explicit model to establish regional boundaries for agricultural nitrogen surplus from thresholds for eutrophication of terrestrial and aquatic ecosystems and nitrate in groundwater. We estimate regional boundaries for agricultural nitrogen pollution and find both overuse and room for intensification of agricultural nitrogen. The aggregated global surplus boundary with respect to all thresholds is 43 megatonnes of nitrogen per year, which is 64 per cent lower than the current (2010) nitrogen surplus (119 megatonnes of nitrogen per year). Allowing the nitrogen surplus to increase to close yield gaps in regions where environmental thresholds are not exceeded lifts the planetary nitrogen boundary to 57 megatonnes of nitrogen per year. Feeding the world without trespassing regional and planetary nitrogen boundaries requires large increases in nitrogen use efficiencies accompanied by mitigation of non-agricultural nitrogen sources such as sewage water. This asks for coordinated action that recognizes the heterogeneity of agricultural systems, non-agricultural nitrogen losses and environmental vulnerabilities.","container-title":"Nature","DOI":"10.1038/s41586-022-05158-2","ISSN":"1476-4687","issue":"7932","language":"en","license":"2022 The Author(s), under exclusive licence to Springer Nature Limited","note":"number: 7932\npublisher: Nature Publishing Group","page":"507-512","source":"www.nature.com","title":"From planetary to regional boundaries for agricultural nitrogen pollution","volume":"610","author":[{"family":"Schulte-Uebbing","given":"L. F."},{"family":"Beusen","given":"A. H. W."},{"family":"Bouwman","given":"A. F."},{"family":"Vries","given":"W.","non-dropping-particle":"de"}],"issued":{"date-parts":[["2022",10]]}}}],"schema":"https://github.com/citation-style-language/schema/raw/master/csl-citation.json"} </w:instrText>
      </w:r>
      <w:r w:rsidR="002B05DD">
        <w:rPr>
          <w:color w:val="000000" w:themeColor="text1"/>
        </w:rPr>
        <w:fldChar w:fldCharType="separate"/>
      </w:r>
      <w:r w:rsidR="002B05DD" w:rsidRPr="002B05DD">
        <w:rPr>
          <w:szCs w:val="24"/>
          <w:vertAlign w:val="superscript"/>
        </w:rPr>
        <w:t>43</w:t>
      </w:r>
      <w:r w:rsidR="002B05DD">
        <w:rPr>
          <w:color w:val="000000" w:themeColor="text1"/>
        </w:rPr>
        <w:fldChar w:fldCharType="end"/>
      </w:r>
      <w:r w:rsidR="002B05DD">
        <w:rPr>
          <w:color w:val="000000" w:themeColor="text1"/>
        </w:rPr>
        <w:t>.</w:t>
      </w:r>
    </w:p>
    <w:p w14:paraId="5095C73B" w14:textId="77777777" w:rsidR="00BE09F0" w:rsidRPr="00FD54EA" w:rsidRDefault="00FD54EA">
      <w:pPr>
        <w:spacing w:before="240"/>
        <w:rPr>
          <w:color w:val="000000" w:themeColor="text1"/>
        </w:rPr>
      </w:pPr>
      <w:r w:rsidRPr="00FD54EA">
        <w:rPr>
          <w:color w:val="000000" w:themeColor="text1"/>
        </w:rPr>
        <w:t>Nitrogen excretion by livestock is estimated as the N in feed minus the N in the slaughtered animal. Due to lack of data on the relative proportion of manure recycled on grasslands versus croplands, manure from grass is assumed to be excreted on grasslands or recycled back on grasslands, while manure from concentrate feed is assumed to be excreted in confinements. The manure in confinements is separated between nine different animal waste management systems based on regional shares, each with different recycling and emission fractions.</w:t>
      </w:r>
    </w:p>
    <w:p w14:paraId="1D08F36F" w14:textId="77777777" w:rsidR="00BE09F0" w:rsidRPr="00FD54EA" w:rsidRDefault="00FD54EA">
      <w:pPr>
        <w:spacing w:before="240"/>
        <w:rPr>
          <w:color w:val="000000" w:themeColor="text1"/>
        </w:rPr>
      </w:pPr>
      <w:r w:rsidRPr="00FD54EA">
        <w:rPr>
          <w:color w:val="000000" w:themeColor="text1"/>
        </w:rPr>
        <w:t xml:space="preserve">For (semi-) natural vegetation (i.e. forests and other land), we assume a nitrogen budget that is roughly in a steady-state, such that nitrogen surplus equals the biological nitrogen fixation and the atmospheric deposition. However, the totals are reduced if semi-natural lands are reduced because of the expansion of agricultural or urban land. </w:t>
      </w:r>
    </w:p>
    <w:p w14:paraId="7B6FAA5C" w14:textId="37968093" w:rsidR="00BE09F0" w:rsidRPr="00FD54EA" w:rsidRDefault="00FD54EA">
      <w:pPr>
        <w:spacing w:before="240"/>
        <w:rPr>
          <w:color w:val="000000" w:themeColor="text1"/>
        </w:rPr>
      </w:pPr>
      <w:r w:rsidRPr="00FD54EA">
        <w:rPr>
          <w:color w:val="000000" w:themeColor="text1"/>
        </w:rPr>
        <w:t xml:space="preserve">Global </w:t>
      </w:r>
      <w:r w:rsidRPr="00FD54EA">
        <w:rPr>
          <w:i/>
          <w:color w:val="000000" w:themeColor="text1"/>
        </w:rPr>
        <w:t>Nitrogen Surplus</w:t>
      </w:r>
      <w:r w:rsidRPr="00FD54EA">
        <w:rPr>
          <w:color w:val="000000" w:themeColor="text1"/>
        </w:rPr>
        <w:t xml:space="preserve"> is estimated as the sum of the nitrogen surpluses in croplands, pastures, animal waste management and natural vegetation. This more comprehensive coverage of nitrogen surpluses also explains our higher estimates when compared to other estimates</w:t>
      </w:r>
      <w:r w:rsidR="002B05DD">
        <w:rPr>
          <w:color w:val="000000" w:themeColor="text1"/>
        </w:rPr>
        <w:fldChar w:fldCharType="begin"/>
      </w:r>
      <w:r w:rsidR="00A01D99">
        <w:rPr>
          <w:color w:val="000000" w:themeColor="text1"/>
        </w:rPr>
        <w:instrText xml:space="preserve"> ADDIN ZOTERO_ITEM CSL_CITATION {"citationID":"A1LPgOi5","properties":{"formattedCitation":"\\super 43,126,127\\nosupersub{}","plainCitation":"43,126,127","noteIndex":0},"citationItems":[{"id":9011,"uris":["http://zotero.org/users/694717/items/C23UMCUZ"],"itemData":{"id":9011,"type":"article-journal","abstract":"Excessive agricultural nitrogen use causes environmental problems globally1, to an extent that it has been suggested that a safe planetary boundary has been exceeded2. Earlier estimates for the planetary nitrogen boundary3,4, however, did not account for the spatial variability in both ecosystems’ sensitivity to nitrogen pollution and agricultural nitrogen losses. Here we use a spatially explicit model to establish regional boundaries for agricultural nitrogen surplus from thresholds for eutrophication of terrestrial and aquatic ecosystems and nitrate in groundwater. We estimate regional boundaries for agricultural nitrogen pollution and find both overuse and room for intensification of agricultural nitrogen. The aggregated global surplus boundary with respect to all thresholds is 43 megatonnes of nitrogen per year, which is 64 per cent lower than the current (2010) nitrogen surplus (119 megatonnes of nitrogen per year). Allowing the nitrogen surplus to increase to close yield gaps in regions where environmental thresholds are not exceeded lifts the planetary nitrogen boundary to 57 megatonnes of nitrogen per year. Feeding the world without trespassing regional and planetary nitrogen boundaries requires large increases in nitrogen use efficiencies accompanied by mitigation of non-agricultural nitrogen sources such as sewage water. This asks for coordinated action that recognizes the heterogeneity of agricultural systems, non-agricultural nitrogen losses and environmental vulnerabilities.","container-title":"Nature","DOI":"10.1038/s41586-022-05158-2","ISSN":"1476-4687","issue":"7932","language":"en","license":"2022 The Author(s), under exclusive licence to Springer Nature Limited","note":"number: 7932\npublisher: Nature Publishing Group","page":"507-512","source":"www.nature.com","title":"From planetary to regional boundaries for agricultural nitrogen pollution","volume":"610","author":[{"family":"Schulte-Uebbing","given":"L. F."},{"family":"Beusen","given":"A. H. W."},{"family":"Bouwman","given":"A. F."},{"family":"Vries","given":"W.","non-dropping-particle":"de"}],"issued":{"date-parts":[["2022",10]]}}},{"id":1186,"uris":["http://zotero.org/users/694717/items/PS4KKTNH"],"itemData":{"id":1186,"type":"article-journal","container-title":"Nature","ISSN":"0028-0836","issue":"7263","page":"472--475","source":"Google Scholar","title":"A safe operating space for humanity","volume":"461","author":[{"family":"Rockström","given":"J."},{"family":"Steffen","given":"W."},{"family":"Noone","given":"K."},{"family":"Persson","given":"\\AA"},{"family":"Chapin","given":"F. S"},{"family":"Lambin","given":"E. F"},{"family":"Lenton","given":"T. M"},{"family":"Scheffer","given":"M."},{"family":"Folke","given":"C."},{"family":"Schellnhuber","given":"H. J"},{"family":"Nykvist","given":"Björn"},{"family":"Wit","given":"Cynthia A.","non-dropping-particle":"de"},{"family":"Hughes","given":"Terry"},{"family":"Van Der Leeuw","given":"Sander"},{"family":"Rodhe","given":"Henning"},{"family":"Sörlin","given":"Sverker"},{"family":"Snyder","given":"Peter K."},{"family":"Constanza","given":"Robert"},{"family":"Svedin","given":"Uno"},{"family":"Falkenmark","given":"M"},{"family":"Karlberg","given":"Louise"},{"family":"Corell","given":"Robert W."},{"family":"Fabry","given":"Victoria J."},{"family":"Hansen","given":"James"},{"family":"Walker","given":"Brian"},{"family":"Livermann","given":"Diana"},{"family":"Richardson","given":"Katherine"},{"family":"Crutzen","given":"Paul J."},{"family":"Foley","given":"J."}],"issued":{"date-parts":[["2009"]]}}},{"id":2345,"uris":["http://zotero.org/users/694717/items/89BUJDM6"],"itemData":{"id":2345,"type":"article-journal","container-title":"Current Opinion in Environmental Sustainability","DOI":"10.1016/j.cosust.2013.07.004","ISSN":"18773435","issue":"3-4","page":"392-402","source":"CrossRef","title":"Assessing planetary and regional nitrogen boundaries related to food security and adverse environmental impacts","volume":"5","author":[{"family":"Vries","given":"Wim","non-dropping-particle":"de"},{"family":"Kros","given":"Johannes"},{"family":"Kroeze","given":"Carolien"},{"family":"Seitzinger","given":"Sybil P"}],"issued":{"date-parts":[["2013",9]]}},"label":"page"}],"schema":"https://github.com/citation-style-language/schema/raw/master/csl-citation.json"} </w:instrText>
      </w:r>
      <w:r w:rsidR="002B05DD">
        <w:rPr>
          <w:color w:val="000000" w:themeColor="text1"/>
        </w:rPr>
        <w:fldChar w:fldCharType="separate"/>
      </w:r>
      <w:r w:rsidR="00A01D99" w:rsidRPr="00A01D99">
        <w:rPr>
          <w:szCs w:val="24"/>
          <w:vertAlign w:val="superscript"/>
        </w:rPr>
        <w:t>43,126,127</w:t>
      </w:r>
      <w:r w:rsidR="002B05DD">
        <w:rPr>
          <w:color w:val="000000" w:themeColor="text1"/>
        </w:rPr>
        <w:fldChar w:fldCharType="end"/>
      </w:r>
      <w:r w:rsidRPr="00FD54EA">
        <w:rPr>
          <w:color w:val="000000" w:themeColor="text1"/>
        </w:rPr>
        <w:t xml:space="preserve"> (see </w:t>
      </w:r>
      <w:r w:rsidR="002B05DD">
        <w:rPr>
          <w:color w:val="000000" w:themeColor="text1"/>
        </w:rPr>
        <w:t>S2.2.5</w:t>
      </w:r>
      <w:r w:rsidRPr="00FD54EA">
        <w:rPr>
          <w:color w:val="000000" w:themeColor="text1"/>
        </w:rPr>
        <w:t>).</w:t>
      </w:r>
    </w:p>
    <w:p w14:paraId="05E77EBE" w14:textId="77777777" w:rsidR="00BE09F0" w:rsidRPr="00FD54EA" w:rsidRDefault="00FD54EA">
      <w:pPr>
        <w:spacing w:before="240"/>
        <w:rPr>
          <w:color w:val="000000" w:themeColor="text1"/>
        </w:rPr>
      </w:pPr>
      <w:r w:rsidRPr="00FD54EA">
        <w:rPr>
          <w:color w:val="000000" w:themeColor="text1"/>
        </w:rPr>
        <w:t xml:space="preserve">The </w:t>
      </w:r>
      <w:proofErr w:type="spellStart"/>
      <w:r w:rsidRPr="00FD54EA">
        <w:rPr>
          <w:i/>
          <w:color w:val="000000" w:themeColor="text1"/>
        </w:rPr>
        <w:t>NitrogenEff</w:t>
      </w:r>
      <w:proofErr w:type="spellEnd"/>
      <w:r w:rsidRPr="00FD54EA">
        <w:rPr>
          <w:i/>
          <w:color w:val="000000" w:themeColor="text1"/>
        </w:rPr>
        <w:t xml:space="preserve"> </w:t>
      </w:r>
      <w:r w:rsidRPr="00FD54EA">
        <w:rPr>
          <w:color w:val="000000" w:themeColor="text1"/>
        </w:rPr>
        <w:t xml:space="preserve">scenario assumes the application of all technical mitigation measures in croplands and pastures. In the </w:t>
      </w:r>
      <w:proofErr w:type="spellStart"/>
      <w:r w:rsidRPr="00FD54EA">
        <w:rPr>
          <w:i/>
          <w:color w:val="000000" w:themeColor="text1"/>
        </w:rPr>
        <w:t>ManureManagement</w:t>
      </w:r>
      <w:proofErr w:type="spellEnd"/>
      <w:r w:rsidRPr="00FD54EA">
        <w:rPr>
          <w:i/>
          <w:color w:val="000000" w:themeColor="text1"/>
        </w:rPr>
        <w:t xml:space="preserve"> </w:t>
      </w:r>
      <w:r w:rsidRPr="00FD54EA">
        <w:rPr>
          <w:color w:val="000000" w:themeColor="text1"/>
        </w:rPr>
        <w:t xml:space="preserve">scenario, we assume that 50% of the </w:t>
      </w:r>
      <w:r w:rsidRPr="00FD54EA">
        <w:rPr>
          <w:color w:val="000000" w:themeColor="text1"/>
        </w:rPr>
        <w:lastRenderedPageBreak/>
        <w:t>manure excreted in confinements is going into anaerobic digesters with 90% N recycling rate, while the remaining manure is managed according to historical fractions.</w:t>
      </w:r>
    </w:p>
    <w:p w14:paraId="1CF5E11E" w14:textId="77777777" w:rsidR="00BE09F0" w:rsidRPr="00FD54EA" w:rsidRDefault="00FD54EA">
      <w:pPr>
        <w:pStyle w:val="Heading4"/>
        <w:rPr>
          <w:color w:val="000000" w:themeColor="text1"/>
        </w:rPr>
      </w:pPr>
      <w:bookmarkStart w:id="12" w:name="_wttg7x95ran1" w:colFirst="0" w:colLast="0"/>
      <w:bookmarkEnd w:id="12"/>
      <w:r w:rsidRPr="00FD54EA">
        <w:rPr>
          <w:color w:val="000000" w:themeColor="text1"/>
        </w:rPr>
        <w:t>S1.1.8 Land requirements</w:t>
      </w:r>
    </w:p>
    <w:p w14:paraId="1FCA082D" w14:textId="5ED3F325" w:rsidR="00BE09F0" w:rsidRPr="00FD54EA" w:rsidRDefault="00FD54EA">
      <w:pPr>
        <w:spacing w:before="240"/>
        <w:rPr>
          <w:color w:val="000000" w:themeColor="text1"/>
        </w:rPr>
      </w:pPr>
      <w:r w:rsidRPr="00FD54EA">
        <w:rPr>
          <w:color w:val="000000" w:themeColor="text1"/>
        </w:rPr>
        <w:t xml:space="preserve">Land pools are distinguished into croplands, pastures, timber plantations, natural forests (primary and secondary forests), urban (built-up) land, and other land (residual land category comprising unmanaged non-forest natural land). </w:t>
      </w:r>
      <w:r w:rsidRPr="00FD54EA">
        <w:rPr>
          <w:color w:val="000000" w:themeColor="text1"/>
        </w:rPr>
        <w:br/>
        <w:t xml:space="preserve">Cropland requirements depend on the production and on crop-specific yields. Yield levels on 0.5° grid scale are provided by the </w:t>
      </w:r>
      <w:proofErr w:type="spellStart"/>
      <w:r w:rsidRPr="00FD54EA">
        <w:rPr>
          <w:color w:val="000000" w:themeColor="text1"/>
        </w:rPr>
        <w:t>LPJmL</w:t>
      </w:r>
      <w:proofErr w:type="spellEnd"/>
      <w:r w:rsidRPr="00FD54EA">
        <w:rPr>
          <w:color w:val="000000" w:themeColor="text1"/>
        </w:rPr>
        <w:t xml:space="preserve"> crop model under various scenarios of climate change, and are calibrated to meet FAO yields at world region level in the historical period. </w:t>
      </w:r>
      <w:r w:rsidRPr="00FD54EA">
        <w:rPr>
          <w:color w:val="000000" w:themeColor="text1"/>
        </w:rPr>
        <w:br/>
        <w:t>To increase agricultural production, the cost-optimization algorithm finds an equilibrium between three options to manage land scarcity when faced with increasing demand or reduced yields: Crop yields can be increased by investments into agricultural research and development</w:t>
      </w:r>
      <w:r w:rsidR="002B05DD">
        <w:rPr>
          <w:color w:val="000000" w:themeColor="text1"/>
        </w:rPr>
        <w:fldChar w:fldCharType="begin"/>
      </w:r>
      <w:r w:rsidR="00A01D99">
        <w:rPr>
          <w:color w:val="000000" w:themeColor="text1"/>
        </w:rPr>
        <w:instrText xml:space="preserve"> ADDIN ZOTERO_ITEM CSL_CITATION {"citationID":"YhUswC9M","properties":{"formattedCitation":"\\super 85\\nosupersub{}","plainCitation":"85","noteIndex":0},"citationItems":[{"id":2215,"uris":["http://zotero.org/users/694717/items/SM5568AF"],"itemData":{"id":2215,"type":"article-journal","container-title":"Technological Forecasting and Social Change","DOI":"10.1016/j.techfore.2013.02.003","ISSN":"00401625","page":"236-249","source":"CrossRef","title":"Forecasting technological change in agriculture—An endogenous implementation in a global land use model","volume":"81","author":[{"family":"Dietrich","given":"Jan Philipp"},{"family":"Schmitz","given":"Christoph"},{"family":"Lotze-Campen","given":"Hermann"},{"family":"Popp","given":"Alexander"},{"family":"Müller","given":"Christoph"}],"issued":{"date-parts":[["2014"]]}}}],"schema":"https://github.com/citation-style-language/schema/raw/master/csl-citation.json"} </w:instrText>
      </w:r>
      <w:r w:rsidR="002B05DD">
        <w:rPr>
          <w:color w:val="000000" w:themeColor="text1"/>
        </w:rPr>
        <w:fldChar w:fldCharType="separate"/>
      </w:r>
      <w:r w:rsidR="00A01D99" w:rsidRPr="00A01D99">
        <w:rPr>
          <w:szCs w:val="24"/>
          <w:vertAlign w:val="superscript"/>
        </w:rPr>
        <w:t>85</w:t>
      </w:r>
      <w:r w:rsidR="002B05DD">
        <w:rPr>
          <w:color w:val="000000" w:themeColor="text1"/>
        </w:rPr>
        <w:fldChar w:fldCharType="end"/>
      </w:r>
      <w:r w:rsidRPr="00FD54EA">
        <w:rPr>
          <w:color w:val="000000" w:themeColor="text1"/>
        </w:rPr>
        <w:t>; agricultural land can be expanded, yet also requiring additional land expansion costs; and crop yields can also be increased by changing the spatial patterns of agricultural production, placing crops on the most productive areas. This can happen either between world regions via international trade, or within a world region through adaptation of cropping patterns between the simulation clusters. However, more monotonous cropping patterns or the reduction of fallow periods come at the expense of ecosystem services, which have to be substituted by additional management like pest control</w:t>
      </w:r>
      <w:r w:rsidR="002B05DD">
        <w:rPr>
          <w:color w:val="000000" w:themeColor="text1"/>
        </w:rPr>
        <w:fldChar w:fldCharType="begin"/>
      </w:r>
      <w:r w:rsidR="00A01D99">
        <w:rPr>
          <w:color w:val="000000" w:themeColor="text1"/>
        </w:rPr>
        <w:instrText xml:space="preserve"> ADDIN ZOTERO_ITEM CSL_CITATION {"citationID":"LEO8ugcT","properties":{"formattedCitation":"\\super 128,129\\nosupersub{}","plainCitation":"128,129","noteIndex":0},"citationItems":[{"id":8575,"uris":["http://zotero.org/users/694717/items/PEXXVR6U"],"itemData":{"id":8575,"type":"article-journal","abstract":"Specialization in agricultural systems can lead to trade-offs between economic gains and ecosystem functions. We suggest and explore a conceptual framework in which economic gains can be maximized when production activities are specialized at increasingly broader scales (from the household to the village, region or above), particularly when markets for outputs and inputs function well. Conversely, more specialization likely reduces biodiversity and significantly limits ecosystem functions. When agricultural specialization increases and moves to broader scales as a result of improved infrastructure and markets or other drivers, ecosystem functions can also be endangered at broader spatial scales. Policies to improve agricultural incomes may influence the level of specialization at different scales and thus affect the severity of the trade-offs. This paper takes Jambi province in Indonesia, a current hotspot of rubber and oil palm monoculture, as a case study to illustrate these issues. We empirically show that the level of specialization differs across scales with higher specialization at household and village levels and higher diversification towards the province level. We discuss ways to resolve trade-offs between economic gains and ecological costs, including landscape design, targeted policies, and adoption of long-term perspectives.","container-title":"Ecological Economics","DOI":"10.1016/j.ecolecon.2016.01.001","ISSN":"0921-8009","journalAbbreviation":"Ecological Economics","language":"en","page":"111-120","source":"ScienceDirect","title":"Economic and ecological trade-offs of agricultural specialization at different spatial scales","volume":"122","author":[{"family":"Klasen","given":"Stephan"},{"family":"Meyer","given":"Katrin M."},{"family":"Dislich","given":"Claudia"},{"family":"Euler","given":"Michael"},{"family":"Faust","given":"Heiko"},{"family":"Gatto","given":"Marcel"},{"family":"Hettig","given":"Elisabeth"},{"family":"Melati","given":"Dian N."},{"family":"Jaya","given":"I. Nengah Surati"},{"family":"Otten","given":"Fenna"},{"family":"Pérez-Cruzado","given":"César"},{"family":"Steinebach","given":"Stefanie"},{"family":"Tarigan","given":"Suria"},{"family":"Wiegand","given":"Kerstin"}],"issued":{"date-parts":[["2016",2,1]]}},"locator":"20"},{"id":8605,"uris":["http://zotero.org/users/694717/items/JVZ9NPLB"],"itemData":{"id":8605,"type":"article-journal","abstract":"Core Ideas Analysis of 748,374 yield records showed a 4.3% yield penalty for continuous corn. Corn yield penalties were more severe in areas with low moisture and low yields. Continuous soybean showed a 10.3% yield penalty, worse in low-yielding years. Corn yield penalties grew with up to 3 yr of continuous cropping, but not more. Soybean penalties increased monotonically with number of years continuously cropped. The effects of crop rotations on yields have historically been assessed with field trials, but new datasets offer an opportunity to evaluate these effects using data from commercial farmers’ fields. Here we develop a unique dataset of 748,374 joint observations of field-level yields, crop histories, and soil and weather conditions across the U.S. Midwest to empirically evaluate crop rotations. For rainfed fields, we found an average continuous corn (Zea mays L.) yield penalty (CCYP) of 4.3% and continuous soybean [Glycine max (L.) Merr.] yield penalty (CSYP) of 10.3% during the 2007 to 2012 growing seasons. The CCYP is greater in locations with low moisture, while the CSYP shows the opposite pattern. Relatedly, irrigation decreases the CCYP but not the CSYP. Both penalties increased with the number of years a field had been continuously cropped, and while the CCYP leveled off after 3 yr in corn, the CSYP showed significant increases out to the (very rare) 5-yr continuous soybean sequence. An analysis of weather, soil, and planting date interactions with the CCYP and CSYP suggests that timely planting, favorable soil-climate, and warm early and late-season minimum temperatures correlate with reductions in the CCYP, while dry conditions and less favorable soil-climate correlate with reductions in the CSYP. The results of this study not only help refine estimates of rotation effects in commercial fields, but also shed light on the relationships between rotation effects and other factors, thereby offering insight into potential causal mechanisms.","container-title":"Agronomy Journal","DOI":"10.2134/agronj2016.03.0134","ISSN":"1435-0645","issue":"2","language":"en","note":"_eprint: https://onlinelibrary.wiley.com/doi/pdf/10.2134/agronj2016.03.0134","page":"541-548","source":"Wiley Online Library","title":"Continuous Corn and Soybean Yield Penalties across Hundreds of Thousands of Fields","volume":"109","author":[{"family":"Seifert","given":"Christopher A."},{"family":"Roberts","given":"Michael J."},{"family":"Lobell","given":"David B."}],"issued":{"date-parts":[["2017"]]}}}],"schema":"https://github.com/citation-style-language/schema/raw/master/csl-citation.json"} </w:instrText>
      </w:r>
      <w:r w:rsidR="002B05DD">
        <w:rPr>
          <w:color w:val="000000" w:themeColor="text1"/>
        </w:rPr>
        <w:fldChar w:fldCharType="separate"/>
      </w:r>
      <w:r w:rsidR="00A01D99" w:rsidRPr="00A01D99">
        <w:rPr>
          <w:szCs w:val="24"/>
          <w:vertAlign w:val="superscript"/>
        </w:rPr>
        <w:t>128,129</w:t>
      </w:r>
      <w:r w:rsidR="002B05DD">
        <w:rPr>
          <w:color w:val="000000" w:themeColor="text1"/>
        </w:rPr>
        <w:fldChar w:fldCharType="end"/>
      </w:r>
      <w:r w:rsidRPr="00FD54EA">
        <w:rPr>
          <w:color w:val="000000" w:themeColor="text1"/>
        </w:rPr>
        <w:t>. This is simulated by additional production costs if cropping patterns exceed typical rotation lengths or forgo fallow periods</w:t>
      </w:r>
      <w:r w:rsidR="002B05DD">
        <w:rPr>
          <w:color w:val="000000" w:themeColor="text1"/>
        </w:rPr>
        <w:fldChar w:fldCharType="begin"/>
      </w:r>
      <w:r w:rsidR="00A01D99">
        <w:rPr>
          <w:color w:val="000000" w:themeColor="text1"/>
        </w:rPr>
        <w:instrText xml:space="preserve"> ADDIN ZOTERO_ITEM CSL_CITATION {"citationID":"yA3OVDQl","properties":{"formattedCitation":"\\super 130\\uc0\\u8211{}132\\nosupersub{}","plainCitation":"130–132","noteIndex":0},"citationItems":[{"id":8565,"uris":["http://zotero.org/users/694717/items/7W8ZMTAJ"],"itemData":{"id":8565,"type":"document","publisher":"Landwirtschaftskammer NRW","title":"Maximale Anbaukonzentration von Feldfruchtarten bzw. -gruppen, nach Zielen der nachhaltigen Pflanzenproduktion in %. (nach Baeumer 1990)","URL":"https://www.landwirtschaftskammer.de/landwirtschaft/ackerbau/fruchtfolge/tabellen-fruchtfolge-pdf.pdf","author":[{"literal":"Landwirtschaftskammer NRW"}],"accessed":{"date-parts":[["2022",4,21]]},"issued":{"date-parts":[["2015"]]}}},{"id":8543,"uris":["http://zotero.org/users/694717/items/2XP3CBUP"],"itemData":{"id":8543,"type":"article-journal","abstract":"Crop rotations influence the sustainability of agricultural systems. Integrated land use modeling frameworks increasingly acknowledge their role when analyzing economic and environmental impacts of agricultural production systems. However, insufficient data on crop rotations often challenge their consideration. In this article, we present the crop rotation model CropRota, which integrates agronomic criteria and observed land use data to generate typical crop rotations for farms and regions. The article describes the model and data requirements as well as an application of CropRota to 579 farms in the Austrian Mostviertel region. Model validation and sensitivity analysis are conducted to reveal robustness and accuracy of model outputs as well as its appropriateness for supporting integrated land use analyses. Comparisons between modeled and observed crop sequences from seven years of field observations show that the average area-weighted deviations range between 11% and 105% depending on the procedure of comparison and model specifications. The results indicate that CropRota is a suitable tool for the estimation of typical crop rotations from observed land use data. In addition, the model is sufficiently flexible to spatial scales and research contexts as frequently required in integrated land use analyses.","container-title":"European Journal of Agronomy","DOI":"10.1016/j.eja.2011.02.004","ISSN":"1161-0301","issue":"4","journalAbbreviation":"European Journal of Agronomy","language":"en","page":"263-277","source":"ScienceDirect","title":"CropRota – A crop rotation model to support integrated land use assessments","volume":"34","author":[{"family":"Schönhart","given":"Martin"},{"family":"Schmid","given":"Erwin"},{"family":"Schneider","given":"Uwe A."}],"issued":{"date-parts":[["2011",5,1]]}}},{"id":8556,"uris":["http://zotero.org/users/694717/items/Z3K5TBL4"],"itemData":{"id":8556,"type":"article-journal","container-title":"Annals of Tropical Research","title":"Crop Rotation of Sweet Potato, Cassava, and Gabi with Legumes as a Cultural Management System","URL":"https://annalsoftropicalresearch.com/crop-rotation-of-sweet-potato-cassava-and-gabi-with-legumes-as-a-cultural-management-system/","volume":"6","author":[{"literal":"Alfredo B. Escasinas and Rodolfo G. Escalada"}],"accessed":{"date-parts":[["2022",4,22]]},"issued":{"date-parts":[["1984"]]}}}],"schema":"https://github.com/citation-style-language/schema/raw/master/csl-citation.json"} </w:instrText>
      </w:r>
      <w:r w:rsidR="002B05DD">
        <w:rPr>
          <w:color w:val="000000" w:themeColor="text1"/>
        </w:rPr>
        <w:fldChar w:fldCharType="separate"/>
      </w:r>
      <w:r w:rsidR="00A01D99" w:rsidRPr="00A01D99">
        <w:rPr>
          <w:szCs w:val="24"/>
          <w:vertAlign w:val="superscript"/>
        </w:rPr>
        <w:t>130–132</w:t>
      </w:r>
      <w:r w:rsidR="002B05DD">
        <w:rPr>
          <w:color w:val="000000" w:themeColor="text1"/>
        </w:rPr>
        <w:fldChar w:fldCharType="end"/>
      </w:r>
      <w:r w:rsidRPr="00FD54EA">
        <w:rPr>
          <w:color w:val="000000" w:themeColor="text1"/>
        </w:rPr>
        <w:t xml:space="preserve"> (see SI spreadsheet).</w:t>
      </w:r>
    </w:p>
    <w:p w14:paraId="24A87CBE" w14:textId="4EE3C8B6" w:rsidR="00BE09F0" w:rsidRPr="00FD54EA" w:rsidRDefault="00FD54EA">
      <w:pPr>
        <w:spacing w:before="240"/>
        <w:rPr>
          <w:color w:val="000000" w:themeColor="text1"/>
        </w:rPr>
      </w:pPr>
      <w:r w:rsidRPr="00FD54EA">
        <w:rPr>
          <w:color w:val="000000" w:themeColor="text1"/>
        </w:rPr>
        <w:t>Future urban land development is exogenously prescribed and based on SSP projections</w:t>
      </w:r>
      <w:r w:rsidR="002B05DD">
        <w:rPr>
          <w:color w:val="000000" w:themeColor="text1"/>
        </w:rPr>
        <w:fldChar w:fldCharType="begin"/>
      </w:r>
      <w:r w:rsidR="00A01D99">
        <w:rPr>
          <w:color w:val="000000" w:themeColor="text1"/>
        </w:rPr>
        <w:instrText xml:space="preserve"> ADDIN ZOTERO_ITEM CSL_CITATION {"citationID":"IYpmWoiA","properties":{"formattedCitation":"\\super 72\\nosupersub{}","plainCitation":"72","noteIndex":0},"citationItems":[{"id":6691,"uris":["http://zotero.org/users/694717/items/ZEF3NQFL"],"itemData":{"id":6691,"type":"article-journal","abstract":"&lt;p&gt;&lt;strong&gt;Abstract.&lt;/strong&gt; Human land-use activities have resulted in large changes to the biogeochemical and biophysical properties of the Earth surface, with consequences for climate and other ecosystem services. In the future, land-use activities are likely to expand and/or intensify further to meet growing demands for food, fiber, and energy. As part of the World Climate Research Program Coupled Model Intercomparison Project (CMIP6), the international community is developing the next generation of advanced Earth System Models (ESMs) to estimate the combined effects of human activities (e.g. land use and fossil fuel emissions) on the carbon-climate system. A new set of historical data based on the History of the Global Environment database (HYDE), and multiple alternative scenarios of the future (2015&amp;ndash;2100) from Integrated Assessment Model (IAM) teams, are required as input for these models. Here we present results from the Land-use Harmonization 2 (LUH2) project, with the goal to smoothly connect updated historical reconstructions of land-use with new future projections in the format required for ESMs. The harmonization strategy estimates the fractional land-use patterns, underlying land-use transitions, key agricultural management information, and resulting secondary lands annually, while minimizing the differences between the end of the historical reconstruction and IAM initial conditions and preserving changes depicted by the IAMs in the future. The new approach builds off a similar effort from CMIP5, and is now provided at higher resolution (0.25&amp;thinsp;&amp;times;&amp;thinsp;0.25 degree), over a longer time domain (850&amp;ndash;2100, with extensions to 2300), with more detail (including multiple crop and pasture types and associated management practices), using more input datasets (including Landsat remote sensing data), updated algorithms (wood harvest and shifting cultivation), and is assessed via a new diagnostic package. The new LUH2 products contain &gt;&amp;thinsp;50 times the information content of the datasets used in CMIP5, and are designed to enable new and improved estimates of the combined effects of land-use on the global carbon-climate system.&lt;/p&gt;","container-title":"Geoscientific Model Development Discussions","DOI":"https://doi.org/10.5194/gmd-2019-360","ISSN":"1991-959X","language":"English","page":"1-65","source":"gmd.copernicus.org","title":"Harmonization of Global Land-Use Change and Management for the Period 850&amp;ndash;2100 (LUH2) for CMIP6","author":[{"family":"Hurtt","given":"George C."},{"family":"Chini","given":"Louise"},{"family":"Sahajpal","given":"Ritvik"},{"family":"Frolking","given":"Steve"},{"family":"Bodirsky","given":"Benjamin L."},{"family":"Calvin","given":"Katherine"},{"family":"Doelman","given":"Jonathan C."},{"family":"Fisk","given":"Justin"},{"family":"Fujimori","given":"Shinichiro"},{"family":"Goldewijk","given":"Kees Klein"},{"family":"Hasegawa","given":"Tomoko"},{"family":"Havlik","given":"Peter"},{"family":"Heinimann","given":"Andreas"},{"family":"Humpenöder","given":"Florian"},{"family":"Jungclaus","given":"Johan"},{"family":"Kaplan","given":"Jed"},{"family":"Kennedy","given":"Jennifer"},{"family":"Kristzin","given":"Tama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N."},{"family":"Vuuren","given":"Detlef P.","non-dropping-particle":"van"},{"family":"Zhang","given":"Xin"}],"issued":{"date-parts":[["2020",4,14]]}}}],"schema":"https://github.com/citation-style-language/schema/raw/master/csl-citation.json"} </w:instrText>
      </w:r>
      <w:r w:rsidR="002B05DD">
        <w:rPr>
          <w:color w:val="000000" w:themeColor="text1"/>
        </w:rPr>
        <w:fldChar w:fldCharType="separate"/>
      </w:r>
      <w:r w:rsidR="00A01D99" w:rsidRPr="00A01D99">
        <w:rPr>
          <w:szCs w:val="24"/>
          <w:vertAlign w:val="superscript"/>
        </w:rPr>
        <w:t>72</w:t>
      </w:r>
      <w:r w:rsidR="002B05DD">
        <w:rPr>
          <w:color w:val="000000" w:themeColor="text1"/>
        </w:rPr>
        <w:fldChar w:fldCharType="end"/>
      </w:r>
      <w:r w:rsidRPr="00FD54EA">
        <w:rPr>
          <w:color w:val="000000" w:themeColor="text1"/>
        </w:rPr>
        <w:t>. At the cluster level, urban land may deviate from prescribed levels when there is very high competition from other uses, i.e. at very high cost. Regional sums of urban level do not deviate. Urban land reduces the amount of land available for other uses.</w:t>
      </w:r>
    </w:p>
    <w:p w14:paraId="6EC6490E" w14:textId="28F4DECC" w:rsidR="00BE09F0" w:rsidRPr="00FD54EA" w:rsidRDefault="00FD54EA">
      <w:pPr>
        <w:spacing w:before="240"/>
        <w:rPr>
          <w:color w:val="000000" w:themeColor="text1"/>
        </w:rPr>
      </w:pPr>
      <w:r w:rsidRPr="00FD54EA">
        <w:rPr>
          <w:color w:val="000000" w:themeColor="text1"/>
        </w:rPr>
        <w:t>Timber plantation area requirements are simulated based on the forestry module</w:t>
      </w:r>
      <w:r w:rsidR="002B05DD">
        <w:rPr>
          <w:color w:val="000000" w:themeColor="text1"/>
        </w:rPr>
        <w:fldChar w:fldCharType="begin"/>
      </w:r>
      <w:r w:rsidR="00A01D99">
        <w:rPr>
          <w:color w:val="000000" w:themeColor="text1"/>
        </w:rPr>
        <w:instrText xml:space="preserve"> ADDIN ZOTERO_ITEM CSL_CITATION {"citationID":"iYL0walH","properties":{"formattedCitation":"\\super 83\\nosupersub{}","plainCitation":"83","noteIndex":0},"citationItems":[{"id":8143,"uris":["http://zotero.org/users/694717/items/GNH9ERMS"],"itemData":{"id":8143,"type":"article-journal","abstract":"Out of 1150 Mha (million hectares) of forest designated primarily for production purposes in 2020, plantations accounted for 11 % (131 Mha) of this area and fulﬁlled more than 33 % of the global industrial roundwood demand. However, adding additional timber plantations to meet increasing timber demand intensiﬁes competition for scarce land resources between different land uses such as food, feed, livestock and timber production. Despite the signiﬁcance of plantations with respect to roundwood production, their importance in meeting the long-term timber demand and the implications of plantation expansion for overall land-use dynamics have not been studied in detail, in particular regarding the competition for land between agriculture and forestry in existing land-use models.","container-title":"Geoscientific Model Development","DOI":"10.5194/gmd-14-6467-2021","ISSN":"1991-9603","issue":"10","journalAbbreviation":"Geosci. Model Dev.","language":"en","page":"6467-6494","source":"DOI.org (Crossref)","title":"Estimating global land system impacts of timber plantations using MAgPIE 4.3.5","volume":"14","author":[{"family":"Mishra","given":"Abhijeet"},{"family":"Humpenöder","given":"Florian"},{"family":"Dietrich","given":"Jan Philipp"},{"family":"Bodirsky","given":"Benjamin Leon"},{"family":"Sohngen","given":"Brent"},{"family":"P. O. Reyer","given":"Christopher"},{"family":"Lotze-Campen","given":"Hermann"},{"family":"Popp","given":"Alexander"}],"issued":{"date-parts":[["2021",10,26]]}}}],"schema":"https://github.com/citation-style-language/schema/raw/master/csl-citation.json"} </w:instrText>
      </w:r>
      <w:r w:rsidR="002B05DD">
        <w:rPr>
          <w:color w:val="000000" w:themeColor="text1"/>
        </w:rPr>
        <w:fldChar w:fldCharType="separate"/>
      </w:r>
      <w:r w:rsidR="00A01D99" w:rsidRPr="00A01D99">
        <w:rPr>
          <w:szCs w:val="24"/>
          <w:vertAlign w:val="superscript"/>
        </w:rPr>
        <w:t>83</w:t>
      </w:r>
      <w:r w:rsidR="002B05DD">
        <w:rPr>
          <w:color w:val="000000" w:themeColor="text1"/>
        </w:rPr>
        <w:fldChar w:fldCharType="end"/>
      </w:r>
      <w:r w:rsidRPr="00FD54EA">
        <w:rPr>
          <w:color w:val="000000" w:themeColor="text1"/>
        </w:rPr>
        <w:t xml:space="preserve">. For each timestep, the model assumes that a certain share of the future wood demand will be fulfilled from timber plantations, which are planted under consideration of climate-specific rotation lengths. Timber plantation and natural forest yields are estimated based on </w:t>
      </w:r>
      <w:proofErr w:type="spellStart"/>
      <w:r w:rsidRPr="00FD54EA">
        <w:rPr>
          <w:color w:val="000000" w:themeColor="text1"/>
        </w:rPr>
        <w:t>LPJmL</w:t>
      </w:r>
      <w:proofErr w:type="spellEnd"/>
      <w:r w:rsidRPr="00FD54EA">
        <w:rPr>
          <w:color w:val="000000" w:themeColor="text1"/>
        </w:rPr>
        <w:t xml:space="preserve"> carbon estimates and growth curves</w:t>
      </w:r>
      <w:r w:rsidR="002B05DD">
        <w:rPr>
          <w:color w:val="000000" w:themeColor="text1"/>
        </w:rPr>
        <w:fldChar w:fldCharType="begin"/>
      </w:r>
      <w:r w:rsidR="009E54D2">
        <w:rPr>
          <w:color w:val="000000" w:themeColor="text1"/>
        </w:rPr>
        <w:instrText xml:space="preserve"> ADDIN ZOTERO_ITEM CSL_CITATION {"citationID":"jCX6ZhgQ","properties":{"formattedCitation":"\\super 63\\nosupersub{}","plainCitation":"63","noteIndex":0},"citationItems":[{"id":5909,"uris":["http://zotero.org/users/694717/items/BKXEP3BP"],"itemData":{"id":5909,"type":"article-journal","abstract":"To study global nitrogen (N) leaching from natural ecosystems under changing N deposition, climate, and atmospheric CO2, we performed a factorial model experiment for the period 1901–2006 with the N-enabled global terrestrial ecosystem model LPJ-GUESS (Lund–Potsdam–Jena General Ecosystem Simulator). In eight global simulations, we used either the true transient time series of N deposition, climate, and atmospheric CO2 as input or kept combinations of these drivers constant at initial values. The results show that N deposition is globally the strongest driver of simulated N leaching, individually causing an increase of 88 % by 1997–2006 relative to pre-industrial conditions. Climate change led globally to a 31 % increase in N leaching, but the size and direction of change varied among global regions: leaching generally increased in regions with high soil organic carbon storage and high initial N status, and decreased in regions with a positive trend in vegetation productivity or decreasing precipitation. Rising atmospheric CO2 generally caused decreased N leaching (33 % globally), with strongest effects in regions with high productivity and N availability. All drivers combined resulted in a rise of N leaching by 73 % with strongest increases in Europe, eastern North America and South-East Asia, where N deposition rates are highest. Decreases in N leaching were predicted for the Amazon and northern India. We further found that N loss by ﬁre regionally is a large term in the N budget, associated with lower N leaching, particularly in semi-arid biomes. Predicted global N leaching from natural lands rose from 13.6 Tg N yr−1 in 1901–1911 to 18.5 Tg N yr−1 in 1997–2006, accounting for reductions of natural land cover. Ecosystem N status (quantiﬁed as the reduction of vegetation productivity due to N limitation) shows a similar positive temporal trend but large spatial variability. Interestingly, this variability is more strongly related to vegetation type than N input. Similarly, the relationship between N status and (relative) N leaching is highly variable due to confounding factors such as soil water ﬂuxes, ﬁre occurrence, and growing season length. Nevertheless, our results suggest that regions with very high N deposition rates are approaching a state of N saturation.","container-title":"Earth System Dynamics","DOI":"10.5194/esd-8-1121-2017","ISSN":"2190-4987","issue":"4","journalAbbreviation":"Earth Syst. Dynam.","language":"en","page":"1121-1139","source":"DOI.org (Crossref)","title":"Nitrogen leaching from natural ecosystems under global change: a modelling study","title-short":"Nitrogen leaching from natural ecosystems under global change","volume":"8","author":[{"family":"Braakhekke","given":"Maarten C."},{"family":"Rebel","given":"Karin T."},{"family":"Dekker","given":"Stefan C."},{"family":"Smith","given":"Benjamin"},{"family":"Beusen","given":"Arthur H. W."},{"family":"Wassen","given":"Martin J."}],"issued":{"date-parts":[["2017",12,12]]}}}],"schema":"https://github.com/citation-style-language/schema/raw/master/csl-citation.json"} </w:instrText>
      </w:r>
      <w:r w:rsidR="002B05DD">
        <w:rPr>
          <w:color w:val="000000" w:themeColor="text1"/>
        </w:rPr>
        <w:fldChar w:fldCharType="separate"/>
      </w:r>
      <w:r w:rsidR="009E54D2" w:rsidRPr="009E54D2">
        <w:rPr>
          <w:szCs w:val="24"/>
          <w:vertAlign w:val="superscript"/>
        </w:rPr>
        <w:t>63</w:t>
      </w:r>
      <w:r w:rsidR="002B05DD">
        <w:rPr>
          <w:color w:val="000000" w:themeColor="text1"/>
        </w:rPr>
        <w:fldChar w:fldCharType="end"/>
      </w:r>
      <w:r w:rsidRPr="00FD54EA">
        <w:rPr>
          <w:color w:val="000000" w:themeColor="text1"/>
        </w:rPr>
        <w:t xml:space="preserve"> passing through different age-classes. Once established, timber plantations cannot be harvested until they reach age-classes equivalent to rotation lengths. Age-class restriction for harvesting does not exist in harvesting natural forests in MAgPIE</w:t>
      </w:r>
      <w:r w:rsidR="002B05DD">
        <w:rPr>
          <w:color w:val="000000" w:themeColor="text1"/>
        </w:rPr>
        <w:fldChar w:fldCharType="begin"/>
      </w:r>
      <w:r w:rsidR="00A01D99">
        <w:rPr>
          <w:color w:val="000000" w:themeColor="text1"/>
        </w:rPr>
        <w:instrText xml:space="preserve"> ADDIN ZOTERO_ITEM CSL_CITATION {"citationID":"odPDWA3h","properties":{"formattedCitation":"\\super 83\\nosupersub{}","plainCitation":"83","noteIndex":0},"citationItems":[{"id":8143,"uris":["http://zotero.org/users/694717/items/GNH9ERMS"],"itemData":{"id":8143,"type":"article-journal","abstract":"Out of 1150 Mha (million hectares) of forest designated primarily for production purposes in 2020, plantations accounted for 11 % (131 Mha) of this area and fulﬁlled more than 33 % of the global industrial roundwood demand. However, adding additional timber plantations to meet increasing timber demand intensiﬁes competition for scarce land resources between different land uses such as food, feed, livestock and timber production. Despite the signiﬁcance of plantations with respect to roundwood production, their importance in meeting the long-term timber demand and the implications of plantation expansion for overall land-use dynamics have not been studied in detail, in particular regarding the competition for land between agriculture and forestry in existing land-use models.","container-title":"Geoscientific Model Development","DOI":"10.5194/gmd-14-6467-2021","ISSN":"1991-9603","issue":"10","journalAbbreviation":"Geosci. Model Dev.","language":"en","page":"6467-6494","source":"DOI.org (Crossref)","title":"Estimating global land system impacts of timber plantations using MAgPIE 4.3.5","volume":"14","author":[{"family":"Mishra","given":"Abhijeet"},{"family":"Humpenöder","given":"Florian"},{"family":"Dietrich","given":"Jan Philipp"},{"family":"Bodirsky","given":"Benjamin Leon"},{"family":"Sohngen","given":"Brent"},{"family":"P. O. Reyer","given":"Christopher"},{"family":"Lotze-Campen","given":"Hermann"},{"family":"Popp","given":"Alexander"}],"issued":{"date-parts":[["2021",10,26]]}}}],"schema":"https://github.com/citation-style-language/schema/raw/master/csl-citation.json"} </w:instrText>
      </w:r>
      <w:r w:rsidR="002B05DD">
        <w:rPr>
          <w:color w:val="000000" w:themeColor="text1"/>
        </w:rPr>
        <w:fldChar w:fldCharType="separate"/>
      </w:r>
      <w:r w:rsidR="00A01D99" w:rsidRPr="00A01D99">
        <w:rPr>
          <w:szCs w:val="24"/>
          <w:vertAlign w:val="superscript"/>
        </w:rPr>
        <w:t>83</w:t>
      </w:r>
      <w:r w:rsidR="002B05DD">
        <w:rPr>
          <w:color w:val="000000" w:themeColor="text1"/>
        </w:rPr>
        <w:fldChar w:fldCharType="end"/>
      </w:r>
      <w:r w:rsidRPr="00FD54EA">
        <w:rPr>
          <w:color w:val="000000" w:themeColor="text1"/>
        </w:rPr>
        <w:t xml:space="preserve">. </w:t>
      </w:r>
    </w:p>
    <w:p w14:paraId="47ED9B97" w14:textId="77777777" w:rsidR="00BE09F0" w:rsidRPr="00FD54EA" w:rsidRDefault="00FD54EA">
      <w:pPr>
        <w:spacing w:before="240"/>
        <w:rPr>
          <w:color w:val="000000" w:themeColor="text1"/>
        </w:rPr>
      </w:pPr>
      <w:r w:rsidRPr="00FD54EA">
        <w:rPr>
          <w:color w:val="000000" w:themeColor="text1"/>
        </w:rPr>
        <w:t xml:space="preserve">The </w:t>
      </w:r>
      <w:proofErr w:type="spellStart"/>
      <w:r w:rsidRPr="00FD54EA">
        <w:rPr>
          <w:color w:val="000000" w:themeColor="text1"/>
        </w:rPr>
        <w:t>CropRotations</w:t>
      </w:r>
      <w:proofErr w:type="spellEnd"/>
      <w:r w:rsidRPr="00FD54EA">
        <w:rPr>
          <w:color w:val="000000" w:themeColor="text1"/>
        </w:rPr>
        <w:t xml:space="preserve"> FSM simulates a tax for the violation of crop rotations, incentivizing short fallow periods, the inclusion of pulses into crop rotations, more diversity of cereals in crop rotations and lower fraction of cereals within the crop rotation. Moreover, we incentivize that bioenergy crops such as fast-growing trees, oil palms or sugarcane are not cultivated in agglomeration but dispersed (e.g. as agroforestry systems). Similarly, we incentivize the widespread instead of agglomerated cultivation of minor crops such as vegetables and fruits.</w:t>
      </w:r>
    </w:p>
    <w:p w14:paraId="0176D34A" w14:textId="751590FC" w:rsidR="00BE09F0" w:rsidRPr="00FD54EA" w:rsidRDefault="00FD54EA">
      <w:pPr>
        <w:spacing w:before="240"/>
        <w:rPr>
          <w:color w:val="000000" w:themeColor="text1"/>
        </w:rPr>
      </w:pPr>
      <w:r w:rsidRPr="00FD54EA">
        <w:rPr>
          <w:color w:val="000000" w:themeColor="text1"/>
        </w:rPr>
        <w:t xml:space="preserve">The </w:t>
      </w:r>
      <w:proofErr w:type="spellStart"/>
      <w:r w:rsidRPr="00FD54EA">
        <w:rPr>
          <w:color w:val="000000" w:themeColor="text1"/>
        </w:rPr>
        <w:t>LandConservation</w:t>
      </w:r>
      <w:proofErr w:type="spellEnd"/>
      <w:r w:rsidRPr="00FD54EA">
        <w:rPr>
          <w:color w:val="000000" w:themeColor="text1"/>
        </w:rPr>
        <w:t xml:space="preserve"> FSM simulates a doubling of protected areas by 2030, such that they rise from currently about 15% to 30% of the global land surface. We assume that the </w:t>
      </w:r>
      <w:r w:rsidRPr="00FD54EA">
        <w:rPr>
          <w:color w:val="000000" w:themeColor="text1"/>
        </w:rPr>
        <w:lastRenderedPageBreak/>
        <w:t>enlargement of protected areas includes both a reactive and proactive component</w:t>
      </w:r>
      <w:r w:rsidR="000B076D">
        <w:rPr>
          <w:color w:val="000000" w:themeColor="text1"/>
        </w:rPr>
        <w:fldChar w:fldCharType="begin"/>
      </w:r>
      <w:r w:rsidR="009E54D2">
        <w:rPr>
          <w:color w:val="000000" w:themeColor="text1"/>
        </w:rPr>
        <w:instrText xml:space="preserve"> ADDIN ZOTERO_ITEM CSL_CITATION {"citationID":"9U2sGqXr","properties":{"formattedCitation":"\\super 41,64\\nosupersub{}","plainCitation":"41,64","noteIndex":0},"citationItems":[{"id":9349,"uris":["http://zotero.org/users/694717/items/WN9M2RXW"],"itemData":{"id":9349,"type":"article-journal","abstract":"The location of and threats to biodiversity are distributed unevenly, so prioritization is essential to minimize biodiversity loss. To address this need, biodiversity conservation organizations have proposed nine templates of global priorities over the past decade. Here, we review the concepts, methods, results, impacts, and challenges of these prioritizations of conservation practice within the theoretical irreplaceability/vulnerability framework of systematic conservation planning. Most of the templates prioritize highly irreplaceable regions; some are reactive (prioritizing high vulnerability), and others are proactive (prioritizing low vulnerability). We hope this synthesis improves understanding of these prioritization approaches and that it results in more efficient allocation of geographically flexible conservation funding.","container-title":"Science","DOI":"10.1126/science.1127609","issue":"5783","note":"publisher: American Association for the Advancement of Science","page":"58-61","source":"science.org (Atypon)","title":"Global Biodiversity Conservation Priorities","volume":"313","author":[{"family":"Brooks","given":"T. M."},{"family":"Mittermeier","given":"R. A."},{"family":"Fonseca","given":"G. A. B.","non-dropping-particle":"da"},{"family":"Gerlach","given":"J."},{"family":"Hoffmann","given":"M."},{"family":"Lamoreux","given":"J. F."},{"family":"Mittermeier","given":"C. G."},{"family":"Pilgrim","given":"J. D."},{"family":"Rodrigues","given":"A. S. L."}],"issued":{"date-parts":[["2006",7,7]]}}},{"id":3671,"uris":["http://zotero.org/users/694717/items/G4X2BE84"],"itemData":{"id":3671,"type":"article-journal","abstract":"Ambitious climate targets, such as the 2 °C target, are likely to require the removal of carbon dioxide from the atmosphere. Afforestation is one such mitigation option but could, through the competition for land, also lead to food prices hikes. In addition, afforestation often decreases land-surface albedo and the amount of short-wave radiation reflected back to space, which results in a warming effect. In particular in the boreal zone, such biophysical warming effects following from afforestation are estimated to offset the cooling effect from carbon sequestration. We assessed the food price response of afforestation, and considered the albedo effect with scenarios in which afforestation was restricted to certain latitudinal zones. In our study, afforestation was incentivized by a globally uniform reward for carbon uptake in the terrestrial biosphere. This resulted in large-scale afforestation (2580 Mha globally) and substantial carbon sequestration (860 GtCO 2 ) up to the end of the century. However, it was also associated with an increase in food prices of about 80% by 2050 and a more than fourfold increase by 2100. When afforestation was restricted to the tropics the food price response was substantially reduced, while still almost 60% cumulative carbon sequestration was achieved. In the medium term, the increase in prices was then lower than the increase in income underlying our scenario projections. Moreover, our results indicate that more liberalised trade in agricultural commodities could buffer the food price increases following from afforestation in tropical regions.","container-title":"Environmental Research Letters","DOI":"10.1088/1748-9326/11/8/085001","ISSN":"1748-9326","issue":"8","journalAbbreviation":"Environ. Res. Lett.","language":"en","page":"085001","source":"Institute of Physics","title":"Afforestation to mitigate climate change: impacts on food prices under consideration of albedo effects","title-short":"Afforestation to mitigate climate change","volume":"11","author":[{"family":"Kreidenweis","given":"Ulrich"},{"family":"Humpenöder","given":"Florian"},{"family":"Stevanović","given":"Miodrag"},{"family":"Bodirsky","given":"Benjamin Leon"},{"literal":"Elmar Kriegler"},{"family":"Lotze-Campen","given":"Hermann"},{"family":"Popp","given":"Alexander"}],"issued":{"date-parts":[["2016"]]}}}],"schema":"https://github.com/citation-style-language/schema/raw/master/csl-citation.json"} </w:instrText>
      </w:r>
      <w:r w:rsidR="000B076D">
        <w:rPr>
          <w:color w:val="000000" w:themeColor="text1"/>
        </w:rPr>
        <w:fldChar w:fldCharType="separate"/>
      </w:r>
      <w:r w:rsidR="009E54D2" w:rsidRPr="009E54D2">
        <w:rPr>
          <w:szCs w:val="24"/>
          <w:vertAlign w:val="superscript"/>
        </w:rPr>
        <w:t>41,64</w:t>
      </w:r>
      <w:r w:rsidR="000B076D">
        <w:rPr>
          <w:color w:val="000000" w:themeColor="text1"/>
        </w:rPr>
        <w:fldChar w:fldCharType="end"/>
      </w:r>
      <w:r w:rsidRPr="00FD54EA">
        <w:rPr>
          <w:color w:val="000000" w:themeColor="text1"/>
        </w:rPr>
        <w:t>. In the reactive component the focus is on biodiversity hotspots (BH). Biodiversity hotspots harbor nearly 43% of the world's bird, mammal, reptile and amphibian species and more than half of the world's plant species as endemics, and they are characterized by a loss of native habitat of &gt;70%. The proactive component considers large areas (&gt;500 km2) of unprotected intact forest landscapes (IFL) that have so far been spared from substantial human alteration, mainly in the Amazon and Congo basins in Latin America and Africa and in the boreal zone across North America and Asia. These areas are excluded from conversion into agricultural land or forestry.</w:t>
      </w:r>
    </w:p>
    <w:p w14:paraId="469472C8" w14:textId="37576130" w:rsidR="00BE09F0" w:rsidRPr="00FD54EA" w:rsidRDefault="00FD54EA">
      <w:pPr>
        <w:rPr>
          <w:color w:val="000000" w:themeColor="text1"/>
        </w:rPr>
      </w:pPr>
      <w:r w:rsidRPr="00FD54EA">
        <w:rPr>
          <w:color w:val="000000" w:themeColor="text1"/>
        </w:rPr>
        <w:br/>
        <w:t xml:space="preserve">In the </w:t>
      </w:r>
      <w:proofErr w:type="spellStart"/>
      <w:r w:rsidRPr="00FD54EA">
        <w:rPr>
          <w:color w:val="000000" w:themeColor="text1"/>
        </w:rPr>
        <w:t>TimberCities</w:t>
      </w:r>
      <w:proofErr w:type="spellEnd"/>
      <w:r w:rsidRPr="00FD54EA">
        <w:rPr>
          <w:color w:val="000000" w:themeColor="text1"/>
        </w:rPr>
        <w:t xml:space="preserve"> FSM, we assume an upscaling of global demand for timber as construction wood. Demand for engineered wood to be used in construction of mid-rise urban buildings is derived as a function of the new influx in urban population, woody biomass demand per capita and amount of peak population expected to live in cities</w:t>
      </w:r>
      <w:r w:rsidR="000B076D">
        <w:rPr>
          <w:color w:val="000000" w:themeColor="text1"/>
        </w:rPr>
        <w:fldChar w:fldCharType="begin"/>
      </w:r>
      <w:r w:rsidR="00A01D99">
        <w:rPr>
          <w:color w:val="000000" w:themeColor="text1"/>
        </w:rPr>
        <w:instrText xml:space="preserve"> ADDIN ZOTERO_ITEM CSL_CITATION {"citationID":"jRkNbcCR","properties":{"formattedCitation":"\\super 76\\nosupersub{}","plainCitation":"76","noteIndex":0},"citationItems":[{"id":8882,"uris":["http://zotero.org/users/694717/items/KZESBMEL"],"itemData":{"id":8882,"type":"article-journal","abstract":"Using engineered wood for construction has been discussed for climate change mitigation. It remains unclear where and in which way the additional demand for wooden construction material shall be fulfilled. Here we assess the global and regional impacts of increased demand for engineered wood on land use and associated CO2 emissions until 2100 using an open-source land system model. We show that if 90% of the new urban population would be housed in newly built urban mid-rise buildings with wooden constructions, 106 Gt of additional CO2 could be saved by 2100. Forest plantations would need to expand by up to 149 Mha by 2100 and harvests from unprotected natural forests would increase. Our results indicate that expansion of timber plantations for wooden buildings is possible without major repercussions on agricultural production. Strong governance and careful planning are required to ensure a sustainable transition to timber cities even if frontier forests and biodiversity hotspots are protected.","container-title":"Nature Communications","DOI":"10.1038/s41467-022-32244-w","ISSN":"2041-1723","issue":"1","journalAbbreviation":"Nat Commun","language":"en","license":"2022 The Author(s)","note":"number: 1\npublisher: Nature Publishing Group","page":"4889","source":"www.nature.com","title":"Land use change and carbon emissions of a transformation to timber cities","volume":"13","author":[{"family":"Mishra","given":"Abhijeet"},{"family":"Humpenöder","given":"Florian"},{"family":"Churkina","given":"Galina"},{"family":"Reyer","given":"Christopher P. O."},{"family":"Beier","given":"Felicitas"},{"family":"Bodirsky","given":"Benjamin Leon"},{"family":"Schellnhuber","given":"Hans Joachim"},{"family":"Lotze-Campen","given":"Hermann"},{"family":"Popp","given":"Alexander"}],"issued":{"date-parts":[["2022",8,30]]}}}],"schema":"https://github.com/citation-style-language/schema/raw/master/csl-citation.json"} </w:instrText>
      </w:r>
      <w:r w:rsidR="000B076D">
        <w:rPr>
          <w:color w:val="000000" w:themeColor="text1"/>
        </w:rPr>
        <w:fldChar w:fldCharType="separate"/>
      </w:r>
      <w:r w:rsidR="00A01D99" w:rsidRPr="00A01D99">
        <w:rPr>
          <w:szCs w:val="24"/>
          <w:vertAlign w:val="superscript"/>
        </w:rPr>
        <w:t>76</w:t>
      </w:r>
      <w:r w:rsidR="000B076D">
        <w:rPr>
          <w:color w:val="000000" w:themeColor="text1"/>
        </w:rPr>
        <w:fldChar w:fldCharType="end"/>
      </w:r>
      <w:r w:rsidRPr="00FD54EA">
        <w:rPr>
          <w:color w:val="000000" w:themeColor="text1"/>
        </w:rPr>
        <w:t xml:space="preserve">. We assume that by the end of this century, 50% of people newly moving into cities after 2020 could be housed in buildings made of engineered wood rather than conventional cement and steel structures. </w:t>
      </w:r>
      <w:proofErr w:type="spellStart"/>
      <w:r w:rsidRPr="00FD54EA">
        <w:rPr>
          <w:color w:val="000000" w:themeColor="text1"/>
        </w:rPr>
        <w:t>MAgPIE</w:t>
      </w:r>
      <w:proofErr w:type="spellEnd"/>
      <w:r w:rsidRPr="00FD54EA">
        <w:rPr>
          <w:color w:val="000000" w:themeColor="text1"/>
        </w:rPr>
        <w:t xml:space="preserve"> also tracks the long-term carbon storage in harvested wood products (HWPs) based on the IPCC tier 1 guideline</w:t>
      </w:r>
      <w:r w:rsidR="000B076D">
        <w:rPr>
          <w:color w:val="000000" w:themeColor="text1"/>
        </w:rPr>
        <w:fldChar w:fldCharType="begin"/>
      </w:r>
      <w:r w:rsidR="00A01D99">
        <w:rPr>
          <w:color w:val="000000" w:themeColor="text1"/>
        </w:rPr>
        <w:instrText xml:space="preserve"> ADDIN ZOTERO_ITEM CSL_CITATION {"citationID":"ELxwJR0W","properties":{"formattedCitation":"\\super 133\\nosupersub{}","plainCitation":"133","noteIndex":0},"citationItems":[{"id":6929,"uris":["http://zotero.org/users/694717/items/2HC9XSUP"],"itemData":{"id":6929,"type":"report","title":"2019 Refinement to the 2006 IPCC Guidelines for National Greenhouse Gas Inventories","URL":"https://www.ipcc.ch/report/2019-refinement-to-the-2006-ipcc-guidelines-for-national-greenhouse-gas-inventories/","author":[{"literal":"IPCC"}],"accessed":{"date-parts":[["2020",12,21]]},"issued":{"date-parts":[["2019"]]}}}],"schema":"https://github.com/citation-style-language/schema/raw/master/csl-citation.json"} </w:instrText>
      </w:r>
      <w:r w:rsidR="000B076D">
        <w:rPr>
          <w:color w:val="000000" w:themeColor="text1"/>
        </w:rPr>
        <w:fldChar w:fldCharType="separate"/>
      </w:r>
      <w:r w:rsidR="00A01D99" w:rsidRPr="00A01D99">
        <w:rPr>
          <w:szCs w:val="24"/>
          <w:vertAlign w:val="superscript"/>
        </w:rPr>
        <w:t>133</w:t>
      </w:r>
      <w:r w:rsidR="000B076D">
        <w:rPr>
          <w:color w:val="000000" w:themeColor="text1"/>
        </w:rPr>
        <w:fldChar w:fldCharType="end"/>
      </w:r>
      <w:r w:rsidRPr="00FD54EA">
        <w:rPr>
          <w:color w:val="000000" w:themeColor="text1"/>
        </w:rPr>
        <w:t xml:space="preserve">. </w:t>
      </w:r>
      <w:proofErr w:type="spellStart"/>
      <w:r w:rsidRPr="00FD54EA">
        <w:rPr>
          <w:color w:val="000000" w:themeColor="text1"/>
        </w:rPr>
        <w:t>MAgPIE</w:t>
      </w:r>
      <w:proofErr w:type="spellEnd"/>
      <w:r w:rsidRPr="00FD54EA">
        <w:rPr>
          <w:color w:val="000000" w:themeColor="text1"/>
        </w:rPr>
        <w:t xml:space="preserve"> also accounts for the slow release of CO</w:t>
      </w:r>
      <w:r w:rsidRPr="00FD54EA">
        <w:rPr>
          <w:color w:val="000000" w:themeColor="text1"/>
          <w:vertAlign w:val="subscript"/>
        </w:rPr>
        <w:t>2</w:t>
      </w:r>
      <w:r w:rsidRPr="00FD54EA">
        <w:rPr>
          <w:color w:val="000000" w:themeColor="text1"/>
        </w:rPr>
        <w:t xml:space="preserve"> from existing pools of carbon stored in harvested wood products into the atmosphere from decay. The additional demand for industrial roundwood for manufacturing engineered wood, would more than double the current demand for industrial roundwood by 2100 compared to 2020.</w:t>
      </w:r>
    </w:p>
    <w:p w14:paraId="480445A3" w14:textId="77777777" w:rsidR="00BE09F0" w:rsidRPr="00FD54EA" w:rsidRDefault="00BE09F0">
      <w:pPr>
        <w:rPr>
          <w:color w:val="000000" w:themeColor="text1"/>
        </w:rPr>
      </w:pPr>
    </w:p>
    <w:p w14:paraId="66F0617E" w14:textId="77777777" w:rsidR="00BE09F0" w:rsidRPr="00FD54EA" w:rsidRDefault="00FD54EA">
      <w:pPr>
        <w:rPr>
          <w:color w:val="000000" w:themeColor="text1"/>
        </w:rPr>
      </w:pPr>
      <w:r w:rsidRPr="00FD54EA">
        <w:rPr>
          <w:color w:val="000000" w:themeColor="text1"/>
        </w:rPr>
        <w:t>All scenarios include land-based Nationally Determined Contributions (NDCs) in support of the Paris Agreement goals, which includes for example a strong afforestation program in China.</w:t>
      </w:r>
    </w:p>
    <w:p w14:paraId="2ED91277" w14:textId="77777777" w:rsidR="00BE09F0" w:rsidRPr="00FD54EA" w:rsidRDefault="00FD54EA">
      <w:pPr>
        <w:pStyle w:val="Heading4"/>
        <w:rPr>
          <w:color w:val="000000" w:themeColor="text1"/>
        </w:rPr>
      </w:pPr>
      <w:bookmarkStart w:id="13" w:name="_ks6f9hn78iso" w:colFirst="0" w:colLast="0"/>
      <w:bookmarkEnd w:id="13"/>
      <w:r w:rsidRPr="00FD54EA">
        <w:rPr>
          <w:color w:val="000000" w:themeColor="text1"/>
        </w:rPr>
        <w:t>S1.1.9 Biodiversity</w:t>
      </w:r>
    </w:p>
    <w:p w14:paraId="58A62417" w14:textId="35E6D403" w:rsidR="00BE09F0" w:rsidRPr="00FD54EA" w:rsidRDefault="00FD54EA">
      <w:pPr>
        <w:spacing w:before="240"/>
        <w:rPr>
          <w:color w:val="000000" w:themeColor="text1"/>
        </w:rPr>
      </w:pPr>
      <w:r w:rsidRPr="00FD54EA">
        <w:rPr>
          <w:color w:val="000000" w:themeColor="text1"/>
        </w:rPr>
        <w:t xml:space="preserve">Land-use impacts on terrestrial biodiversity are captured by the Biodiversity Intactness Index (BII) </w:t>
      </w:r>
      <w:r w:rsidR="000B076D">
        <w:rPr>
          <w:color w:val="000000" w:themeColor="text1"/>
        </w:rPr>
        <w:fldChar w:fldCharType="begin"/>
      </w:r>
      <w:r w:rsidR="00A01D99">
        <w:rPr>
          <w:color w:val="000000" w:themeColor="text1"/>
        </w:rPr>
        <w:instrText xml:space="preserve"> ADDIN ZOTERO_ITEM CSL_CITATION {"citationID":"quP2D09w","properties":{"formattedCitation":"\\super 27,134,135\\nosupersub{}","plainCitation":"27,134,135","noteIndex":0},"citationItems":[{"id":6717,"uris":["http://zotero.org/users/694717/items/P2QQ55ZY"],"itemData":{"id":6717,"type":"article-journal","abstract":"Increased efforts are required to prevent further losses to terrestrial biodiversity and the ecosystem services that it  provides1,2. Ambitious targets have been proposed, such as reversing the declining trends in biodiversity3; however, just feeding the growing human population will make this a challenge4. Here we use an ensemble of land-use and biodiversity models to assess whether—and how—humanity can reverse the declines in terrestrial biodiversity caused by habitat conversion, which is a major threat to biodiversity5. We show that immediate efforts, consistent with the broader sustainability agenda but of unprecedented ambition and coordination, could enable the provision of food for the growing human population while reversing the global terrestrial biodiversity trends caused by habitat conversion. If we decide to increase the extent of land under conservation management, restore degraded land and generalize landscape-level conservation planning, biodiversity trends from habitat conversion could become positive by the mid-twenty-first century on average across models (confidence interval, 2042–2061), but this was not the case for all models. Food prices could increase and, on average across models, almost half (confidence interval, 34–50%) of the future biodiversity losses could not be avoided. However, additionally tackling the drivers of land-use change could avoid conflict with affordable food provision and reduces the environmental effects of the food-provision system. Through further sustainable intensification and trade, reduced food waste and more plant-based human diets, more than two thirds of future biodiversity losses are avoided and the biodiversity trends from habitat conversion are reversed by 2050 for almost all of the models. Although limiting further loss will remain challenging in several biodiversity-rich regions, and other threats—such as climate change—must be addressed to truly reverse the declines in biodiversity, our results show that ambitious conservation efforts and food system transformation are central to an effective post-2020 biodiversity strategy.","container-title":"Nature","DOI":"10.1038/s41586-020-2705-y","ISSN":"1476-4687","language":"en","license":"2020 The Author(s), under exclusive licence to Springer Nature Limited","note":"publisher: Nature Publishing Group","page":"1-6","source":"www.nature.com","title":"Bending the curve of terrestrial biodiversity needs an integrated strategy","author":[{"family":"Leclère","given":"David"},{"family":"Obersteiner","given":"Michael"},{"family":"Barrett","given":"Mike"},{"family":"Butchart","given":"Stuart H. M."},{"family":"Chaudhary","given":"Abhishek"},{"family":"De Palma","given":"Adriana"},{"family":"DeClerck","given":"Fabrice A. J."},{"family":"Di Marco","given":"Moreno"},{"family":"Doelman","given":"Jonathan C."},{"family":"Dürauer","given":"Martina"},{"family":"Freeman","given":"Robin"},{"family":"Harfoot","given":"Michael"},{"family":"Hasegawa","given":"Tomoko"},{"family":"Hellweg","given":"Stefanie"},{"family":"Hilbers","given":"Jelle P."},{"family":"Hill","given":"Samantha L. L."},{"family":"Humpenöder","given":"Florian"},{"family":"Jennings","given":"Nancy"},{"family":"Krisztin","given":"Tamás"},{"family":"Mace","given":"Georgina M."},{"family":"Ohashi","given":"Haruka"},{"family":"Popp","given":"Alexander"},{"family":"Purvis","given":"Andy"},{"family":"Schipper","given":"Aafke M."},{"family":"Tabeau","given":"Andrzej"},{"family":"Valin","given":"Hugo"},{"family":"Meijl","given":"Hans","non-dropping-particle":"van"},{"family":"Zeist","given":"Willem-Jan","non-dropping-particle":"van"},{"family":"Visconti","given":"Piero"},{"family":"Alkemade","given":"Rob"},{"family":"Almond","given":"Rosamunde"},{"family":"Bunting","given":"Gill"},{"family":"Burgess","given":"Neil D."},{"family":"Cornell","given":"Sarah E."},{"family":"Di Fulvio","given":"Fulvio"},{"family":"Ferrier","given":"Simon"},{"family":"Fritz","given":"Steffen"},{"family":"Fujimori","given":"Shinichiro"},{"family":"Grooten","given":"Monique"},{"family":"Harwood","given":"Thomas"},{"family":"Havlík","given":"Petr"},{"family":"Herrero","given":"Mario"},{"family":"Hoskins","given":"Andrew J."},{"family":"Jung","given":"Martin"},{"family":"Kram","given":"Tom"},{"family":"Lotze-Campen","given":"Hermann"},{"family":"Matsui","given":"Tetsuya"},{"family":"Meyer","given":"Carsten"},{"family":"Nel","given":"Deon"},{"family":"Newbold","given":"Tim"},{"family":"Schmidt-Traub","given":"Guido"},{"family":"Stehfest","given":"Elke"},{"family":"Strassburg","given":"Bernardo B. N."},{"family":"Vuuren","given":"Detlef P.","non-dropping-particle":"van"},{"family":"Ware","given":"Chris"},{"family":"Watson","given":"James E. M."},{"family":"Wu","given":"Wenchao"},{"family":"Young","given":"Lucy"}],"issued":{"date-parts":[["2020",9,10]]}}},{"id":9153,"uris":["http://zotero.org/users/694717/items/GTF9T768"],"itemData":{"id":9153,"type":"article-journal","abstract":"The nations of the world have set themselves a target of reducing the rate of biodiversity loss by 2010. Here, we propose a biodiversity intactness index (BII) for assessing progress towards this target that is simple and practical—but sensitive to important factors that influence biodiversity status—and which satisfies the criteria for policy relevance set by the Convention on Biological Diversity. Application of the BII is demonstrated on a large region (4 × 106 km2) of southern Africa. The BII score in the year 2000 is about 84%: in other words, averaged across all plant and vertebrate species in the region, populations have declined to 84% of their presumed pre-modern levels. The taxonomic group with the greatest loss is mammals, at 71% of pre-modern levels, and the ecosystem type with the greatest loss is grassland, with 74% of its former populations remaining. During the 1990s, a population decline of 0.8% is estimated to have occurred.","container-title":"Nature","DOI":"10.1038/nature03289","ISSN":"1476-4687","issue":"7029","language":"en","license":"2005 Macmillan Magazines Ltd.","note":"number: 7029\npublisher: Nature Publishing Group","page":"45-49","source":"www.nature.com","title":"A biodiversity intactness index","volume":"434","author":[{"family":"Scholes","given":"R. J."},{"family":"Biggs","given":"R."}],"issued":{"date-parts":[["2005",3]]}}},{"id":9463,"uris":["http://zotero.org/users/694717/items/VFFS3BIY"],"itemData":{"id":9463,"type":"chapter","abstract":"The PREDICTS project (Projecting Responses of Ecological Diversity In Changing Terrestrial Systems) has collated ecological survey data from hundreds of published biodiversity comparisons of sites facing different land-use and related pressures, and used the resulting taxonomically and geographically broad database (abundance and occurrence data for over 50,000 species and over 30,000 sites in nearly 100 countries) to develop global biodiversity models, indicators, and projections. After outlining the science and science-policy gaps that motivated PREDICTS, this review discusses the key design decisions that helped it to achieve its objectives. In particular, we discuss basing models on a large, taxonomically, and geographically representative database, so that they may be applicable to biodiversity more broadly; space-for-time substitution, which allows estimation of pressure-state models without the need for representative time-series data; and collation of raw data rather than statistical results, greatly expanding the range of response variables that can be modelled. The heterogeneity of data in the PREDICTS database has presented a range of modelling challenges: we discuss these with a focus on our implementation of the Biodiversity Intactness Index, an indicator with considerable policy potential but which had not previously been estimated from primary biodiversity data. We then summarise the findings from analyses of how land use and related pressures affect local (α) diversity and spatial turnover (β diversity), and how these effects are mediated by ecological attributes of species. We discuss the relevance of our findings for policy, before ending with some directions of ongoing and possible future research.","collection-title":"Next Generation Biomonitoring: Part 1","container-title":"Advances in Ecological Research","language":"en","note":"DOI: 10.1016/bs.aecr.2017.12.003","page":"201-241","publisher":"Academic Press","source":"ScienceDirect","title":"Chapter Five - Modelling and Projecting the Response of Local Terrestrial Biodiversity Worldwide to Land Use and Related Pressures: The PREDICTS Project","title-short":"Chapter Five - Modelling and Projecting the Response of Local Terrestrial Biodiversity Worldwide to Land Use and Related Pressures","URL":"https://www.sciencedirect.com/science/article/pii/S0065250417300284","volume":"58","author":[{"family":"Purvis","given":"Andy"},{"family":"Newbold","given":"Tim"},{"family":"De Palma","given":"Adriana"},{"family":"Contu","given":"Sara"},{"family":"Hill","given":"Samantha L. L."},{"family":"Sanchez-Ortiz","given":"Katia"},{"family":"Phillips","given":"Helen R. P."},{"family":"Hudson","given":"Lawrence N."},{"family":"Lysenko","given":"Igor"},{"family":"Börger","given":"Luca"},{"family":"Scharlemann","given":"Jörn P. W."}],"editor":[{"family":"Bohan","given":"David A."},{"family":"Dumbrell","given":"Alex J."},{"family":"Woodward","given":"Guy"},{"family":"Jackson","given":"Michelle"}],"accessed":{"date-parts":[["2023",5,12]]},"issued":{"date-parts":[["2018",1,1]]}}}],"schema":"https://github.com/citation-style-language/schema/raw/master/csl-citation.json"} </w:instrText>
      </w:r>
      <w:r w:rsidR="000B076D">
        <w:rPr>
          <w:color w:val="000000" w:themeColor="text1"/>
        </w:rPr>
        <w:fldChar w:fldCharType="separate"/>
      </w:r>
      <w:r w:rsidR="00A01D99" w:rsidRPr="00A01D99">
        <w:rPr>
          <w:szCs w:val="24"/>
          <w:vertAlign w:val="superscript"/>
        </w:rPr>
        <w:t>27,134,135</w:t>
      </w:r>
      <w:r w:rsidR="000B076D">
        <w:rPr>
          <w:color w:val="000000" w:themeColor="text1"/>
        </w:rPr>
        <w:fldChar w:fldCharType="end"/>
      </w:r>
      <w:r w:rsidRPr="00FD54EA">
        <w:rPr>
          <w:color w:val="000000" w:themeColor="text1"/>
        </w:rPr>
        <w:t xml:space="preserve">, which is based on a two-step approach. In a first step, net changes in abundance within species assemblages are computed as a function of recent human land use. In a second step, the compositional similarity between sites is compared to a reference land-use class, for which primary vegetation is used (space-for-time approach). As a result, land with low human interference, such as primary forest, typically has a BII of 1, whereas secondary forest and agricultural land exhibit lower BII values (e.g. 0.5-0.7 for cropland). The BII can therefore be used to track changes among different land-use classes at a given site in an aggregated way. It is worth noting, however, that various other important land-use related drivers of biodiversity change, such as interactions among land uses, habitat location, habitat connectivity, habitat quality and land management are not covered by the BII. Based on our spatially-explicit outputs, our outcome indicators highlight two focal areas of biodiversity change, namely biodiversity hotspots, due to their overwhelming global importance for biodiversity conservation, on the one hand, and farmed landscapes, on the other hand, where ongoing biodiversity change has undermined many critical ecosystem functions that sustain land productivity. Thus the </w:t>
      </w:r>
      <w:r w:rsidRPr="00FD54EA">
        <w:rPr>
          <w:i/>
          <w:color w:val="000000" w:themeColor="text1"/>
        </w:rPr>
        <w:t>Hotspot Landscapes</w:t>
      </w:r>
      <w:r w:rsidRPr="00FD54EA">
        <w:rPr>
          <w:color w:val="000000" w:themeColor="text1"/>
        </w:rPr>
        <w:t xml:space="preserve"> BII reports area-weighted BII values in areas that are covered by the biodiversity hotspots definition</w:t>
      </w:r>
      <w:r w:rsidR="000B076D">
        <w:rPr>
          <w:color w:val="000000" w:themeColor="text1"/>
        </w:rPr>
        <w:fldChar w:fldCharType="begin"/>
      </w:r>
      <w:r w:rsidR="000B076D">
        <w:rPr>
          <w:color w:val="000000" w:themeColor="text1"/>
        </w:rPr>
        <w:instrText xml:space="preserve"> ADDIN ZOTERO_ITEM CSL_CITATION {"citationID":"KDozRbIA","properties":{"formattedCitation":"\\super 41\\nosupersub{}","plainCitation":"41","noteIndex":0},"citationItems":[{"id":9349,"uris":["http://zotero.org/users/694717/items/WN9M2RXW"],"itemData":{"id":9349,"type":"article-journal","abstract":"The location of and threats to biodiversity are distributed unevenly, so prioritization is essential to minimize biodiversity loss. To address this need, biodiversity conservation organizations have proposed nine templates of global priorities over the past decade. Here, we review the concepts, methods, results, impacts, and challenges of these prioritizations of conservation practice within the theoretical irreplaceability/vulnerability framework of systematic conservation planning. Most of the templates prioritize highly irreplaceable regions; some are reactive (prioritizing high vulnerability), and others are proactive (prioritizing low vulnerability). We hope this synthesis improves understanding of these prioritization approaches and that it results in more efficient allocation of geographically flexible conservation funding.","container-title":"Science","DOI":"10.1126/science.1127609","issue":"5783","note":"publisher: American Association for the Advancement of Science","page":"58-61","source":"science.org (Atypon)","title":"Global Biodiversity Conservation Priorities","volume":"313","author":[{"family":"Brooks","given":"T. M."},{"family":"Mittermeier","given":"R. A."},{"family":"Fonseca","given":"G. A. B.","non-dropping-particle":"da"},{"family":"Gerlach","given":"J."},{"family":"Hoffmann","given":"M."},{"family":"Lamoreux","given":"J. F."},{"family":"Mittermeier","given":"C. G."},{"family":"Pilgrim","given":"J. D."},{"family":"Rodrigues","given":"A. S. L."}],"issued":{"date-parts":[["2006",7,7]]}},"locator":"200"}],"schema":"https://github.com/citation-style-language/schema/raw/master/csl-citation.json"} </w:instrText>
      </w:r>
      <w:r w:rsidR="000B076D">
        <w:rPr>
          <w:color w:val="000000" w:themeColor="text1"/>
        </w:rPr>
        <w:fldChar w:fldCharType="separate"/>
      </w:r>
      <w:r w:rsidR="000B076D" w:rsidRPr="000B076D">
        <w:rPr>
          <w:szCs w:val="24"/>
          <w:vertAlign w:val="superscript"/>
        </w:rPr>
        <w:t>41</w:t>
      </w:r>
      <w:r w:rsidR="000B076D">
        <w:rPr>
          <w:color w:val="000000" w:themeColor="text1"/>
        </w:rPr>
        <w:fldChar w:fldCharType="end"/>
      </w:r>
      <w:r w:rsidRPr="00FD54EA">
        <w:rPr>
          <w:color w:val="000000" w:themeColor="text1"/>
        </w:rPr>
        <w:t xml:space="preserve">. The </w:t>
      </w:r>
      <w:r w:rsidRPr="00FD54EA">
        <w:rPr>
          <w:i/>
          <w:color w:val="000000" w:themeColor="text1"/>
        </w:rPr>
        <w:t>Cropland Landscapes</w:t>
      </w:r>
      <w:r w:rsidRPr="00FD54EA">
        <w:rPr>
          <w:color w:val="000000" w:themeColor="text1"/>
        </w:rPr>
        <w:t xml:space="preserve"> BII aggregates spatially-explicit BII values in grid cells with more than 100 </w:t>
      </w:r>
      <w:proofErr w:type="spellStart"/>
      <w:r w:rsidRPr="00FD54EA">
        <w:rPr>
          <w:color w:val="000000" w:themeColor="text1"/>
        </w:rPr>
        <w:t>Mha</w:t>
      </w:r>
      <w:proofErr w:type="spellEnd"/>
      <w:r w:rsidRPr="00FD54EA">
        <w:rPr>
          <w:color w:val="000000" w:themeColor="text1"/>
        </w:rPr>
        <w:t xml:space="preserve"> of cropland, and is thereby sensitive to agglomeration of crop </w:t>
      </w:r>
      <w:r w:rsidRPr="00FD54EA">
        <w:rPr>
          <w:color w:val="000000" w:themeColor="text1"/>
        </w:rPr>
        <w:lastRenderedPageBreak/>
        <w:t xml:space="preserve">areas that can prevent landscape heterogeneity. During aggregation, the </w:t>
      </w:r>
      <w:r w:rsidRPr="00FD54EA">
        <w:rPr>
          <w:i/>
          <w:color w:val="000000" w:themeColor="text1"/>
        </w:rPr>
        <w:t>Cropland Landscapes</w:t>
      </w:r>
      <w:r w:rsidRPr="00FD54EA">
        <w:rPr>
          <w:color w:val="000000" w:themeColor="text1"/>
        </w:rPr>
        <w:t xml:space="preserve"> BII is weighted based on the cropland area in each grid cell. Therefore, the </w:t>
      </w:r>
      <w:r w:rsidRPr="00FD54EA">
        <w:rPr>
          <w:i/>
          <w:color w:val="000000" w:themeColor="text1"/>
        </w:rPr>
        <w:t>Cropland Landscapes BII</w:t>
      </w:r>
      <w:r w:rsidRPr="00FD54EA">
        <w:rPr>
          <w:color w:val="000000" w:themeColor="text1"/>
        </w:rPr>
        <w:t xml:space="preserve"> decreases with increasing cropland concentration (landscape simplification) and increases when land use in cropland grid-cells becomes more diverse. </w:t>
      </w:r>
    </w:p>
    <w:p w14:paraId="78C35D6B" w14:textId="30CDE1A8" w:rsidR="00BE09F0" w:rsidRPr="00FD54EA" w:rsidRDefault="00FD54EA">
      <w:pPr>
        <w:spacing w:before="240"/>
        <w:rPr>
          <w:color w:val="000000" w:themeColor="text1"/>
        </w:rPr>
      </w:pPr>
      <w:r w:rsidRPr="00FD54EA">
        <w:rPr>
          <w:color w:val="000000" w:themeColor="text1"/>
        </w:rPr>
        <w:t xml:space="preserve">The </w:t>
      </w:r>
      <w:proofErr w:type="spellStart"/>
      <w:r w:rsidRPr="00FD54EA">
        <w:rPr>
          <w:i/>
          <w:color w:val="000000" w:themeColor="text1"/>
        </w:rPr>
        <w:t>LandscapeHabitats</w:t>
      </w:r>
      <w:proofErr w:type="spellEnd"/>
      <w:r w:rsidRPr="00FD54EA">
        <w:rPr>
          <w:i/>
          <w:color w:val="000000" w:themeColor="text1"/>
        </w:rPr>
        <w:t xml:space="preserve"> </w:t>
      </w:r>
      <w:r w:rsidRPr="00FD54EA">
        <w:rPr>
          <w:color w:val="000000" w:themeColor="text1"/>
        </w:rPr>
        <w:t>FSM restricts cropland area to 80% of the potential cropland area</w:t>
      </w:r>
      <w:r w:rsidR="000B076D">
        <w:rPr>
          <w:color w:val="000000" w:themeColor="text1"/>
        </w:rPr>
        <w:fldChar w:fldCharType="begin"/>
      </w:r>
      <w:r w:rsidR="00A01D99">
        <w:rPr>
          <w:color w:val="000000" w:themeColor="text1"/>
        </w:rPr>
        <w:instrText xml:space="preserve"> ADDIN ZOTERO_ITEM CSL_CITATION {"citationID":"UYSCaRyy","properties":{"formattedCitation":"\\super 136\\nosupersub{}","plainCitation":"136","noteIndex":0},"citationItems":[{"id":9384,"uris":["http://zotero.org/users/694717/items/INRUNBBC"],"itemData":{"id":9384,"type":"report","abstract":"Abstract\n          Habitat loss and biotic homogenisation are undermining the stable supply of nature’s contributions to people (NCP) that underpin the long-term productivity and resilience in farmed landscapes. Growing demand for land-based products, and global ambitions for climate and area-based protection are likely to increase land competition, which could further drive intensification and landscape simplification. Yet, little is known about the repercussions of such global land-use transitions for key regulating NCP in farmed landscapes. By using an integrated, globally consistent modelling approach, we analyse how global land-use dynamics could drive fine-scale changes in landscape structure, pollination, and soil erosion across different land-use futures. Here we show that, if not addressed, increased land competition and concurrent landscape-scale changes could reinforce global negative trends for key regulating NCP. However, we also find that global efforts towards land carbon uptake and biodiversity conservation could be augmented to produce co-benefits in agricultural settings. Our results indicate that integrating at least 20 % (semi-)natural habitat into farmed landscapes would not cause trade-offs of carbon emissions or natural land conversion, despite shifts in spatial land-use patterns. Our findings underline the importance of considering landscape-scale repercussions while assessing changes in multiple material and regulating NCP across different land-use futures.","genre":"preprint","language":"en","note":"DOI: 10.21203/rs.3.rs-1478082/v1","publisher":"accepted","source":"DOI.org (Crossref)","title":"Landscape-scale repercussions of global action for climate and biodiversity protection","URL":"https://www.researchsquare.com/article/rs-1478082/v1","author":[{"family":"Jeetze","given":"Patrick","dropping-particle":"von"},{"family":"Weindl","given":"Isabelle"},{"family":"Johnson","given":"Justin"},{"family":"Borrelli","given":"Pasquale"},{"family":"Panagos","given":"Panos"},{"family":"Bacca","given":"Edna Molina"},{"family":"Karstens","given":"Kristine"},{"family":"Humpenöder","given":"Florian"},{"family":"Dietrich","given":"Jan"},{"family":"Minoli","given":"Sara"},{"family":"Müller","given":"Christoph"},{"family":"Lotze-Campen","given":"Hermann"},{"family":"Popp","given":"Alexander"}],"accessed":{"date-parts":[["2023",5,8]]},"issued":{"date-parts":[["2022",3,29]]}}}],"schema":"https://github.com/citation-style-language/schema/raw/master/csl-citation.json"} </w:instrText>
      </w:r>
      <w:r w:rsidR="000B076D">
        <w:rPr>
          <w:color w:val="000000" w:themeColor="text1"/>
        </w:rPr>
        <w:fldChar w:fldCharType="separate"/>
      </w:r>
      <w:r w:rsidR="00A01D99" w:rsidRPr="00A01D99">
        <w:rPr>
          <w:szCs w:val="24"/>
          <w:vertAlign w:val="superscript"/>
        </w:rPr>
        <w:t>136</w:t>
      </w:r>
      <w:r w:rsidR="000B076D">
        <w:rPr>
          <w:color w:val="000000" w:themeColor="text1"/>
        </w:rPr>
        <w:fldChar w:fldCharType="end"/>
      </w:r>
      <w:r w:rsidRPr="00FD54EA">
        <w:rPr>
          <w:color w:val="000000" w:themeColor="text1"/>
        </w:rPr>
        <w:t xml:space="preserve"> to support native species diversity in cropland landscapes and to sustain a stable supply of critical ecosystem services that underpin land productivity</w:t>
      </w:r>
      <w:r w:rsidR="000B076D">
        <w:rPr>
          <w:color w:val="000000" w:themeColor="text1"/>
        </w:rPr>
        <w:fldChar w:fldCharType="begin"/>
      </w:r>
      <w:r w:rsidR="00A01D99">
        <w:rPr>
          <w:color w:val="000000" w:themeColor="text1"/>
        </w:rPr>
        <w:instrText xml:space="preserve"> ADDIN ZOTERO_ITEM CSL_CITATION {"citationID":"cVj55AL2","properties":{"formattedCitation":"\\super 137\\nosupersub{}","plainCitation":"137","noteIndex":0},"citationItems":[{"id":9468,"uris":["http://zotero.org/users/694717/items/QPK5PRXI"],"itemData":{"id":9468,"type":"article-journal","abstract":"International agreements aim to conserve 17% of Earth's land area by 2020 but include no area-based conservation targets within the working landscapes that support human needs through farming, ranching, and forestry. Through a review of country-level legislation, we found that just 38% of countries have minimum area requirements for conserving native habitats within working landscapes. We argue for increasing native habitats to at least 20% of working landscape area where it is below this minimum. Such target has benefits for food security, nature's contributions to people, and the connectivity and effectiveness of protected area networks in biomes in which protected areas are underrepresented. We also argue for maintaining native habitat at higher levels where it currently exceeds the 20% minimum, and performed a literature review that shows that even more than 50% native habitat restoration is needed in particular landscapes. The post-2020 Global Biodiversity Framework is an opportune moment to include a minimum habitat restoration target for working landscapes that contributes to, but does not compete with, initiatives for expanding protected areas, the UN Decade on Ecosystem Restoration (2021–2030) and the UN Sustainable Development Goals.","container-title":"Conservation Letters","DOI":"10.1111/conl.12773","ISSN":"1755-263X","issue":"2","language":"en","note":"_eprint: https://onlinelibrary.wiley.com/doi/pdf/10.1111/conl.12773","page":"e12773","source":"Wiley Online Library","title":"Working landscapes need at least 20% native habitat","volume":"14","author":[{"family":"Garibaldi","given":"Lucas A."},{"family":"Oddi","given":"Facundo J."},{"family":"Miguez","given":"Fernando E."},{"family":"Bartomeus","given":"Ignasi"},{"family":"Orr","given":"Michael C."},{"family":"Jobbágy","given":"Esteban G."},{"family":"Kremen","given":"Claire"},{"family":"Schulte","given":"Lisa A."},{"family":"Hughes","given":"Alice C."},{"family":"Bagnato","given":"Camilo"},{"family":"Abramson","given":"Guillermo"},{"family":"Bridgewater","given":"Peter"},{"family":"Carella","given":"Dulce Gomez"},{"family":"Díaz","given":"Sandra"},{"family":"Dicks","given":"Lynn V."},{"family":"Ellis","given":"Erle C."},{"family":"Goldenberg","given":"Matías"},{"family":"Huaylla","given":"Claudia A."},{"family":"Kuperman","given":"Marcelo"},{"family":"Locke","given":"Harvey"},{"family":"Mehrabi","given":"Zia"},{"family":"Santibañez","given":"Fernanda"},{"family":"Zhu","given":"Chao-Dong"}],"issued":{"date-parts":[["2021"]]}}}],"schema":"https://github.com/citation-style-language/schema/raw/master/csl-citation.json"} </w:instrText>
      </w:r>
      <w:r w:rsidR="000B076D">
        <w:rPr>
          <w:color w:val="000000" w:themeColor="text1"/>
        </w:rPr>
        <w:fldChar w:fldCharType="separate"/>
      </w:r>
      <w:r w:rsidR="00A01D99" w:rsidRPr="00A01D99">
        <w:rPr>
          <w:szCs w:val="24"/>
          <w:vertAlign w:val="superscript"/>
        </w:rPr>
        <w:t>137</w:t>
      </w:r>
      <w:r w:rsidR="000B076D">
        <w:rPr>
          <w:color w:val="000000" w:themeColor="text1"/>
        </w:rPr>
        <w:fldChar w:fldCharType="end"/>
      </w:r>
      <w:r w:rsidRPr="00FD54EA">
        <w:rPr>
          <w:color w:val="000000" w:themeColor="text1"/>
        </w:rPr>
        <w:t>.</w:t>
      </w:r>
    </w:p>
    <w:p w14:paraId="79E3D49E" w14:textId="24F6F874" w:rsidR="00BE09F0" w:rsidRPr="00FD54EA" w:rsidRDefault="00FD54EA">
      <w:pPr>
        <w:spacing w:before="240"/>
        <w:rPr>
          <w:color w:val="000000" w:themeColor="text1"/>
        </w:rPr>
      </w:pPr>
      <w:r w:rsidRPr="00FD54EA">
        <w:rPr>
          <w:color w:val="000000" w:themeColor="text1"/>
        </w:rPr>
        <w:t xml:space="preserve">The </w:t>
      </w:r>
      <w:proofErr w:type="spellStart"/>
      <w:r w:rsidRPr="00FD54EA">
        <w:rPr>
          <w:i/>
          <w:color w:val="000000" w:themeColor="text1"/>
        </w:rPr>
        <w:t>BiodiversityOffset</w:t>
      </w:r>
      <w:proofErr w:type="spellEnd"/>
      <w:r w:rsidRPr="00FD54EA">
        <w:rPr>
          <w:i/>
          <w:color w:val="000000" w:themeColor="text1"/>
        </w:rPr>
        <w:t xml:space="preserve"> </w:t>
      </w:r>
      <w:r w:rsidRPr="00FD54EA">
        <w:rPr>
          <w:color w:val="000000" w:themeColor="text1"/>
        </w:rPr>
        <w:t>FSM does not allow a net decrease of aggregated BII values in each biome type of each world region</w:t>
      </w:r>
      <w:r w:rsidR="000B076D">
        <w:rPr>
          <w:color w:val="000000" w:themeColor="text1"/>
        </w:rPr>
        <w:fldChar w:fldCharType="begin"/>
      </w:r>
      <w:r w:rsidR="00A01D99">
        <w:rPr>
          <w:color w:val="000000" w:themeColor="text1"/>
        </w:rPr>
        <w:instrText xml:space="preserve"> ADDIN ZOTERO_ITEM CSL_CITATION {"citationID":"YVyyL1Dy","properties":{"formattedCitation":"\\super 138\\nosupersub{}","plainCitation":"138","noteIndex":0},"citationItems":[{"id":9465,"uris":["http://zotero.org/users/694717/items/3SCWJWQ5"],"itemData":{"id":9465,"type":"article-journal","container-title":"BioScience","DOI":"10.1641/0006-3568(2001)051[0933:TEOTWA]2.0.CO;2","ISSN":"0006-3568","issue":"11","journalAbbreviation":"BioScience","page":"933-938","source":"Silverchair","title":"Terrestrial Ecoregions of the World: A New Map of Life on Earth: A new global map of terrestrial ecoregions provides an innovative tool for conserving biodiversity","title-short":"Terrestrial Ecoregions of the World","volume":"51","author":[{"family":"Olson","given":"David M."},{"family":"Dinerstein","given":"Eric"},{"family":"Wikramanayake","given":"Eric D."},{"family":"Burgess","given":"Neil D."},{"family":"Powell","given":"George V. N."},{"family":"Underwood","given":"Emma C."},{"family":"D'amico","given":"Jennifer A."},{"family":"Itoua","given":"Illanga"},{"family":"Strand","given":"Holly E."},{"family":"Morrison","given":"John C."},{"family":"Loucks","given":"Colby J."},{"family":"Allnutt","given":"Thomas F."},{"family":"Ricketts","given":"Taylor H."},{"family":"Kura","given":"Yumiko"},{"family":"Lamoreux","given":"John F."},{"family":"Wettengel","given":"Wesley W."},{"family":"Hedao","given":"Prashant"},{"family":"Kassem","given":"Kenneth R."}],"issued":{"date-parts":[["2001",11,1]]}}}],"schema":"https://github.com/citation-style-language/schema/raw/master/csl-citation.json"} </w:instrText>
      </w:r>
      <w:r w:rsidR="000B076D">
        <w:rPr>
          <w:color w:val="000000" w:themeColor="text1"/>
        </w:rPr>
        <w:fldChar w:fldCharType="separate"/>
      </w:r>
      <w:r w:rsidR="00A01D99" w:rsidRPr="00A01D99">
        <w:rPr>
          <w:szCs w:val="24"/>
          <w:vertAlign w:val="superscript"/>
        </w:rPr>
        <w:t>138</w:t>
      </w:r>
      <w:r w:rsidR="000B076D">
        <w:rPr>
          <w:color w:val="000000" w:themeColor="text1"/>
        </w:rPr>
        <w:fldChar w:fldCharType="end"/>
      </w:r>
      <w:r w:rsidRPr="00FD54EA">
        <w:rPr>
          <w:color w:val="000000" w:themeColor="text1"/>
        </w:rPr>
        <w:t xml:space="preserve"> as compared to 2020. Any BII reduction (e.g. through cropland expansion) at the biome level must therefore be compensated by increasing the land area of land types with higher BII values (e.g. forest and other natural vegetation). </w:t>
      </w:r>
    </w:p>
    <w:p w14:paraId="3460B041" w14:textId="77777777" w:rsidR="00BE09F0" w:rsidRPr="00FD54EA" w:rsidRDefault="00FD54EA">
      <w:pPr>
        <w:pStyle w:val="Heading4"/>
        <w:rPr>
          <w:color w:val="000000" w:themeColor="text1"/>
        </w:rPr>
      </w:pPr>
      <w:bookmarkStart w:id="14" w:name="_okfuc9desqvp" w:colFirst="0" w:colLast="0"/>
      <w:bookmarkEnd w:id="14"/>
      <w:r w:rsidRPr="00FD54EA">
        <w:rPr>
          <w:color w:val="000000" w:themeColor="text1"/>
        </w:rPr>
        <w:t xml:space="preserve">S1.1.10 Land use change greenhouse gas emissions </w:t>
      </w:r>
    </w:p>
    <w:p w14:paraId="7C567504" w14:textId="3FB66153" w:rsidR="00BE09F0" w:rsidRPr="00FD54EA" w:rsidRDefault="00FD54EA">
      <w:pPr>
        <w:rPr>
          <w:color w:val="000000" w:themeColor="text1"/>
        </w:rPr>
      </w:pPr>
      <w:r w:rsidRPr="00FD54EA">
        <w:rPr>
          <w:color w:val="000000" w:themeColor="text1"/>
        </w:rPr>
        <w:t>CO</w:t>
      </w:r>
      <w:r w:rsidRPr="00FD54EA">
        <w:rPr>
          <w:color w:val="000000" w:themeColor="text1"/>
          <w:vertAlign w:val="subscript"/>
        </w:rPr>
        <w:t>2</w:t>
      </w:r>
      <w:r w:rsidRPr="00FD54EA">
        <w:rPr>
          <w:color w:val="000000" w:themeColor="text1"/>
        </w:rPr>
        <w:t xml:space="preserve"> emissions from land-use change and CO</w:t>
      </w:r>
      <w:r w:rsidRPr="00FD54EA">
        <w:rPr>
          <w:color w:val="000000" w:themeColor="text1"/>
          <w:vertAlign w:val="subscript"/>
        </w:rPr>
        <w:t xml:space="preserve">2 </w:t>
      </w:r>
      <w:r w:rsidRPr="00FD54EA">
        <w:rPr>
          <w:color w:val="000000" w:themeColor="text1"/>
        </w:rPr>
        <w:t xml:space="preserve">removals from land management are based on carbon stock changes between time steps. Carbon stocks for vegetation are obtained by multiplying land areas with corresponding carbon densities from the </w:t>
      </w:r>
      <w:proofErr w:type="spellStart"/>
      <w:r w:rsidRPr="00FD54EA">
        <w:rPr>
          <w:color w:val="000000" w:themeColor="text1"/>
        </w:rPr>
        <w:t>LPJmL</w:t>
      </w:r>
      <w:proofErr w:type="spellEnd"/>
      <w:r w:rsidRPr="00FD54EA">
        <w:rPr>
          <w:color w:val="000000" w:themeColor="text1"/>
        </w:rPr>
        <w:t xml:space="preserve"> model. In case of deforestation or conversion of other natural land or pastures, aboveground vegetation carbon is immediately released to the atmosphere. In case of re/afforestation or succession of natural vegetation, carbon is gradually sequestered based on an age-class growth model. Carbon emissions from the removal of aboveground vegetation are based on a carbon budget using carbon densities from the </w:t>
      </w:r>
      <w:proofErr w:type="spellStart"/>
      <w:r w:rsidRPr="00FD54EA">
        <w:rPr>
          <w:color w:val="000000" w:themeColor="text1"/>
        </w:rPr>
        <w:t>LPJmL</w:t>
      </w:r>
      <w:proofErr w:type="spellEnd"/>
      <w:r w:rsidRPr="00FD54EA">
        <w:rPr>
          <w:color w:val="000000" w:themeColor="text1"/>
        </w:rPr>
        <w:t xml:space="preserve"> model. Once forests or other land is deforested, the carbon is assumed to be instantly released into the air. A separate pool for carbon stored in harvested wood products is also used to account for long term carbon storage in wood which is not used as fuel</w:t>
      </w:r>
      <w:r w:rsidR="000B076D">
        <w:rPr>
          <w:color w:val="000000" w:themeColor="text1"/>
        </w:rPr>
        <w:fldChar w:fldCharType="begin"/>
      </w:r>
      <w:r w:rsidR="00A01D99">
        <w:rPr>
          <w:color w:val="000000" w:themeColor="text1"/>
        </w:rPr>
        <w:instrText xml:space="preserve"> ADDIN ZOTERO_ITEM CSL_CITATION {"citationID":"JqTAeC4t","properties":{"formattedCitation":"\\super 76,83\\nosupersub{}","plainCitation":"76,83","noteIndex":0},"citationItems":[{"id":8143,"uris":["http://zotero.org/users/694717/items/GNH9ERMS"],"itemData":{"id":8143,"type":"article-journal","abstract":"Out of 1150 Mha (million hectares) of forest designated primarily for production purposes in 2020, plantations accounted for 11 % (131 Mha) of this area and fulﬁlled more than 33 % of the global industrial roundwood demand. However, adding additional timber plantations to meet increasing timber demand intensiﬁes competition for scarce land resources between different land uses such as food, feed, livestock and timber production. Despite the signiﬁcance of plantations with respect to roundwood production, their importance in meeting the long-term timber demand and the implications of plantation expansion for overall land-use dynamics have not been studied in detail, in particular regarding the competition for land between agriculture and forestry in existing land-use models.","container-title":"Geoscientific Model Development","DOI":"10.5194/gmd-14-6467-2021","ISSN":"1991-9603","issue":"10","journalAbbreviation":"Geosci. Model Dev.","language":"en","page":"6467-6494","source":"DOI.org (Crossref)","title":"Estimating global land system impacts of timber plantations using MAgPIE 4.3.5","volume":"14","author":[{"family":"Mishra","given":"Abhijeet"},{"family":"Humpenöder","given":"Florian"},{"family":"Dietrich","given":"Jan Philipp"},{"family":"Bodirsky","given":"Benjamin Leon"},{"family":"Sohngen","given":"Brent"},{"family":"P. O. Reyer","given":"Christopher"},{"family":"Lotze-Campen","given":"Hermann"},{"family":"Popp","given":"Alexander"}],"issued":{"date-parts":[["2021",10,26]]}}},{"id":8882,"uris":["http://zotero.org/users/694717/items/KZESBMEL"],"itemData":{"id":8882,"type":"article-journal","abstract":"Using engineered wood for construction has been discussed for climate change mitigation. It remains unclear where and in which way the additional demand for wooden construction material shall be fulfilled. Here we assess the global and regional impacts of increased demand for engineered wood on land use and associated CO2 emissions until 2100 using an open-source land system model. We show that if 90% of the new urban population would be housed in newly built urban mid-rise buildings with wooden constructions, 106 Gt of additional CO2 could be saved by 2100. Forest plantations would need to expand by up to 149 Mha by 2100 and harvests from unprotected natural forests would increase. Our results indicate that expansion of timber plantations for wooden buildings is possible without major repercussions on agricultural production. Strong governance and careful planning are required to ensure a sustainable transition to timber cities even if frontier forests and biodiversity hotspots are protected.","container-title":"Nature Communications","DOI":"10.1038/s41467-022-32244-w","ISSN":"2041-1723","issue":"1","journalAbbreviation":"Nat Commun","language":"en","license":"2022 The Author(s)","note":"number: 1\npublisher: Nature Publishing Group","page":"4889","source":"www.nature.com","title":"Land use change and carbon emissions of a transformation to timber cities","volume":"13","author":[{"family":"Mishra","given":"Abhijeet"},{"family":"Humpenöder","given":"Florian"},{"family":"Churkina","given":"Galina"},{"family":"Reyer","given":"Christopher P. O."},{"family":"Beier","given":"Felicitas"},{"family":"Bodirsky","given":"Benjamin Leon"},{"family":"Schellnhuber","given":"Hans Joachim"},{"family":"Lotze-Campen","given":"Hermann"},{"family":"Popp","given":"Alexander"}],"issued":{"date-parts":[["2022",8,30]]}}}],"schema":"https://github.com/citation-style-language/schema/raw/master/csl-citation.json"} </w:instrText>
      </w:r>
      <w:r w:rsidR="000B076D">
        <w:rPr>
          <w:color w:val="000000" w:themeColor="text1"/>
        </w:rPr>
        <w:fldChar w:fldCharType="separate"/>
      </w:r>
      <w:r w:rsidR="00A01D99" w:rsidRPr="00A01D99">
        <w:rPr>
          <w:szCs w:val="24"/>
          <w:vertAlign w:val="superscript"/>
        </w:rPr>
        <w:t>76,83</w:t>
      </w:r>
      <w:r w:rsidR="000B076D">
        <w:rPr>
          <w:color w:val="000000" w:themeColor="text1"/>
        </w:rPr>
        <w:fldChar w:fldCharType="end"/>
      </w:r>
      <w:r w:rsidRPr="00FD54EA">
        <w:rPr>
          <w:color w:val="000000" w:themeColor="text1"/>
        </w:rPr>
        <w:t>. Nitrogen and methane emissions from forest and savanna fires</w:t>
      </w:r>
      <w:r w:rsidR="000B076D">
        <w:rPr>
          <w:color w:val="000000" w:themeColor="text1"/>
        </w:rPr>
        <w:fldChar w:fldCharType="begin"/>
      </w:r>
      <w:r w:rsidR="00A01D99">
        <w:rPr>
          <w:color w:val="000000" w:themeColor="text1"/>
        </w:rPr>
        <w:instrText xml:space="preserve"> ADDIN ZOTERO_ITEM CSL_CITATION {"citationID":"k6nltKNu","properties":{"formattedCitation":"\\super 139\\nosupersub{}","plainCitation":"139","noteIndex":0},"citationItems":[{"id":6903,"uris":["http://zotero.org/users/694717/items/2PA6XCSF"],"itemData":{"id":6903,"type":"report","abstract":"Global anthropogenic emission inventories remain vital for understanding the fate and transport of atmospheric pollution, as well as the resulting impacts on the environment, human health, and society. Rapid changes in today’s society require that these inventories provide contemporary estimates of multiple atmospheric pollutants with both source sector and fuel-type information to understand and effectively mitigate future impacts. To fill this need, we have updated the open-source 25 Community Emissions Data System (CEDS) (Hoesly et al., 2019) to develop a new global emission inventory, CEDSGBD-MAPS. This inventory includes emissions of seven key atmospheric pollutants (NOx, CO, SO2, NH3, NMVOCs, BC, OC) over the time period from 1970 – 2017 and reports annual country-total emissions as a function of 11 anthropogenic sectors (agriculture, energy generation, industrial processes, transportation (on-road and non-road), residential, commercial, and other sectors (RCO), waste, solvent use, and international-shipping) and four fuel categories (total coal, solid biofuel, and the sum of liquid 30 fuels and natural gas combustion, plus remaining process-level emissions). The CEDSGBD-MAPS inventory additionally includes global gridded (0.5</w:instrText>
      </w:r>
      <w:r w:rsidR="00A01D99">
        <w:rPr>
          <w:color w:val="000000" w:themeColor="text1"/>
        </w:rPr>
        <w:instrText></w:instrText>
      </w:r>
      <w:r w:rsidR="00A01D99">
        <w:rPr>
          <w:color w:val="000000" w:themeColor="text1"/>
        </w:rPr>
        <w:instrText>0.5</w:instrText>
      </w:r>
      <w:r w:rsidR="00A01D99">
        <w:rPr>
          <w:color w:val="000000" w:themeColor="text1"/>
        </w:rPr>
        <w:instrText xml:space="preserve">) emission fluxes with monthly time resolution for each compound, sector, and fuel-type to facilitate their use in earth system models. CEDSGBD-MAPS utilizes updated activity data, updates to the core CEDS default calibration procedure, and modifications to the final procedures for emissions gridding and aggregation to retain sector and fuel-specific information. Relative to the previous CEDS data released for CMIP6 (Hoesly et al., 2018), these updates extend the emission 35 estimates from 2014 to 2017 and improve the overall agreement between CEDS and two widely used global bottom-up emission inventories. The CEDSGBD-MAPS inventory provides the most contemporary global emission estimates to-date for these key atmospheric pollutants and is the first to provide global estimates for these species as a function of multiple fueltypes across multiple source sectors. Dominant sources of global NOx and SO2 emissions in 2017 include the combustion of oil, gas, and coal in the energy and industry sectors, as well as on-road transportation and international shipping for NOx. 40 Dominant sources of global CO emissions in 2017 include on-road transportation and residential biofuel combustion. Dominant global sources of carbonaceous aerosol in 2017 include residential biofuel combustion, on-road transportation (BC only), as well as emissions from waste. Global emissions of NOx, SO2, CO, BC, and OC all peak in 2012 or earlier, with more recent emission reductions driven by large changes in emissions from China, North America, and Europe. In contrast, global emissions of NH3 and NMVOCs continuously increase between 1970 and 2017, with agriculture serving as a major source of 45 global NH3 emissions and solvent use, energy, residential, and the on-road transport sectors as major sources of global NMVOCs. Due to similar development methods and underlying datasets, the CEDSGBD-MAPS emissions are expected to have consistent sources of uncertainty as other bottom-up inventories, including uncertainties in the underlying activity data and sector- and region-specific emission factors. The CEDSGBD-MAPS source code is publicly available online through GitHub: https://github.com/emcduffie/CEDS/tree/CEDS_GBD-MAPS. The CEDSGBD-MAPS emission inventory dataset (both annual 50 country-total and global gridded files) is publicly available and registered under: https://doi.org/10.5281/zenodo.3754964 (McDuffie et al., 2020c).","genre":"preprint","language":"en","note":"DOI: 10.5194/essd-2020-103","publisher":"Antroposhere - Energy and Emissions","source":"DOI.org (Crossref)","title":"A global anthropogenic emission inventory of atmospheric pollutants from sector- and fuel-specific sources (1970–2017): An application of the Community Emissions Data System (CEDS)","title-short":"A global anthropogenic emission inventory of atmospheric pollutants from sector- and fuel-specific sources (1970–2017)","URL":"https://essd.copernicus.org/preprints/essd-2020-103/essd-2020-103.pdf","author":[{"family":"McDuffie","given":"Erin E."},{"family":"Smith","given":"Steven J."},{"family":"O'Rourke","given":"Patrick"},{"family":"Tibrewal","given":"Kushal"},{"family":"Venkataraman","given":"Chandra"},{"family":"Marais","given":"Eloise A."},{"family":"Zheng","given":"Bo"},{"family":"Crippa","given":"Monica"},{"family":"Brauer","given":"Michael"},{"family":"Martin","given":"Randall V."}],"accessed":{"date-parts":[["2020",12,16]]},"issued":{"date-parts":[["2020",6,3]]}}}],"schema":"https://github.com/citation-style-language/schema/raw/master/csl-citation.json"} </w:instrText>
      </w:r>
      <w:r w:rsidR="000B076D">
        <w:rPr>
          <w:color w:val="000000" w:themeColor="text1"/>
        </w:rPr>
        <w:fldChar w:fldCharType="separate"/>
      </w:r>
      <w:r w:rsidR="00A01D99" w:rsidRPr="00A01D99">
        <w:rPr>
          <w:szCs w:val="24"/>
          <w:vertAlign w:val="superscript"/>
        </w:rPr>
        <w:t>139</w:t>
      </w:r>
      <w:r w:rsidR="000B076D">
        <w:rPr>
          <w:color w:val="000000" w:themeColor="text1"/>
        </w:rPr>
        <w:fldChar w:fldCharType="end"/>
      </w:r>
      <w:r w:rsidRPr="00FD54EA">
        <w:rPr>
          <w:color w:val="000000" w:themeColor="text1"/>
        </w:rPr>
        <w:t xml:space="preserve"> are not accounted for in </w:t>
      </w:r>
      <w:proofErr w:type="spellStart"/>
      <w:r w:rsidRPr="00FD54EA">
        <w:rPr>
          <w:color w:val="000000" w:themeColor="text1"/>
        </w:rPr>
        <w:t>MAgPIE</w:t>
      </w:r>
      <w:proofErr w:type="spellEnd"/>
      <w:r w:rsidRPr="00FD54EA">
        <w:rPr>
          <w:color w:val="000000" w:themeColor="text1"/>
        </w:rPr>
        <w:t>.</w:t>
      </w:r>
    </w:p>
    <w:p w14:paraId="1BD41EA1" w14:textId="77777777" w:rsidR="00BE09F0" w:rsidRPr="00FD54EA" w:rsidRDefault="00BE09F0">
      <w:pPr>
        <w:rPr>
          <w:color w:val="000000" w:themeColor="text1"/>
        </w:rPr>
      </w:pPr>
    </w:p>
    <w:p w14:paraId="33A7C9DA" w14:textId="1E796751" w:rsidR="00BE09F0" w:rsidRPr="00FD54EA" w:rsidRDefault="00FD54EA">
      <w:pPr>
        <w:rPr>
          <w:color w:val="000000" w:themeColor="text1"/>
        </w:rPr>
      </w:pPr>
      <w:r w:rsidRPr="00FD54EA">
        <w:rPr>
          <w:color w:val="000000" w:themeColor="text1"/>
        </w:rPr>
        <w:t>Soil carbon emissions from converting land into croplands are estimated using the IPCC 2019 guidelines for national GHG inventories</w:t>
      </w:r>
      <w:r w:rsidR="000B076D">
        <w:rPr>
          <w:color w:val="000000" w:themeColor="text1"/>
        </w:rPr>
        <w:fldChar w:fldCharType="begin"/>
      </w:r>
      <w:r w:rsidR="00A01D99">
        <w:rPr>
          <w:color w:val="000000" w:themeColor="text1"/>
        </w:rPr>
        <w:instrText xml:space="preserve"> ADDIN ZOTERO_ITEM CSL_CITATION {"citationID":"1lYKRzeQ","properties":{"formattedCitation":"\\super 133\\nosupersub{}","plainCitation":"133","noteIndex":0},"citationItems":[{"id":6929,"uris":["http://zotero.org/users/694717/items/2HC9XSUP"],"itemData":{"id":6929,"type":"report","title":"2019 Refinement to the 2006 IPCC Guidelines for National Greenhouse Gas Inventories","URL":"https://www.ipcc.ch/report/2019-refinement-to-the-2006-ipcc-guidelines-for-national-greenhouse-gas-inventories/","author":[{"literal":"IPCC"}],"accessed":{"date-parts":[["2020",12,21]]},"issued":{"date-parts":[["2019"]]}}}],"schema":"https://github.com/citation-style-language/schema/raw/master/csl-citation.json"} </w:instrText>
      </w:r>
      <w:r w:rsidR="000B076D">
        <w:rPr>
          <w:color w:val="000000" w:themeColor="text1"/>
        </w:rPr>
        <w:fldChar w:fldCharType="separate"/>
      </w:r>
      <w:r w:rsidR="00A01D99" w:rsidRPr="00A01D99">
        <w:rPr>
          <w:szCs w:val="24"/>
          <w:vertAlign w:val="superscript"/>
        </w:rPr>
        <w:t>133</w:t>
      </w:r>
      <w:r w:rsidR="000B076D">
        <w:rPr>
          <w:color w:val="000000" w:themeColor="text1"/>
        </w:rPr>
        <w:fldChar w:fldCharType="end"/>
      </w:r>
      <w:r w:rsidRPr="00FD54EA">
        <w:rPr>
          <w:color w:val="000000" w:themeColor="text1"/>
        </w:rPr>
        <w:t xml:space="preserve">. They derive long-term equilibrium values for different climates, land types and management regimes. The estimation of long-term soil equilibria requires a reference soil carbon stock under natural vegetation, which we derive using the </w:t>
      </w:r>
      <w:proofErr w:type="spellStart"/>
      <w:r w:rsidRPr="00FD54EA">
        <w:rPr>
          <w:color w:val="000000" w:themeColor="text1"/>
        </w:rPr>
        <w:t>LPJmL</w:t>
      </w:r>
      <w:proofErr w:type="spellEnd"/>
      <w:r w:rsidRPr="00FD54EA">
        <w:rPr>
          <w:color w:val="000000" w:themeColor="text1"/>
        </w:rPr>
        <w:t xml:space="preserve"> model. Next, we apply modifiers of carbon densities in the first 30cm of the soil profile</w:t>
      </w:r>
      <w:r w:rsidR="000B076D">
        <w:rPr>
          <w:color w:val="000000" w:themeColor="text1"/>
        </w:rPr>
        <w:fldChar w:fldCharType="begin"/>
      </w:r>
      <w:r w:rsidR="00A01D99">
        <w:rPr>
          <w:color w:val="000000" w:themeColor="text1"/>
        </w:rPr>
        <w:instrText xml:space="preserve"> ADDIN ZOTERO_ITEM CSL_CITATION {"citationID":"VfT5AAft","properties":{"formattedCitation":"\\super 133\\nosupersub{}","plainCitation":"133","noteIndex":0},"citationItems":[{"id":6929,"uris":["http://zotero.org/users/694717/items/2HC9XSUP"],"itemData":{"id":6929,"type":"report","title":"2019 Refinement to the 2006 IPCC Guidelines for National Greenhouse Gas Inventories","URL":"https://www.ipcc.ch/report/2019-refinement-to-the-2006-ipcc-guidelines-for-national-greenhouse-gas-inventories/","author":[{"literal":"IPCC"}],"accessed":{"date-parts":[["2020",12,21]]},"issued":{"date-parts":[["2019"]]}}}],"schema":"https://github.com/citation-style-language/schema/raw/master/csl-citation.json"} </w:instrText>
      </w:r>
      <w:r w:rsidR="000B076D">
        <w:rPr>
          <w:color w:val="000000" w:themeColor="text1"/>
        </w:rPr>
        <w:fldChar w:fldCharType="separate"/>
      </w:r>
      <w:r w:rsidR="00A01D99" w:rsidRPr="00A01D99">
        <w:rPr>
          <w:szCs w:val="24"/>
          <w:vertAlign w:val="superscript"/>
        </w:rPr>
        <w:t>133</w:t>
      </w:r>
      <w:r w:rsidR="000B076D">
        <w:rPr>
          <w:color w:val="000000" w:themeColor="text1"/>
        </w:rPr>
        <w:fldChar w:fldCharType="end"/>
      </w:r>
      <w:r w:rsidRPr="00FD54EA">
        <w:rPr>
          <w:color w:val="000000" w:themeColor="text1"/>
        </w:rPr>
        <w:t xml:space="preserve"> based on </w:t>
      </w:r>
      <w:proofErr w:type="spellStart"/>
      <w:r w:rsidRPr="00FD54EA">
        <w:rPr>
          <w:color w:val="000000" w:themeColor="text1"/>
        </w:rPr>
        <w:t>landuse</w:t>
      </w:r>
      <w:proofErr w:type="spellEnd"/>
      <w:r w:rsidRPr="00FD54EA">
        <w:rPr>
          <w:color w:val="000000" w:themeColor="text1"/>
        </w:rPr>
        <w:t xml:space="preserve"> type (perennials, annual crops, paddy rice and fallow), tillage, and the quantity of inputs which are all climate-dependent. Climate classes are derived using the </w:t>
      </w:r>
      <w:proofErr w:type="spellStart"/>
      <w:r w:rsidRPr="00FD54EA">
        <w:rPr>
          <w:color w:val="000000" w:themeColor="text1"/>
        </w:rPr>
        <w:t>Koeppen</w:t>
      </w:r>
      <w:proofErr w:type="spellEnd"/>
      <w:r w:rsidRPr="00FD54EA">
        <w:rPr>
          <w:color w:val="000000" w:themeColor="text1"/>
        </w:rPr>
        <w:t>-Geiger zones. For tillage and inputs, we use the default values for each climate class due to lack of data. For the “</w:t>
      </w:r>
      <w:proofErr w:type="spellStart"/>
      <w:r w:rsidRPr="00FD54EA">
        <w:rPr>
          <w:color w:val="000000" w:themeColor="text1"/>
        </w:rPr>
        <w:t>landuse</w:t>
      </w:r>
      <w:proofErr w:type="spellEnd"/>
      <w:r w:rsidRPr="00FD54EA">
        <w:rPr>
          <w:color w:val="000000" w:themeColor="text1"/>
        </w:rPr>
        <w:t xml:space="preserve"> type”, we </w:t>
      </w:r>
      <w:proofErr w:type="gramStart"/>
      <w:r w:rsidRPr="00FD54EA">
        <w:rPr>
          <w:color w:val="000000" w:themeColor="text1"/>
        </w:rPr>
        <w:t>take into account</w:t>
      </w:r>
      <w:proofErr w:type="gramEnd"/>
      <w:r w:rsidRPr="00FD54EA">
        <w:rPr>
          <w:color w:val="000000" w:themeColor="text1"/>
        </w:rPr>
        <w:t xml:space="preserve"> that perennial crops, irrigated land and rice paddies have a higher soil carbon. As the loss and build-up of soil organic matter requires time, we assume that every year 15% of the difference between current carbon stocks and the long-term equilibrium values are built up, which results in a 96% closure within the 20 year period suggested to use by</w:t>
      </w:r>
      <w:r w:rsidR="000B076D">
        <w:rPr>
          <w:color w:val="000000" w:themeColor="text1"/>
        </w:rPr>
        <w:t xml:space="preserve"> the</w:t>
      </w:r>
      <w:r w:rsidRPr="00FD54EA">
        <w:rPr>
          <w:color w:val="000000" w:themeColor="text1"/>
        </w:rPr>
        <w:t xml:space="preserve"> </w:t>
      </w:r>
      <w:r w:rsidRPr="00FD54EA">
        <w:rPr>
          <w:i/>
          <w:color w:val="000000" w:themeColor="text1"/>
        </w:rPr>
        <w:t>IPCC</w:t>
      </w:r>
      <w:r w:rsidR="000B076D">
        <w:rPr>
          <w:color w:val="000000" w:themeColor="text1"/>
        </w:rPr>
        <w:fldChar w:fldCharType="begin"/>
      </w:r>
      <w:r w:rsidR="00A01D99">
        <w:rPr>
          <w:color w:val="000000" w:themeColor="text1"/>
        </w:rPr>
        <w:instrText xml:space="preserve"> ADDIN ZOTERO_ITEM CSL_CITATION {"citationID":"LWWb0LS6","properties":{"formattedCitation":"\\super 133\\nosupersub{}","plainCitation":"133","noteIndex":0},"citationItems":[{"id":6929,"uris":["http://zotero.org/users/694717/items/2HC9XSUP"],"itemData":{"id":6929,"type":"report","title":"2019 Refinement to the 2006 IPCC Guidelines for National Greenhouse Gas Inventories","URL":"https://www.ipcc.ch/report/2019-refinement-to-the-2006-ipcc-guidelines-for-national-greenhouse-gas-inventories/","author":[{"literal":"IPCC"}],"accessed":{"date-parts":[["2020",12,21]]},"issued":{"date-parts":[["2019"]]}}}],"schema":"https://github.com/citation-style-language/schema/raw/master/csl-citation.json"} </w:instrText>
      </w:r>
      <w:r w:rsidR="000B076D">
        <w:rPr>
          <w:color w:val="000000" w:themeColor="text1"/>
        </w:rPr>
        <w:fldChar w:fldCharType="separate"/>
      </w:r>
      <w:r w:rsidR="00A01D99" w:rsidRPr="00A01D99">
        <w:rPr>
          <w:szCs w:val="24"/>
          <w:vertAlign w:val="superscript"/>
        </w:rPr>
        <w:t>133</w:t>
      </w:r>
      <w:r w:rsidR="000B076D">
        <w:rPr>
          <w:color w:val="000000" w:themeColor="text1"/>
        </w:rPr>
        <w:fldChar w:fldCharType="end"/>
      </w:r>
      <w:r w:rsidRPr="00FD54EA">
        <w:rPr>
          <w:color w:val="000000" w:themeColor="text1"/>
        </w:rPr>
        <w:t>. Based on a fixed C:N ratio, the depletion of soil organic matter also releases Nr that fertilizes crops for the nitrogen budget, a dynamic that is used e.g. in shifting cultivation systems.</w:t>
      </w:r>
    </w:p>
    <w:p w14:paraId="46F76EFC" w14:textId="77777777" w:rsidR="00BE09F0" w:rsidRPr="00FD54EA" w:rsidRDefault="00BE09F0">
      <w:pPr>
        <w:rPr>
          <w:color w:val="000000" w:themeColor="text1"/>
        </w:rPr>
      </w:pPr>
    </w:p>
    <w:p w14:paraId="1D699BA1" w14:textId="5A701867" w:rsidR="00BE09F0" w:rsidRPr="00FD54EA" w:rsidRDefault="00FD54EA">
      <w:pPr>
        <w:rPr>
          <w:color w:val="000000" w:themeColor="text1"/>
        </w:rPr>
      </w:pPr>
      <w:r w:rsidRPr="00FD54EA">
        <w:rPr>
          <w:color w:val="000000" w:themeColor="text1"/>
        </w:rPr>
        <w:lastRenderedPageBreak/>
        <w:t>GHG emissions from drained peatlands are estimated based on IPCC wetland GHG emission factors and a map of drained peatlands</w:t>
      </w:r>
      <w:r w:rsidR="000B076D">
        <w:rPr>
          <w:color w:val="000000" w:themeColor="text1"/>
        </w:rPr>
        <w:fldChar w:fldCharType="begin"/>
      </w:r>
      <w:r w:rsidR="009E54D2">
        <w:rPr>
          <w:color w:val="000000" w:themeColor="text1"/>
        </w:rPr>
        <w:instrText xml:space="preserve"> ADDIN ZOTERO_ITEM CSL_CITATION {"citationID":"OUgTnXL7","properties":{"formattedCitation":"\\super 65\\nosupersub{}","plainCitation":"65","noteIndex":0},"citationItems":[{"id":6747,"uris":["http://zotero.org/users/694717/items/IMDJ9I4K"],"itemData":{"id":6747,"type":"article-journal","abstract":"Peatlands cover only about 3% the global land area, but store about twice as much carbon as global forest biomass. If intact peatlands are drained for agriculture or other human uses, peat oxidation can result in considerable CO2 emissions and other greenhouse gases (GHG) for decades or even centuries. Despite their importance, emissions from degraded peatlands have so far not been included explicitly in mitigation pathways compatible with the Paris Agreement. Such pathways include land-demanding mitigation options like bioenergy or afforestation with substantial consequences for the land system. Therefore, besides GHG emissions owing to the historic conversion of intact peatlands, the increased demand for land in current mitigation pathways could result in drainage of presently intact peatlands, e.g. for bioenergy production. Here, we present the first quantitative model-based projections of future peatland dynamics and associated GHG emissions in the context of a 2 °C mitigation pathway. Our spatially explicit land-use modelling approach with global coverage simultaneously accounts for future food demand, based on population and income projections, and land-based mitigation measures. Without dedicated peatland policy and even in the case of peatland protection, our results indicate that the land system would remain a net source of CO2 throughout the 21st century. This result is in contrast to the outcome of current mitigation pathways, in which the land system turns into a net carbon sink by 2100. However, our results indicate that it is possible to reconcile land use and GHG emissions in mitigation pathways through a peatland protection and restoration policy. According to our results, the land system would turn into a global net carbon sink by 2100, as projected by current mitigation pathways, if about 60% of present-day degraded peatlands would be rewetted in the coming decades, next to the protection of intact peatlands.","container-title":"Environmental Research Letters","DOI":"10.1088/1748-9326/abae2a","ISSN":"1748-9326","issue":"10","journalAbbreviation":"Environ. Res. Lett.","language":"en","note":"publisher: IOP Publishing","page":"104093","source":"Institute of Physics","title":"Peatland protection and restoration are key for climate change mitigation","volume":"15","author":[{"family":"Humpenöder","given":"Florian"},{"family":"Karstens","given":"Kristine"},{"family":"Lotze-Campen","given":"Hermann"},{"family":"Leifeld","given":"Jens"},{"family":"Menichetti","given":"Lorenzo"},{"family":"Barthelmes","given":"Alexandra"},{"family":"Popp","given":"Alexander"}],"issued":{"date-parts":[["2020",10]]}}}],"schema":"https://github.com/citation-style-language/schema/raw/master/csl-citation.json"} </w:instrText>
      </w:r>
      <w:r w:rsidR="000B076D">
        <w:rPr>
          <w:color w:val="000000" w:themeColor="text1"/>
        </w:rPr>
        <w:fldChar w:fldCharType="separate"/>
      </w:r>
      <w:r w:rsidR="009E54D2" w:rsidRPr="009E54D2">
        <w:rPr>
          <w:szCs w:val="24"/>
          <w:vertAlign w:val="superscript"/>
        </w:rPr>
        <w:t>65</w:t>
      </w:r>
      <w:r w:rsidR="000B076D">
        <w:rPr>
          <w:color w:val="000000" w:themeColor="text1"/>
        </w:rPr>
        <w:fldChar w:fldCharType="end"/>
      </w:r>
      <w:r w:rsidRPr="00FD54EA">
        <w:rPr>
          <w:color w:val="000000" w:themeColor="text1"/>
        </w:rPr>
        <w:t>. CO</w:t>
      </w:r>
      <w:r w:rsidRPr="00FD54EA">
        <w:rPr>
          <w:color w:val="000000" w:themeColor="text1"/>
          <w:vertAlign w:val="subscript"/>
        </w:rPr>
        <w:t>2</w:t>
      </w:r>
      <w:r w:rsidRPr="00FD54EA">
        <w:rPr>
          <w:color w:val="000000" w:themeColor="text1"/>
        </w:rPr>
        <w:t xml:space="preserve"> from degrading peat is by far the most important GHG from drained peatlands. Future drainage of intact peatland is linked to the expansion of managed land (cropland, pasture, forestry). Likewise, the rewetting of drained peatlands requires that managed land is retired. Rewetted peatlands have considerably lower CO</w:t>
      </w:r>
      <w:r w:rsidRPr="00FD54EA">
        <w:rPr>
          <w:color w:val="000000" w:themeColor="text1"/>
          <w:vertAlign w:val="subscript"/>
        </w:rPr>
        <w:t>2</w:t>
      </w:r>
      <w:r w:rsidRPr="00FD54EA">
        <w:rPr>
          <w:color w:val="000000" w:themeColor="text1"/>
        </w:rPr>
        <w:t xml:space="preserve"> emissions than drained peatlands. While CH</w:t>
      </w:r>
      <w:r w:rsidRPr="00FD54EA">
        <w:rPr>
          <w:color w:val="000000" w:themeColor="text1"/>
          <w:vertAlign w:val="subscript"/>
        </w:rPr>
        <w:t>4</w:t>
      </w:r>
      <w:r w:rsidRPr="00FD54EA">
        <w:rPr>
          <w:color w:val="000000" w:themeColor="text1"/>
        </w:rPr>
        <w:t xml:space="preserve"> emissions due to anaerobic conditions are higher in rewetted compared to drained peatlands, the net effect of peatland rewetting is a reduction of GHG emissions</w:t>
      </w:r>
      <w:r w:rsidR="00E25F4A">
        <w:rPr>
          <w:color w:val="000000" w:themeColor="text1"/>
        </w:rPr>
        <w:fldChar w:fldCharType="begin"/>
      </w:r>
      <w:r w:rsidR="00A01D99">
        <w:rPr>
          <w:color w:val="000000" w:themeColor="text1"/>
        </w:rPr>
        <w:instrText xml:space="preserve"> ADDIN ZOTERO_ITEM CSL_CITATION {"citationID":"CRbxUnws","properties":{"formattedCitation":"\\super 140\\nosupersub{}","plainCitation":"140","noteIndex":0},"citationItems":[{"id":9344,"uris":["http://zotero.org/users/694717/items/G93MICFM"],"itemData":{"id":9344,"type":"article-journal","abstract":"Peatlands are strategic areas for climate change mitigation because of their matchless carbon stocks. Drained peatlands release this carbon to the atmosphere as carbon dioxide (CO2). Peatland rewetting effectively stops these CO2 emissions, but also re-establishes the emission of methane (CH4). Essentially, management must choose between CO2 emissions from drained, or CH4 emissions from rewetted, peatland. This choice must consider radiative effects and atmospheric lifetimes of both gases, with CO2 being a weak but persistent, and CH4 a strong but short-lived, greenhouse gas. The resulting climatic effects are, thus, strongly time-dependent. We used a radiative forcing model to compare forcing dynamics of global scenarios for future peatland management using areal data from the Global Peatland Database. Our results show that CH4 radiative forcing does not undermine the climate change mitigation potential of peatland rewetting. Instead, postponing rewetting increases the long-term warming effect through continued CO2 emissions.","container-title":"Nature Communications","DOI":"10.1038/s41467-020-15499-z","ISSN":"2041-1723","issue":"1","journalAbbreviation":"Nat Commun","language":"en","license":"2020 The Author(s)","note":"number: 1\npublisher: Nature Publishing Group","page":"1644","source":"www.nature.com","title":"Prompt rewetting of drained peatlands reduces climate warming despite methane emissions","volume":"11","author":[{"family":"Günther","given":"Anke"},{"family":"Barthelmes","given":"Alexandra"},{"family":"Huth","given":"Vytas"},{"family":"Joosten","given":"Hans"},{"family":"Jurasinski","given":"Gerald"},{"family":"Koebsch","given":"Franziska"},{"family":"Couwenberg","given":"John"}],"issued":{"date-parts":[["2020",4,2]]}}}],"schema":"https://github.com/citation-style-language/schema/raw/master/csl-citation.json"} </w:instrText>
      </w:r>
      <w:r w:rsidR="00E25F4A">
        <w:rPr>
          <w:color w:val="000000" w:themeColor="text1"/>
        </w:rPr>
        <w:fldChar w:fldCharType="separate"/>
      </w:r>
      <w:r w:rsidR="00A01D99" w:rsidRPr="00A01D99">
        <w:rPr>
          <w:szCs w:val="24"/>
          <w:vertAlign w:val="superscript"/>
        </w:rPr>
        <w:t>140</w:t>
      </w:r>
      <w:r w:rsidR="00E25F4A">
        <w:rPr>
          <w:color w:val="000000" w:themeColor="text1"/>
        </w:rPr>
        <w:fldChar w:fldCharType="end"/>
      </w:r>
      <w:r w:rsidRPr="00FD54EA">
        <w:rPr>
          <w:color w:val="000000" w:themeColor="text1"/>
        </w:rPr>
        <w:t xml:space="preserve">. </w:t>
      </w:r>
    </w:p>
    <w:p w14:paraId="77844068" w14:textId="77777777" w:rsidR="00BE09F0" w:rsidRPr="00FD54EA" w:rsidRDefault="00BE09F0">
      <w:pPr>
        <w:rPr>
          <w:color w:val="000000" w:themeColor="text1"/>
        </w:rPr>
      </w:pPr>
    </w:p>
    <w:p w14:paraId="27A7DC94" w14:textId="0B8DE305" w:rsidR="00BE09F0" w:rsidRPr="00FD54EA" w:rsidRDefault="00FD54EA">
      <w:pPr>
        <w:rPr>
          <w:color w:val="000000" w:themeColor="text1"/>
        </w:rPr>
      </w:pPr>
      <w:r w:rsidRPr="00FD54EA">
        <w:rPr>
          <w:color w:val="000000" w:themeColor="text1"/>
        </w:rPr>
        <w:t xml:space="preserve">In the FSMs </w:t>
      </w:r>
      <w:r w:rsidRPr="00FD54EA">
        <w:rPr>
          <w:i/>
          <w:color w:val="000000" w:themeColor="text1"/>
        </w:rPr>
        <w:t>REDD</w:t>
      </w:r>
      <w:proofErr w:type="gramStart"/>
      <w:r w:rsidRPr="00FD54EA">
        <w:rPr>
          <w:i/>
          <w:color w:val="000000" w:themeColor="text1"/>
        </w:rPr>
        <w:t>+</w:t>
      </w:r>
      <w:r w:rsidRPr="00FD54EA">
        <w:rPr>
          <w:color w:val="000000" w:themeColor="text1"/>
        </w:rPr>
        <w:t xml:space="preserve"> ,</w:t>
      </w:r>
      <w:proofErr w:type="gramEnd"/>
      <w:r w:rsidRPr="00FD54EA">
        <w:rPr>
          <w:color w:val="000000" w:themeColor="text1"/>
        </w:rPr>
        <w:t xml:space="preserve"> </w:t>
      </w:r>
      <w:proofErr w:type="spellStart"/>
      <w:r w:rsidRPr="00FD54EA">
        <w:rPr>
          <w:i/>
          <w:color w:val="000000" w:themeColor="text1"/>
        </w:rPr>
        <w:t>PeatlandRewetting</w:t>
      </w:r>
      <w:proofErr w:type="spellEnd"/>
      <w:r w:rsidRPr="00FD54EA">
        <w:rPr>
          <w:color w:val="000000" w:themeColor="text1"/>
        </w:rPr>
        <w:t xml:space="preserve"> and </w:t>
      </w:r>
      <w:proofErr w:type="spellStart"/>
      <w:r w:rsidRPr="00FD54EA">
        <w:rPr>
          <w:i/>
          <w:color w:val="000000" w:themeColor="text1"/>
        </w:rPr>
        <w:t>SoilCarbon</w:t>
      </w:r>
      <w:proofErr w:type="spellEnd"/>
      <w:r w:rsidRPr="00FD54EA">
        <w:rPr>
          <w:color w:val="000000" w:themeColor="text1"/>
        </w:rPr>
        <w:t>, a carbon price is included to disincentivize CO</w:t>
      </w:r>
      <w:r w:rsidRPr="00FD54EA">
        <w:rPr>
          <w:color w:val="000000" w:themeColor="text1"/>
          <w:vertAlign w:val="subscript"/>
        </w:rPr>
        <w:t>2</w:t>
      </w:r>
      <w:r w:rsidRPr="00FD54EA">
        <w:rPr>
          <w:color w:val="000000" w:themeColor="text1"/>
        </w:rPr>
        <w:t xml:space="preserve"> emissions from land-use change, and to incentivize re/afforestation or peatland rewetting, either targeting above-ground or below-ground carbon pools. Re/afforestation is incentivized via a reward on expected, discounted future carbon sequestration</w:t>
      </w:r>
      <w:r w:rsidR="00E25F4A">
        <w:rPr>
          <w:color w:val="000000" w:themeColor="text1"/>
        </w:rPr>
        <w:fldChar w:fldCharType="begin"/>
      </w:r>
      <w:r w:rsidR="009E54D2">
        <w:rPr>
          <w:color w:val="000000" w:themeColor="text1"/>
        </w:rPr>
        <w:instrText xml:space="preserve"> ADDIN ZOTERO_ITEM CSL_CITATION {"citationID":"PED1nMAk","properties":{"formattedCitation":"\\super 62\\nosupersub{}","plainCitation":"62","noteIndex":0},"citationItems":[{"id":2581,"uris":["http://zotero.org/users/694717/items/8MM647IK"],"itemData":{"id":2581,"type":"article-journal","container-title":"Environmental Research Letters","DOI":"10.1088/1748-9326/9/6/064029","ISSN":"1748-9326","issue":"6","page":"064029","source":"CrossRef","title":"Investigating afforestation and bioenergy CCS as climate change mitigation strategies","volume":"9","author":[{"family":"Humpenöder","given":"Florian"},{"family":"Popp","given":"Alexander"},{"family":"Dietrich","given":"Jan Philip"},{"family":"Klein","given":"David"},{"family":"Lotze-Campen","given":"Hermann"},{"family":"Bonsch","given":"Markus"},{"family":"Bodirsky","given":"Benjamin Leon"},{"family":"Weindl","given":"Isabelle"},{"family":"Stevanovic","given":"Miodrag"},{"family":"Müller","given":"Christoph"}],"issued":{"date-parts":[["2014",5,1]]}}}],"schema":"https://github.com/citation-style-language/schema/raw/master/csl-citation.json"} </w:instrText>
      </w:r>
      <w:r w:rsidR="00E25F4A">
        <w:rPr>
          <w:color w:val="000000" w:themeColor="text1"/>
        </w:rPr>
        <w:fldChar w:fldCharType="separate"/>
      </w:r>
      <w:r w:rsidR="009E54D2" w:rsidRPr="009E54D2">
        <w:rPr>
          <w:szCs w:val="24"/>
          <w:vertAlign w:val="superscript"/>
        </w:rPr>
        <w:t>62</w:t>
      </w:r>
      <w:r w:rsidR="00E25F4A">
        <w:rPr>
          <w:color w:val="000000" w:themeColor="text1"/>
        </w:rPr>
        <w:fldChar w:fldCharType="end"/>
      </w:r>
      <w:r w:rsidRPr="00FD54EA">
        <w:rPr>
          <w:color w:val="000000" w:themeColor="text1"/>
        </w:rPr>
        <w:t>. For wetlands, also methane and nitrous oxide emissions are priced, adapting the CO</w:t>
      </w:r>
      <w:r w:rsidRPr="00FD54EA">
        <w:rPr>
          <w:color w:val="000000" w:themeColor="text1"/>
          <w:vertAlign w:val="subscript"/>
        </w:rPr>
        <w:t>2</w:t>
      </w:r>
      <w:r w:rsidRPr="00FD54EA">
        <w:rPr>
          <w:color w:val="000000" w:themeColor="text1"/>
        </w:rPr>
        <w:t xml:space="preserve"> price via the GWP100</w:t>
      </w:r>
      <w:r w:rsidR="000B076D">
        <w:rPr>
          <w:color w:val="000000" w:themeColor="text1"/>
        </w:rPr>
        <w:fldChar w:fldCharType="begin"/>
      </w:r>
      <w:r w:rsidR="009E54D2">
        <w:rPr>
          <w:color w:val="000000" w:themeColor="text1"/>
        </w:rPr>
        <w:instrText xml:space="preserve"> ADDIN ZOTERO_ITEM CSL_CITATION {"citationID":"9VPNyurK","properties":{"formattedCitation":"\\super 65\\nosupersub{}","plainCitation":"65","noteIndex":0},"citationItems":[{"id":6747,"uris":["http://zotero.org/users/694717/items/IMDJ9I4K"],"itemData":{"id":6747,"type":"article-journal","abstract":"Peatlands cover only about 3% the global land area, but store about twice as much carbon as global forest biomass. If intact peatlands are drained for agriculture or other human uses, peat oxidation can result in considerable CO2 emissions and other greenhouse gases (GHG) for decades or even centuries. Despite their importance, emissions from degraded peatlands have so far not been included explicitly in mitigation pathways compatible with the Paris Agreement. Such pathways include land-demanding mitigation options like bioenergy or afforestation with substantial consequences for the land system. Therefore, besides GHG emissions owing to the historic conversion of intact peatlands, the increased demand for land in current mitigation pathways could result in drainage of presently intact peatlands, e.g. for bioenergy production. Here, we present the first quantitative model-based projections of future peatland dynamics and associated GHG emissions in the context of a 2 °C mitigation pathway. Our spatially explicit land-use modelling approach with global coverage simultaneously accounts for future food demand, based on population and income projections, and land-based mitigation measures. Without dedicated peatland policy and even in the case of peatland protection, our results indicate that the land system would remain a net source of CO2 throughout the 21st century. This result is in contrast to the outcome of current mitigation pathways, in which the land system turns into a net carbon sink by 2100. However, our results indicate that it is possible to reconcile land use and GHG emissions in mitigation pathways through a peatland protection and restoration policy. According to our results, the land system would turn into a global net carbon sink by 2100, as projected by current mitigation pathways, if about 60% of present-day degraded peatlands would be rewetted in the coming decades, next to the protection of intact peatlands.","container-title":"Environmental Research Letters","DOI":"10.1088/1748-9326/abae2a","ISSN":"1748-9326","issue":"10","journalAbbreviation":"Environ. Res. Lett.","language":"en","note":"publisher: IOP Publishing","page":"104093","source":"Institute of Physics","title":"Peatland protection and restoration are key for climate change mitigation","volume":"15","author":[{"family":"Humpenöder","given":"Florian"},{"family":"Karstens","given":"Kristine"},{"family":"Lotze-Campen","given":"Hermann"},{"family":"Leifeld","given":"Jens"},{"family":"Menichetti","given":"Lorenzo"},{"family":"Barthelmes","given":"Alexandra"},{"family":"Popp","given":"Alexander"}],"issued":{"date-parts":[["2020",10]]}}}],"schema":"https://github.com/citation-style-language/schema/raw/master/csl-citation.json"} </w:instrText>
      </w:r>
      <w:r w:rsidR="000B076D">
        <w:rPr>
          <w:color w:val="000000" w:themeColor="text1"/>
        </w:rPr>
        <w:fldChar w:fldCharType="separate"/>
      </w:r>
      <w:r w:rsidR="009E54D2" w:rsidRPr="009E54D2">
        <w:rPr>
          <w:szCs w:val="24"/>
          <w:vertAlign w:val="superscript"/>
        </w:rPr>
        <w:t>65</w:t>
      </w:r>
      <w:r w:rsidR="000B076D">
        <w:rPr>
          <w:color w:val="000000" w:themeColor="text1"/>
        </w:rPr>
        <w:fldChar w:fldCharType="end"/>
      </w:r>
      <w:r w:rsidRPr="00FD54EA">
        <w:rPr>
          <w:color w:val="000000" w:themeColor="text1"/>
        </w:rPr>
        <w:t>.</w:t>
      </w:r>
    </w:p>
    <w:p w14:paraId="6DC5EAE9" w14:textId="77777777" w:rsidR="00BE09F0" w:rsidRPr="00FD54EA" w:rsidRDefault="00FD54EA">
      <w:pPr>
        <w:pStyle w:val="Heading4"/>
        <w:rPr>
          <w:color w:val="000000" w:themeColor="text1"/>
        </w:rPr>
      </w:pPr>
      <w:bookmarkStart w:id="15" w:name="_lbtrcevs7n4g" w:colFirst="0" w:colLast="0"/>
      <w:bookmarkEnd w:id="15"/>
      <w:r w:rsidRPr="00FD54EA">
        <w:rPr>
          <w:color w:val="000000" w:themeColor="text1"/>
        </w:rPr>
        <w:t>S1.1.11 Agricultural greenhouse gas emissions</w:t>
      </w:r>
    </w:p>
    <w:p w14:paraId="5CD1E1FB" w14:textId="225AD100" w:rsidR="00BE09F0" w:rsidRPr="00FD54EA" w:rsidRDefault="00FD54EA">
      <w:pPr>
        <w:rPr>
          <w:color w:val="000000" w:themeColor="text1"/>
        </w:rPr>
      </w:pPr>
      <w:r w:rsidRPr="00FD54EA">
        <w:rPr>
          <w:color w:val="000000" w:themeColor="text1"/>
        </w:rPr>
        <w:t>Methane (CH</w:t>
      </w:r>
      <w:r w:rsidRPr="00FD54EA">
        <w:rPr>
          <w:color w:val="000000" w:themeColor="text1"/>
          <w:vertAlign w:val="subscript"/>
        </w:rPr>
        <w:t>4</w:t>
      </w:r>
      <w:r w:rsidRPr="00FD54EA">
        <w:rPr>
          <w:color w:val="000000" w:themeColor="text1"/>
        </w:rPr>
        <w:t>) emissions from enteric fermentation are estimated based on the amount and composition of feed provided to ruminants, using the Tier II method of the IPCC national guidelines for emission inventories</w:t>
      </w:r>
      <w:r w:rsidR="00E25F4A">
        <w:rPr>
          <w:color w:val="000000" w:themeColor="text1"/>
        </w:rPr>
        <w:fldChar w:fldCharType="begin"/>
      </w:r>
      <w:r w:rsidR="00A01D99">
        <w:rPr>
          <w:color w:val="000000" w:themeColor="text1"/>
        </w:rPr>
        <w:instrText xml:space="preserve"> ADDIN ZOTERO_ITEM CSL_CITATION {"citationID":"RN0e8Z3Z","properties":{"formattedCitation":"\\super 141\\nosupersub{}","plainCitation":"141","noteIndex":0},"citationItems":[{"id":686,"uris":["http://zotero.org/users/694717/items/MPJ4AA4R"],"itemData":{"id":686,"type":"report","event-place":"Switzerland","publisher":"IPCC","publisher-place":"Switzerland","source":"Google Scholar","title":"2006 IPCC Guidelines for National Greenhouse Gas Inventories, Prepared by the National Greenhouse Gas Inventories Programme","author":[{"literal":"IPCC"}],"contributor":[{"family":"Eggleston","given":"H. S."},{"family":"Buendia","given":"L."},{"family":"Miwa","given":"K."},{"family":"Ngara","given":"T."},{"family":"Tanabe","given":"K."},{"family":"Hayama","given":"K."}],"issued":{"date-parts":[["2006"]]}}}],"schema":"https://github.com/citation-style-language/schema/raw/master/csl-citation.json"} </w:instrText>
      </w:r>
      <w:r w:rsidR="00E25F4A">
        <w:rPr>
          <w:color w:val="000000" w:themeColor="text1"/>
        </w:rPr>
        <w:fldChar w:fldCharType="separate"/>
      </w:r>
      <w:r w:rsidR="00A01D99" w:rsidRPr="00A01D99">
        <w:rPr>
          <w:szCs w:val="24"/>
          <w:vertAlign w:val="superscript"/>
        </w:rPr>
        <w:t>141</w:t>
      </w:r>
      <w:r w:rsidR="00E25F4A">
        <w:rPr>
          <w:color w:val="000000" w:themeColor="text1"/>
        </w:rPr>
        <w:fldChar w:fldCharType="end"/>
      </w:r>
      <w:r w:rsidRPr="00FD54EA">
        <w:rPr>
          <w:color w:val="000000" w:themeColor="text1"/>
        </w:rPr>
        <w:t xml:space="preserve"> and feed baskets</w:t>
      </w:r>
      <w:r w:rsidR="00E25F4A">
        <w:rPr>
          <w:color w:val="000000" w:themeColor="text1"/>
        </w:rPr>
        <w:fldChar w:fldCharType="begin"/>
      </w:r>
      <w:r w:rsidR="00A01D99">
        <w:rPr>
          <w:color w:val="000000" w:themeColor="text1"/>
        </w:rPr>
        <w:instrText xml:space="preserve"> ADDIN ZOTERO_ITEM CSL_CITATION {"citationID":"gdk5VDu0","properties":{"formattedCitation":"\\super 69,70\\nosupersub{}","plainCitation":"69,70","noteIndex":0},"citationItems":[{"id":4286,"uris":["http://zotero.org/users/694717/items/XZDKPAN4"],"itemData":{"id":4286,"type":"article-journal","abstract":"Land use change has been the primary driving force of human alteration of terrestrial ecosystems. With 80% of agricultural land dedicated to livestock production, the sector is an important lever to attenuate land requirements for food production and carbon emissions from land use change. In this study, we quantify impacts of changing human diets and livestock productivity on land dynamics and depletion of carbon stored in vegetation, litter and soils. Across all investigated productivity pathways, lower consumption of livestock products can substantially reduce deforestation (47–55%) and cumulative carbon losses (34–57%). On the supply side, already minor productivity growth in extensive livestock production systems leads to substantial CO2 emission abatement, but the emission saving potential of productivity gains in intensive systems is limited, also involving trade-offs with soil carbon stocks. If accounting for uncertainties related to future trade restrictions, crop yields and pasture productivity, the range of projected carbon savings from changing diets increases to 23–78%. Highest abatement of carbon emissions (63–78%) can be achieved if reduced consumption of animal-based products is combined with sustained investments into productivity increases in plant production. Our analysis emphasizes the importance to integrate demand- and supply-side oriented mitigation strategies and to combine efforts in the crop and livestock sector to enable synergies for climate protection.","container-title":"Global and Planetary Change","DOI":"10.1016/j.gloplacha.2017.10.002","ISSN":"0921-8181","issue":"Supplement C","journalAbbreviation":"Global and Planetary Change","page":"1-10","source":"ScienceDirect","title":"Livestock and human use of land: Productivity trends and dietary choices as drivers of future land and carbon dynamics","title-short":"Livestock and human use of land","volume":"159","author":[{"family":"Weindl","given":"Isabelle"},{"family":"Popp","given":"Alexander"},{"family":"Bodirsky","given":"Benjamin Leon"},{"family":"Rolinski","given":"Susanne"},{"family":"Lotze-Campen","given":"Hermann"},{"family":"Biewald","given":"Anne"},{"family":"Humpenöder","given":"Florian"},{"family":"Dietrich","given":"Jan Philipp"},{"family":"Stevanović","given":"Miodrag"}],"issued":{"date-parts":[["2017",12,1]]}}},{"id":4282,"uris":["http://zotero.org/users/694717/items/KUZF7W6F"],"itemData":{"id":4282,"type":"article-journal","abstract":"Human activities use more than half of accessible freshwater, above all for agriculture. Most approaches for reconciling water conservation with feeding a growing population focus on the cropping sector. However, livestock production is pivotal to agricultural resource use, due to its low resource-use efficiency upstream in the food supply chain. Using a global modelling approach, we quantify the current and future contribution of livestock production, under different demand- and supply-side scenarios, to the consumption of “green” precipitation water infiltrated into the soil and “blue” freshwater withdrawn from rivers, lakes and reservoirs. Currently, cropland feed production accounts for 38% of crop water consumption and grazing involves 29% of total agricultural water consumption (9990km3yr−1). Our analysis shows that changes in diets and livestock productivity have substantial implications for future consumption of agricultural blue water (19–36% increase compared to current levels) and green water (26–69% increase), but they can, at best, slow down trends of rising water requirements for decades to come. However, moderate productivity reductions in highly intensive livestock systems are possible without aggravating water scarcity. Productivity gains in developing regions decrease total agricultural water consumption, but lead to expansion of irrigated agriculture, due to the shift from grassland/green water to cropland/blue water resources. While the magnitude of the livestock water footprint gives cause for concern, neither dietary choices nor changes in livestock productivity will solve the water challenge of future food supply, unless accompanied by dedicated water protection policies.","container-title":"Global Environmental Change","DOI":"10.1016/j.gloenvcha.2017.09.010","ISSN":"0959-3780","issue":"Supplement C","journalAbbreviation":"Global Environmental Change","page":"121-132","source":"ScienceDirect","title":"Livestock production and the water challenge of future food supply: Implications of agricultural management and dietary choices","title-short":"Livestock production and the water challenge of future food supply","volume":"47","author":[{"family":"Weindl","given":"Isabelle"},{"family":"Bodirsky","given":"Benjamin Leon"},{"family":"Rolinski","given":"Susanne"},{"family":"Biewald","given":"Anne"},{"family":"Lotze-Campen","given":"Hermann"},{"family":"Müller","given":"Christoph"},{"family":"Dietrich","given":"Jan Philipp"},{"family":"Humpenöder","given":"Florian"},{"family":"Stevanović","given":"Miodrag"},{"family":"Schaphoff","given":"Sibyll"},{"family":"Popp","given":"Alexander"}],"issued":{"date-parts":[["2017",11,1]]}}}],"schema":"https://github.com/citation-style-language/schema/raw/master/csl-citation.json"} </w:instrText>
      </w:r>
      <w:r w:rsidR="00E25F4A">
        <w:rPr>
          <w:color w:val="000000" w:themeColor="text1"/>
        </w:rPr>
        <w:fldChar w:fldCharType="separate"/>
      </w:r>
      <w:r w:rsidR="00A01D99" w:rsidRPr="00A01D99">
        <w:rPr>
          <w:szCs w:val="24"/>
          <w:vertAlign w:val="superscript"/>
        </w:rPr>
        <w:t>69,70</w:t>
      </w:r>
      <w:r w:rsidR="00E25F4A">
        <w:rPr>
          <w:color w:val="000000" w:themeColor="text1"/>
        </w:rPr>
        <w:fldChar w:fldCharType="end"/>
      </w:r>
      <w:r w:rsidRPr="00FD54EA">
        <w:rPr>
          <w:color w:val="000000" w:themeColor="text1"/>
        </w:rPr>
        <w:t>. Emissions can be reduced via technical measures at additional production costs using marginal abatement cost curves</w:t>
      </w:r>
      <w:r w:rsidR="00E25F4A">
        <w:rPr>
          <w:color w:val="000000" w:themeColor="text1"/>
        </w:rPr>
        <w:fldChar w:fldCharType="begin"/>
      </w:r>
      <w:r w:rsidR="009E54D2">
        <w:rPr>
          <w:color w:val="000000" w:themeColor="text1"/>
        </w:rPr>
        <w:instrText xml:space="preserve"> ADDIN ZOTERO_ITEM CSL_CITATION {"citationID":"fvoAoeHA","properties":{"formattedCitation":"\\super 67\\nosupersub{}","plainCitation":"67","noteIndex":0},"citationItems":[{"id":9353,"uris":["http://zotero.org/users/694717/items/RWCSJXDM"],"itemData":{"id":9353,"type":"report","abstract":"Abstract\n          \n            Despite its projected crucial role in stringent, future global climate policy, non-CO\n            2\n            greenhouse gas (NCGG) mitigation remains a large uncertain factor that has received relatively little scientific attention. A revision of the estimated mitigation potential could have massive implications for the feasibility of global climate policy to reach the Paris Agreement climate goals. Here, we provide a systematic bottom-up estimate of the total uncertainty in NCGG mitigation, by developing “optimistic, default and pessimistic” long-term non-CO\n            2\n            marginal abatement cost (MAC) curves. The global 1.5-degree climate target is found to be out of reach under pessimistic MAC assumptions, as is the 2-degree target under high emission assumptions. MAC uncertainty translates into a large projected range in (all in a 2-degree scenario) relative NCGG reduction (40–58%), carbon budget (± 120 Gt CO\n            2\n            ) and policy costs (± 16%). Partly, the MAC uncertainty signifies a gap that could be bridged by human efforts, but largely it indicates uncertainty in technical limitations.","genre":"preprint","language":"en","note":"DOI: 10.21203/rs.3.rs-2238789/v1","publisher":"In Review","source":"DOI.org (Crossref)","title":"Uncertainty in non-CO2 greenhouse gas mitigation: Make-or-break for global climate policy feasibility","title-short":"Uncertainty in non-CO2 greenhouse gas mitigation","URL":"https://www.researchsquare.com/article/rs-2238789/v1","author":[{"family":"Harmsen","given":"Mathijs"},{"family":"Tabak","given":"Charlotte"},{"family":"Höglund-Isaksson","given":"Lena"},{"family":"Humpenöder","given":"Florian"},{"family":"Purohit","given":"Pallav"},{"family":"Vuuren","given":"Detlef","dropping-particle":"van"}],"accessed":{"date-parts":[["2023",4,23]]},"issued":{"date-parts":[["2023",1,9]]}}}],"schema":"https://github.com/citation-style-language/schema/raw/master/csl-citation.json"} </w:instrText>
      </w:r>
      <w:r w:rsidR="00E25F4A">
        <w:rPr>
          <w:color w:val="000000" w:themeColor="text1"/>
        </w:rPr>
        <w:fldChar w:fldCharType="separate"/>
      </w:r>
      <w:r w:rsidR="009E54D2" w:rsidRPr="009E54D2">
        <w:rPr>
          <w:szCs w:val="24"/>
          <w:vertAlign w:val="superscript"/>
        </w:rPr>
        <w:t>67</w:t>
      </w:r>
      <w:r w:rsidR="00E25F4A">
        <w:rPr>
          <w:color w:val="000000" w:themeColor="text1"/>
        </w:rPr>
        <w:fldChar w:fldCharType="end"/>
      </w:r>
      <w:r w:rsidRPr="00FD54EA">
        <w:rPr>
          <w:color w:val="000000" w:themeColor="text1"/>
        </w:rPr>
        <w:t>, which include the measures of improved genetic selection, health monitoring, addition of tannins and nitrate, grain processing and extension of productive life</w:t>
      </w:r>
      <w:r w:rsidR="00E25F4A">
        <w:rPr>
          <w:color w:val="000000" w:themeColor="text1"/>
        </w:rPr>
        <w:fldChar w:fldCharType="begin"/>
      </w:r>
      <w:r w:rsidR="009E54D2">
        <w:rPr>
          <w:color w:val="000000" w:themeColor="text1"/>
        </w:rPr>
        <w:instrText xml:space="preserve"> ADDIN ZOTERO_ITEM CSL_CITATION {"citationID":"MsO9iqn5","properties":{"formattedCitation":"\\super 67\\nosupersub{}","plainCitation":"67","noteIndex":0},"citationItems":[{"id":9353,"uris":["http://zotero.org/users/694717/items/RWCSJXDM"],"itemData":{"id":9353,"type":"report","abstract":"Abstract\n          \n            Despite its projected crucial role in stringent, future global climate policy, non-CO\n            2\n            greenhouse gas (NCGG) mitigation remains a large uncertain factor that has received relatively little scientific attention. A revision of the estimated mitigation potential could have massive implications for the feasibility of global climate policy to reach the Paris Agreement climate goals. Here, we provide a systematic bottom-up estimate of the total uncertainty in NCGG mitigation, by developing “optimistic, default and pessimistic” long-term non-CO\n            2\n            marginal abatement cost (MAC) curves. The global 1.5-degree climate target is found to be out of reach under pessimistic MAC assumptions, as is the 2-degree target under high emission assumptions. MAC uncertainty translates into a large projected range in (all in a 2-degree scenario) relative NCGG reduction (40–58%), carbon budget (± 120 Gt CO\n            2\n            ) and policy costs (± 16%). Partly, the MAC uncertainty signifies a gap that could be bridged by human efforts, but largely it indicates uncertainty in technical limitations.","genre":"preprint","language":"en","note":"DOI: 10.21203/rs.3.rs-2238789/v1","publisher":"In Review","source":"DOI.org (Crossref)","title":"Uncertainty in non-CO2 greenhouse gas mitigation: Make-or-break for global climate policy feasibility","title-short":"Uncertainty in non-CO2 greenhouse gas mitigation","URL":"https://www.researchsquare.com/article/rs-2238789/v1","author":[{"family":"Harmsen","given":"Mathijs"},{"family":"Tabak","given":"Charlotte"},{"family":"Höglund-Isaksson","given":"Lena"},{"family":"Humpenöder","given":"Florian"},{"family":"Purohit","given":"Pallav"},{"family":"Vuuren","given":"Detlef","dropping-particle":"van"}],"accessed":{"date-parts":[["2023",4,23]]},"issued":{"date-parts":[["2023",1,9]]}}}],"schema":"https://github.com/citation-style-language/schema/raw/master/csl-citation.json"} </w:instrText>
      </w:r>
      <w:r w:rsidR="00E25F4A">
        <w:rPr>
          <w:color w:val="000000" w:themeColor="text1"/>
        </w:rPr>
        <w:fldChar w:fldCharType="separate"/>
      </w:r>
      <w:r w:rsidR="009E54D2" w:rsidRPr="009E54D2">
        <w:rPr>
          <w:szCs w:val="24"/>
          <w:vertAlign w:val="superscript"/>
        </w:rPr>
        <w:t>67</w:t>
      </w:r>
      <w:r w:rsidR="00E25F4A">
        <w:rPr>
          <w:color w:val="000000" w:themeColor="text1"/>
        </w:rPr>
        <w:fldChar w:fldCharType="end"/>
      </w:r>
      <w:r w:rsidRPr="00FD54EA">
        <w:rPr>
          <w:color w:val="000000" w:themeColor="text1"/>
        </w:rPr>
        <w:t>. CH</w:t>
      </w:r>
      <w:r w:rsidRPr="00FD54EA">
        <w:rPr>
          <w:color w:val="000000" w:themeColor="text1"/>
          <w:vertAlign w:val="subscript"/>
        </w:rPr>
        <w:t>4</w:t>
      </w:r>
      <w:r w:rsidRPr="00FD54EA">
        <w:rPr>
          <w:color w:val="000000" w:themeColor="text1"/>
        </w:rPr>
        <w:t xml:space="preserve"> emissions from manure management are accounted for through emission factors per managed manure</w:t>
      </w:r>
      <w:r w:rsidRPr="00FD54EA">
        <w:rPr>
          <w:i/>
          <w:color w:val="000000" w:themeColor="text1"/>
        </w:rPr>
        <w:t xml:space="preserve"> from FAOSTAT</w:t>
      </w:r>
      <w:r w:rsidR="00E25F4A">
        <w:rPr>
          <w:i/>
          <w:color w:val="000000" w:themeColor="text1"/>
        </w:rPr>
        <w:fldChar w:fldCharType="begin"/>
      </w:r>
      <w:r w:rsidR="00A01D99">
        <w:rPr>
          <w:i/>
          <w:color w:val="000000" w:themeColor="text1"/>
        </w:rPr>
        <w:instrText xml:space="preserve"> ADDIN ZOTERO_ITEM CSL_CITATION {"citationID":"eBA56Ybu","properties":{"formattedCitation":"\\super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E25F4A">
        <w:rPr>
          <w:i/>
          <w:color w:val="000000" w:themeColor="text1"/>
        </w:rPr>
        <w:fldChar w:fldCharType="separate"/>
      </w:r>
      <w:r w:rsidR="00A01D99" w:rsidRPr="00A01D99">
        <w:rPr>
          <w:szCs w:val="24"/>
          <w:vertAlign w:val="superscript"/>
        </w:rPr>
        <w:t>113</w:t>
      </w:r>
      <w:r w:rsidR="00E25F4A">
        <w:rPr>
          <w:i/>
          <w:color w:val="000000" w:themeColor="text1"/>
        </w:rPr>
        <w:fldChar w:fldCharType="end"/>
      </w:r>
      <w:r w:rsidRPr="00FD54EA">
        <w:rPr>
          <w:i/>
          <w:color w:val="000000" w:themeColor="text1"/>
        </w:rPr>
        <w:t xml:space="preserve">. </w:t>
      </w:r>
      <w:r w:rsidRPr="00FD54EA">
        <w:rPr>
          <w:color w:val="000000" w:themeColor="text1"/>
        </w:rPr>
        <w:t>These emissions</w:t>
      </w:r>
      <w:r w:rsidRPr="00FD54EA">
        <w:rPr>
          <w:i/>
          <w:color w:val="000000" w:themeColor="text1"/>
        </w:rPr>
        <w:t xml:space="preserve"> </w:t>
      </w:r>
      <w:r w:rsidRPr="00FD54EA">
        <w:rPr>
          <w:color w:val="000000" w:themeColor="text1"/>
        </w:rPr>
        <w:t>can be reduced at additional production costs via decreased manure storage time, manure storage covers, digesters, manure acidification, as well as improved housing and bedding</w:t>
      </w:r>
      <w:r w:rsidR="00E25F4A">
        <w:rPr>
          <w:color w:val="000000" w:themeColor="text1"/>
        </w:rPr>
        <w:fldChar w:fldCharType="begin"/>
      </w:r>
      <w:r w:rsidR="009E54D2">
        <w:rPr>
          <w:color w:val="000000" w:themeColor="text1"/>
        </w:rPr>
        <w:instrText xml:space="preserve"> ADDIN ZOTERO_ITEM CSL_CITATION {"citationID":"HwTlDYRF","properties":{"formattedCitation":"\\super 67\\nosupersub{}","plainCitation":"67","noteIndex":0},"citationItems":[{"id":9353,"uris":["http://zotero.org/users/694717/items/RWCSJXDM"],"itemData":{"id":9353,"type":"report","abstract":"Abstract\n          \n            Despite its projected crucial role in stringent, future global climate policy, non-CO\n            2\n            greenhouse gas (NCGG) mitigation remains a large uncertain factor that has received relatively little scientific attention. A revision of the estimated mitigation potential could have massive implications for the feasibility of global climate policy to reach the Paris Agreement climate goals. Here, we provide a systematic bottom-up estimate of the total uncertainty in NCGG mitigation, by developing “optimistic, default and pessimistic” long-term non-CO\n            2\n            marginal abatement cost (MAC) curves. The global 1.5-degree climate target is found to be out of reach under pessimistic MAC assumptions, as is the 2-degree target under high emission assumptions. MAC uncertainty translates into a large projected range in (all in a 2-degree scenario) relative NCGG reduction (40–58%), carbon budget (± 120 Gt CO\n            2\n            ) and policy costs (± 16%). Partly, the MAC uncertainty signifies a gap that could be bridged by human efforts, but largely it indicates uncertainty in technical limitations.","genre":"preprint","language":"en","note":"DOI: 10.21203/rs.3.rs-2238789/v1","publisher":"In Review","source":"DOI.org (Crossref)","title":"Uncertainty in non-CO2 greenhouse gas mitigation: Make-or-break for global climate policy feasibility","title-short":"Uncertainty in non-CO2 greenhouse gas mitigation","URL":"https://www.researchsquare.com/article/rs-2238789/v1","author":[{"family":"Harmsen","given":"Mathijs"},{"family":"Tabak","given":"Charlotte"},{"family":"Höglund-Isaksson","given":"Lena"},{"family":"Humpenöder","given":"Florian"},{"family":"Purohit","given":"Pallav"},{"family":"Vuuren","given":"Detlef","dropping-particle":"van"}],"accessed":{"date-parts":[["2023",4,23]]},"issued":{"date-parts":[["2023",1,9]]}}}],"schema":"https://github.com/citation-style-language/schema/raw/master/csl-citation.json"} </w:instrText>
      </w:r>
      <w:r w:rsidR="00E25F4A">
        <w:rPr>
          <w:color w:val="000000" w:themeColor="text1"/>
        </w:rPr>
        <w:fldChar w:fldCharType="separate"/>
      </w:r>
      <w:r w:rsidR="009E54D2" w:rsidRPr="009E54D2">
        <w:rPr>
          <w:szCs w:val="24"/>
          <w:vertAlign w:val="superscript"/>
        </w:rPr>
        <w:t>67</w:t>
      </w:r>
      <w:r w:rsidR="00E25F4A">
        <w:rPr>
          <w:color w:val="000000" w:themeColor="text1"/>
        </w:rPr>
        <w:fldChar w:fldCharType="end"/>
      </w:r>
      <w:r w:rsidRPr="00FD54EA">
        <w:rPr>
          <w:color w:val="000000" w:themeColor="text1"/>
        </w:rPr>
        <w:t>.</w:t>
      </w:r>
    </w:p>
    <w:p w14:paraId="7AD74567" w14:textId="4F67F88F" w:rsidR="00BE09F0" w:rsidRPr="00FD54EA" w:rsidRDefault="00FD54EA">
      <w:pPr>
        <w:spacing w:after="200"/>
        <w:rPr>
          <w:color w:val="000000" w:themeColor="text1"/>
        </w:rPr>
      </w:pPr>
      <w:r w:rsidRPr="00FD54EA">
        <w:rPr>
          <w:color w:val="000000" w:themeColor="text1"/>
        </w:rPr>
        <w:br/>
        <w:t>CH</w:t>
      </w:r>
      <w:r w:rsidRPr="00FD54EA">
        <w:rPr>
          <w:color w:val="000000" w:themeColor="text1"/>
          <w:vertAlign w:val="subscript"/>
        </w:rPr>
        <w:t>4</w:t>
      </w:r>
      <w:r w:rsidRPr="00FD54EA">
        <w:rPr>
          <w:color w:val="000000" w:themeColor="text1"/>
        </w:rPr>
        <w:t xml:space="preserve"> emissions from paddy rice cultivation are derived using emission factors per cultivated rice area from </w:t>
      </w:r>
      <w:r w:rsidRPr="00FD54EA">
        <w:rPr>
          <w:i/>
          <w:color w:val="000000" w:themeColor="text1"/>
        </w:rPr>
        <w:t>FAOSTAT</w:t>
      </w:r>
      <w:r w:rsidR="00E25F4A">
        <w:rPr>
          <w:i/>
          <w:color w:val="000000" w:themeColor="text1"/>
        </w:rPr>
        <w:fldChar w:fldCharType="begin"/>
      </w:r>
      <w:r w:rsidR="00A01D99">
        <w:rPr>
          <w:i/>
          <w:color w:val="000000" w:themeColor="text1"/>
        </w:rPr>
        <w:instrText xml:space="preserve"> ADDIN ZOTERO_ITEM CSL_CITATION {"citationID":"gL69Ik5u","properties":{"formattedCitation":"\\super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E25F4A">
        <w:rPr>
          <w:i/>
          <w:color w:val="000000" w:themeColor="text1"/>
        </w:rPr>
        <w:fldChar w:fldCharType="separate"/>
      </w:r>
      <w:r w:rsidR="00A01D99" w:rsidRPr="00A01D99">
        <w:rPr>
          <w:szCs w:val="24"/>
          <w:vertAlign w:val="superscript"/>
        </w:rPr>
        <w:t>113</w:t>
      </w:r>
      <w:r w:rsidR="00E25F4A">
        <w:rPr>
          <w:i/>
          <w:color w:val="000000" w:themeColor="text1"/>
        </w:rPr>
        <w:fldChar w:fldCharType="end"/>
      </w:r>
      <w:r w:rsidRPr="00FD54EA">
        <w:rPr>
          <w:color w:val="000000" w:themeColor="text1"/>
        </w:rPr>
        <w:t>. These emissions can be reduced via technical measures such as direct seeding, improved residue management, alternated flooding and drainage, and changed fertilization via a marginal abatement cost curve</w:t>
      </w:r>
      <w:r w:rsidR="00E25F4A">
        <w:rPr>
          <w:color w:val="000000" w:themeColor="text1"/>
        </w:rPr>
        <w:fldChar w:fldCharType="begin"/>
      </w:r>
      <w:r w:rsidR="009E54D2">
        <w:rPr>
          <w:color w:val="000000" w:themeColor="text1"/>
        </w:rPr>
        <w:instrText xml:space="preserve"> ADDIN ZOTERO_ITEM CSL_CITATION {"citationID":"ZgzegEEk","properties":{"formattedCitation":"\\super 67\\nosupersub{}","plainCitation":"67","noteIndex":0},"citationItems":[{"id":9353,"uris":["http://zotero.org/users/694717/items/RWCSJXDM"],"itemData":{"id":9353,"type":"report","abstract":"Abstract\n          \n            Despite its projected crucial role in stringent, future global climate policy, non-CO\n            2\n            greenhouse gas (NCGG) mitigation remains a large uncertain factor that has received relatively little scientific attention. A revision of the estimated mitigation potential could have massive implications for the feasibility of global climate policy to reach the Paris Agreement climate goals. Here, we provide a systematic bottom-up estimate of the total uncertainty in NCGG mitigation, by developing “optimistic, default and pessimistic” long-term non-CO\n            2\n            marginal abatement cost (MAC) curves. The global 1.5-degree climate target is found to be out of reach under pessimistic MAC assumptions, as is the 2-degree target under high emission assumptions. MAC uncertainty translates into a large projected range in (all in a 2-degree scenario) relative NCGG reduction (40–58%), carbon budget (± 120 Gt CO\n            2\n            ) and policy costs (± 16%). Partly, the MAC uncertainty signifies a gap that could be bridged by human efforts, but largely it indicates uncertainty in technical limitations.","genre":"preprint","language":"en","note":"DOI: 10.21203/rs.3.rs-2238789/v1","publisher":"In Review","source":"DOI.org (Crossref)","title":"Uncertainty in non-CO2 greenhouse gas mitigation: Make-or-break for global climate policy feasibility","title-short":"Uncertainty in non-CO2 greenhouse gas mitigation","URL":"https://www.researchsquare.com/article/rs-2238789/v1","author":[{"family":"Harmsen","given":"Mathijs"},{"family":"Tabak","given":"Charlotte"},{"family":"Höglund-Isaksson","given":"Lena"},{"family":"Humpenöder","given":"Florian"},{"family":"Purohit","given":"Pallav"},{"family":"Vuuren","given":"Detlef","dropping-particle":"van"}],"accessed":{"date-parts":[["2023",4,23]]},"issued":{"date-parts":[["2023",1,9]]}}}],"schema":"https://github.com/citation-style-language/schema/raw/master/csl-citation.json"} </w:instrText>
      </w:r>
      <w:r w:rsidR="00E25F4A">
        <w:rPr>
          <w:color w:val="000000" w:themeColor="text1"/>
        </w:rPr>
        <w:fldChar w:fldCharType="separate"/>
      </w:r>
      <w:r w:rsidR="009E54D2" w:rsidRPr="009E54D2">
        <w:rPr>
          <w:szCs w:val="24"/>
          <w:vertAlign w:val="superscript"/>
        </w:rPr>
        <w:t>67</w:t>
      </w:r>
      <w:r w:rsidR="00E25F4A">
        <w:rPr>
          <w:color w:val="000000" w:themeColor="text1"/>
        </w:rPr>
        <w:fldChar w:fldCharType="end"/>
      </w:r>
      <w:r w:rsidRPr="00FD54EA">
        <w:rPr>
          <w:color w:val="000000" w:themeColor="text1"/>
        </w:rPr>
        <w:t xml:space="preserve">. </w:t>
      </w:r>
    </w:p>
    <w:p w14:paraId="2F8E7DD9" w14:textId="1EF3A720" w:rsidR="00BE09F0" w:rsidRPr="00FD54EA" w:rsidRDefault="00FD54EA">
      <w:pPr>
        <w:rPr>
          <w:color w:val="000000" w:themeColor="text1"/>
        </w:rPr>
      </w:pPr>
      <w:r w:rsidRPr="00FD54EA">
        <w:rPr>
          <w:color w:val="000000" w:themeColor="text1"/>
        </w:rPr>
        <w:t>Nitrous oxide (N</w:t>
      </w:r>
      <w:r w:rsidRPr="00FD54EA">
        <w:rPr>
          <w:color w:val="000000" w:themeColor="text1"/>
          <w:vertAlign w:val="subscript"/>
        </w:rPr>
        <w:t>2</w:t>
      </w:r>
      <w:r w:rsidRPr="00FD54EA">
        <w:rPr>
          <w:color w:val="000000" w:themeColor="text1"/>
        </w:rPr>
        <w:t xml:space="preserve">O) emission from soils and manure management are estimated based on the nitrogen budgets (SI section S1.1.7) using emission factors of the </w:t>
      </w:r>
      <w:r w:rsidRPr="00FD54EA">
        <w:rPr>
          <w:i/>
          <w:color w:val="000000" w:themeColor="text1"/>
        </w:rPr>
        <w:t>IPCC</w:t>
      </w:r>
      <w:r w:rsidR="00E25F4A">
        <w:rPr>
          <w:color w:val="000000" w:themeColor="text1"/>
        </w:rPr>
        <w:fldChar w:fldCharType="begin"/>
      </w:r>
      <w:r w:rsidR="00A01D99">
        <w:rPr>
          <w:color w:val="000000" w:themeColor="text1"/>
        </w:rPr>
        <w:instrText xml:space="preserve"> ADDIN ZOTERO_ITEM CSL_CITATION {"citationID":"3AnLv8UU","properties":{"formattedCitation":"\\super 141\\nosupersub{}","plainCitation":"141","noteIndex":0},"citationItems":[{"id":686,"uris":["http://zotero.org/users/694717/items/MPJ4AA4R"],"itemData":{"id":686,"type":"report","event-place":"Switzerland","publisher":"IPCC","publisher-place":"Switzerland","source":"Google Scholar","title":"2006 IPCC Guidelines for National Greenhouse Gas Inventories, Prepared by the National Greenhouse Gas Inventories Programme","author":[{"literal":"IPCC"}],"contributor":[{"family":"Eggleston","given":"H. S."},{"family":"Buendia","given":"L."},{"family":"Miwa","given":"K."},{"family":"Ngara","given":"T."},{"family":"Tanabe","given":"K."},{"family":"Hayama","given":"K."}],"issued":{"date-parts":[["2006"]]}}}],"schema":"https://github.com/citation-style-language/schema/raw/master/csl-citation.json"} </w:instrText>
      </w:r>
      <w:r w:rsidR="00E25F4A">
        <w:rPr>
          <w:color w:val="000000" w:themeColor="text1"/>
        </w:rPr>
        <w:fldChar w:fldCharType="separate"/>
      </w:r>
      <w:r w:rsidR="00A01D99" w:rsidRPr="00A01D99">
        <w:rPr>
          <w:szCs w:val="24"/>
          <w:vertAlign w:val="superscript"/>
        </w:rPr>
        <w:t>141</w:t>
      </w:r>
      <w:r w:rsidR="00E25F4A">
        <w:rPr>
          <w:color w:val="000000" w:themeColor="text1"/>
        </w:rPr>
        <w:fldChar w:fldCharType="end"/>
      </w:r>
      <w:r w:rsidRPr="00FD54EA">
        <w:rPr>
          <w:color w:val="000000" w:themeColor="text1"/>
        </w:rPr>
        <w:t>. The original IPCC emission factors, which are dependent on fertilization rather than surpluses, violate mass balances for high nitrogen uptake efficiencies (NUE), as they would assume emissions even for a hypothetical system with a NUE of 1 where inputs only replace harvested Nr. Emission factors were therefore rescaled to account for the large variations in regional soil nitrogen uptake efficiencies, assuming that N</w:t>
      </w:r>
      <w:r w:rsidRPr="00FD54EA">
        <w:rPr>
          <w:color w:val="000000" w:themeColor="text1"/>
          <w:vertAlign w:val="subscript"/>
        </w:rPr>
        <w:t>2</w:t>
      </w:r>
      <w:r w:rsidRPr="00FD54EA">
        <w:rPr>
          <w:color w:val="000000" w:themeColor="text1"/>
        </w:rPr>
        <w:t>O emissions are proportional to total cropland nitrogen surplus. Emission factors therefore also decrease when NUE improves through improved management (see S1.1.7).</w:t>
      </w:r>
    </w:p>
    <w:p w14:paraId="087ECA5F" w14:textId="77777777" w:rsidR="00BE09F0" w:rsidRPr="00FD54EA" w:rsidRDefault="00BE09F0">
      <w:pPr>
        <w:rPr>
          <w:color w:val="000000" w:themeColor="text1"/>
        </w:rPr>
      </w:pPr>
    </w:p>
    <w:p w14:paraId="03265E81" w14:textId="1FEA9586" w:rsidR="00BE09F0" w:rsidRPr="00FD54EA" w:rsidRDefault="00FD54EA">
      <w:pPr>
        <w:rPr>
          <w:color w:val="000000" w:themeColor="text1"/>
        </w:rPr>
      </w:pPr>
      <w:r w:rsidRPr="00FD54EA">
        <w:rPr>
          <w:color w:val="000000" w:themeColor="text1"/>
        </w:rPr>
        <w:lastRenderedPageBreak/>
        <w:t xml:space="preserve">The </w:t>
      </w:r>
      <w:proofErr w:type="spellStart"/>
      <w:r w:rsidRPr="00FD54EA">
        <w:rPr>
          <w:i/>
          <w:color w:val="000000" w:themeColor="text1"/>
        </w:rPr>
        <w:t>RiceMitigation</w:t>
      </w:r>
      <w:proofErr w:type="spellEnd"/>
      <w:r w:rsidRPr="00FD54EA">
        <w:rPr>
          <w:color w:val="000000" w:themeColor="text1"/>
        </w:rPr>
        <w:t xml:space="preserve">, </w:t>
      </w:r>
      <w:proofErr w:type="spellStart"/>
      <w:r w:rsidRPr="00FD54EA">
        <w:rPr>
          <w:i/>
          <w:color w:val="000000" w:themeColor="text1"/>
        </w:rPr>
        <w:t>LivestockManagement</w:t>
      </w:r>
      <w:proofErr w:type="spellEnd"/>
      <w:r w:rsidRPr="00FD54EA">
        <w:rPr>
          <w:i/>
          <w:color w:val="000000" w:themeColor="text1"/>
        </w:rPr>
        <w:t xml:space="preserve"> </w:t>
      </w:r>
      <w:r w:rsidRPr="00FD54EA">
        <w:rPr>
          <w:color w:val="000000" w:themeColor="text1"/>
        </w:rPr>
        <w:t xml:space="preserve">and </w:t>
      </w:r>
      <w:proofErr w:type="spellStart"/>
      <w:r w:rsidRPr="00FD54EA">
        <w:rPr>
          <w:i/>
          <w:color w:val="000000" w:themeColor="text1"/>
        </w:rPr>
        <w:t>ManureManagement</w:t>
      </w:r>
      <w:proofErr w:type="spellEnd"/>
      <w:r w:rsidRPr="00FD54EA">
        <w:rPr>
          <w:i/>
          <w:color w:val="000000" w:themeColor="text1"/>
        </w:rPr>
        <w:t xml:space="preserve"> </w:t>
      </w:r>
      <w:r w:rsidRPr="00FD54EA">
        <w:rPr>
          <w:color w:val="000000" w:themeColor="text1"/>
        </w:rPr>
        <w:t xml:space="preserve">FSMs activate the technical mitigation measures for methane mitigation of the respective emission sources. </w:t>
      </w:r>
      <w:proofErr w:type="spellStart"/>
      <w:r w:rsidRPr="00FD54EA">
        <w:rPr>
          <w:i/>
          <w:color w:val="000000" w:themeColor="text1"/>
        </w:rPr>
        <w:t>LivestockManagement</w:t>
      </w:r>
      <w:proofErr w:type="spellEnd"/>
      <w:r w:rsidRPr="00FD54EA">
        <w:rPr>
          <w:i/>
          <w:color w:val="000000" w:themeColor="text1"/>
        </w:rPr>
        <w:t xml:space="preserve"> </w:t>
      </w:r>
      <w:r w:rsidRPr="00FD54EA">
        <w:rPr>
          <w:color w:val="000000" w:themeColor="text1"/>
        </w:rPr>
        <w:t>additionally changes feed baskets and livestock productivity in line with a shift from SSP2 to SSP1 parametrization, leading to a reduction of overall feed requirements but to an increase of concentrate feeds such as cereals or oilcakes</w:t>
      </w:r>
      <w:r w:rsidR="00E25F4A">
        <w:rPr>
          <w:color w:val="000000" w:themeColor="text1"/>
        </w:rPr>
        <w:fldChar w:fldCharType="begin"/>
      </w:r>
      <w:r w:rsidR="00A01D99">
        <w:rPr>
          <w:color w:val="000000" w:themeColor="text1"/>
        </w:rPr>
        <w:instrText xml:space="preserve"> ADDIN ZOTERO_ITEM CSL_CITATION {"citationID":"7GVwjnFw","properties":{"formattedCitation":"\\super 69,70\\nosupersub{}","plainCitation":"69,70","noteIndex":0},"citationItems":[{"id":4286,"uris":["http://zotero.org/users/694717/items/XZDKPAN4"],"itemData":{"id":4286,"type":"article-journal","abstract":"Land use change has been the primary driving force of human alteration of terrestrial ecosystems. With 80% of agricultural land dedicated to livestock production, the sector is an important lever to attenuate land requirements for food production and carbon emissions from land use change. In this study, we quantify impacts of changing human diets and livestock productivity on land dynamics and depletion of carbon stored in vegetation, litter and soils. Across all investigated productivity pathways, lower consumption of livestock products can substantially reduce deforestation (47–55%) and cumulative carbon losses (34–57%). On the supply side, already minor productivity growth in extensive livestock production systems leads to substantial CO2 emission abatement, but the emission saving potential of productivity gains in intensive systems is limited, also involving trade-offs with soil carbon stocks. If accounting for uncertainties related to future trade restrictions, crop yields and pasture productivity, the range of projected carbon savings from changing diets increases to 23–78%. Highest abatement of carbon emissions (63–78%) can be achieved if reduced consumption of animal-based products is combined with sustained investments into productivity increases in plant production. Our analysis emphasizes the importance to integrate demand- and supply-side oriented mitigation strategies and to combine efforts in the crop and livestock sector to enable synergies for climate protection.","container-title":"Global and Planetary Change","DOI":"10.1016/j.gloplacha.2017.10.002","ISSN":"0921-8181","issue":"Supplement C","journalAbbreviation":"Global and Planetary Change","page":"1-10","source":"ScienceDirect","title":"Livestock and human use of land: Productivity trends and dietary choices as drivers of future land and carbon dynamics","title-short":"Livestock and human use of land","volume":"159","author":[{"family":"Weindl","given":"Isabelle"},{"family":"Popp","given":"Alexander"},{"family":"Bodirsky","given":"Benjamin Leon"},{"family":"Rolinski","given":"Susanne"},{"family":"Lotze-Campen","given":"Hermann"},{"family":"Biewald","given":"Anne"},{"family":"Humpenöder","given":"Florian"},{"family":"Dietrich","given":"Jan Philipp"},{"family":"Stevanović","given":"Miodrag"}],"issued":{"date-parts":[["2017",12,1]]}}},{"id":4282,"uris":["http://zotero.org/users/694717/items/KUZF7W6F"],"itemData":{"id":4282,"type":"article-journal","abstract":"Human activities use more than half of accessible freshwater, above all for agriculture. Most approaches for reconciling water conservation with feeding a growing population focus on the cropping sector. However, livestock production is pivotal to agricultural resource use, due to its low resource-use efficiency upstream in the food supply chain. Using a global modelling approach, we quantify the current and future contribution of livestock production, under different demand- and supply-side scenarios, to the consumption of “green” precipitation water infiltrated into the soil and “blue” freshwater withdrawn from rivers, lakes and reservoirs. Currently, cropland feed production accounts for 38% of crop water consumption and grazing involves 29% of total agricultural water consumption (9990km3yr−1). Our analysis shows that changes in diets and livestock productivity have substantial implications for future consumption of agricultural blue water (19–36% increase compared to current levels) and green water (26–69% increase), but they can, at best, slow down trends of rising water requirements for decades to come. However, moderate productivity reductions in highly intensive livestock systems are possible without aggravating water scarcity. Productivity gains in developing regions decrease total agricultural water consumption, but lead to expansion of irrigated agriculture, due to the shift from grassland/green water to cropland/blue water resources. While the magnitude of the livestock water footprint gives cause for concern, neither dietary choices nor changes in livestock productivity will solve the water challenge of future food supply, unless accompanied by dedicated water protection policies.","container-title":"Global Environmental Change","DOI":"10.1016/j.gloenvcha.2017.09.010","ISSN":"0959-3780","issue":"Supplement C","journalAbbreviation":"Global Environmental Change","page":"121-132","source":"ScienceDirect","title":"Livestock production and the water challenge of future food supply: Implications of agricultural management and dietary choices","title-short":"Livestock production and the water challenge of future food supply","volume":"47","author":[{"family":"Weindl","given":"Isabelle"},{"family":"Bodirsky","given":"Benjamin Leon"},{"family":"Rolinski","given":"Susanne"},{"family":"Biewald","given":"Anne"},{"family":"Lotze-Campen","given":"Hermann"},{"family":"Müller","given":"Christoph"},{"family":"Dietrich","given":"Jan Philipp"},{"family":"Humpenöder","given":"Florian"},{"family":"Stevanović","given":"Miodrag"},{"family":"Schaphoff","given":"Sibyll"},{"family":"Popp","given":"Alexander"}],"issued":{"date-parts":[["2017",11,1]]}}}],"schema":"https://github.com/citation-style-language/schema/raw/master/csl-citation.json"} </w:instrText>
      </w:r>
      <w:r w:rsidR="00E25F4A">
        <w:rPr>
          <w:color w:val="000000" w:themeColor="text1"/>
        </w:rPr>
        <w:fldChar w:fldCharType="separate"/>
      </w:r>
      <w:r w:rsidR="00A01D99" w:rsidRPr="00A01D99">
        <w:rPr>
          <w:szCs w:val="24"/>
          <w:vertAlign w:val="superscript"/>
        </w:rPr>
        <w:t>69,70</w:t>
      </w:r>
      <w:r w:rsidR="00E25F4A">
        <w:rPr>
          <w:color w:val="000000" w:themeColor="text1"/>
        </w:rPr>
        <w:fldChar w:fldCharType="end"/>
      </w:r>
      <w:r w:rsidRPr="00FD54EA">
        <w:rPr>
          <w:color w:val="000000" w:themeColor="text1"/>
        </w:rPr>
        <w:t xml:space="preserve">. All other feedbacks of technical mitigation measures are only considered via abatement costs, but not via other model parameters such as livestock productivity, water requirements, crop yields and feed baskets. </w:t>
      </w:r>
    </w:p>
    <w:p w14:paraId="720432FB" w14:textId="77777777" w:rsidR="00BE09F0" w:rsidRPr="00FD54EA" w:rsidRDefault="00FD54EA">
      <w:pPr>
        <w:pStyle w:val="Heading4"/>
        <w:rPr>
          <w:color w:val="000000" w:themeColor="text1"/>
        </w:rPr>
      </w:pPr>
      <w:bookmarkStart w:id="16" w:name="_ihw0oetbcjg8" w:colFirst="0" w:colLast="0"/>
      <w:bookmarkEnd w:id="16"/>
      <w:r w:rsidRPr="00FD54EA">
        <w:rPr>
          <w:color w:val="000000" w:themeColor="text1"/>
        </w:rPr>
        <w:t>S1.1.12 Irrigation</w:t>
      </w:r>
    </w:p>
    <w:p w14:paraId="2624C943" w14:textId="7D655789" w:rsidR="00BE09F0" w:rsidRPr="00FD54EA" w:rsidRDefault="00FD54EA">
      <w:pPr>
        <w:spacing w:before="240"/>
        <w:rPr>
          <w:color w:val="000000" w:themeColor="text1"/>
        </w:rPr>
      </w:pPr>
      <w:proofErr w:type="spellStart"/>
      <w:r w:rsidRPr="00FD54EA">
        <w:rPr>
          <w:color w:val="000000" w:themeColor="text1"/>
        </w:rPr>
        <w:t>MAgPIE</w:t>
      </w:r>
      <w:proofErr w:type="spellEnd"/>
      <w:r w:rsidRPr="00FD54EA">
        <w:rPr>
          <w:color w:val="000000" w:themeColor="text1"/>
        </w:rPr>
        <w:t xml:space="preserve"> </w:t>
      </w:r>
      <w:proofErr w:type="gramStart"/>
      <w:r w:rsidRPr="00FD54EA">
        <w:rPr>
          <w:color w:val="000000" w:themeColor="text1"/>
        </w:rPr>
        <w:t>models</w:t>
      </w:r>
      <w:proofErr w:type="gramEnd"/>
      <w:r w:rsidRPr="00FD54EA">
        <w:rPr>
          <w:color w:val="000000" w:themeColor="text1"/>
        </w:rPr>
        <w:t xml:space="preserve"> irrigation and irrigation expansion endogenously. To which extent cropland is irrigated depends on the yield gain that can be achieved through irrigation in a specific location for the respective crop, unit costs for irrigation area expansion, as well as water demand for irrigation. Irrigation water demand, in turn, depends on local water availability in the growing period in the respective simulation cluster, crop irrigation water requirements, and regionally-specific irrigation efficiency</w:t>
      </w:r>
      <w:r w:rsidR="00E25F4A">
        <w:rPr>
          <w:color w:val="000000" w:themeColor="text1"/>
        </w:rPr>
        <w:fldChar w:fldCharType="begin"/>
      </w:r>
      <w:r w:rsidR="009E54D2">
        <w:rPr>
          <w:color w:val="000000" w:themeColor="text1"/>
        </w:rPr>
        <w:instrText xml:space="preserve"> ADDIN ZOTERO_ITEM CSL_CITATION {"citationID":"uRQSxz2l","properties":{"formattedCitation":"\\super 61\\nosupersub{}","plainCitation":"61","noteIndex":0},"citationItems":[{"id":2090,"uris":["http://zotero.org/users/694717/items/FR48KJ9U"],"itemData":{"id":2090,"type":"article-journal","abstract":"An increasing demand for agricultural goods affects the pressure on global water resources over the coming decades. In order to quantify these effects, we have developed a new agroeconomic water scarcity indicator, considering explicitly economic processes in the agricultural system. The indicator is based on the water shadow price generated by an economic land use model linked to a global vegetation-hydrology model. Irrigation efficiency is implemented as a dynamic input depending on the level of economic development. We are able to simulate the heterogeneous distribution of water supply and agricultural water demand for irrigation through the spatially explicit representation of agricultural production. This allows in identifying regional hot spots of blue water scarcity and explicit shadow prices for water. We generate scenarios based on moderate policies regarding future trade liberalization and the control of livestock-based consumption, dependent on different population and gross domestic product (GDP) projections. Results indicate increased water scarcity in the future, especially in South Asia, the Middle East, and north Africa. In general, water shadow prices decrease with increasing liberalization, foremost in South Asia, Southeast Asia, and the Middle East. Policies to reduce livestock consumption in developed countries not only lower the domestic pressure on water but also alleviate water scarcity to a large extent in developing countries. It is shown that one of the two policy options would be insufficient for most regions to retain water scarcity in 2045 on levels comparable to 2005.","container-title":"Water Resources Research","DOI":"10.1002/wrcr.20188","ISSN":"1944-7973","issue":"6","language":"en","license":"©2013. American Geophysical Union. All Rights Reserved.","page":"3601–3617","source":"Wiley Online Library","title":"Blue water scarcity and the economic impacts of future agricultural trade and demand","volume":"49","author":[{"family":"Schmitz","given":"Christoph"},{"family":"Lotze-Campen","given":"Hermann"},{"family":"Gerten","given":"Dieter"},{"family":"Dietrich","given":"Jan Philipp"},{"family":"Bodirsky","given":"Benjamin"},{"family":"Biewald","given":"Anne"},{"family":"Popp","given":"Alexander"}],"issued":{"date-parts":[["2013"]]}}}],"schema":"https://github.com/citation-style-language/schema/raw/master/csl-citation.json"} </w:instrText>
      </w:r>
      <w:r w:rsidR="00E25F4A">
        <w:rPr>
          <w:color w:val="000000" w:themeColor="text1"/>
        </w:rPr>
        <w:fldChar w:fldCharType="separate"/>
      </w:r>
      <w:r w:rsidR="009E54D2" w:rsidRPr="009E54D2">
        <w:rPr>
          <w:szCs w:val="24"/>
          <w:vertAlign w:val="superscript"/>
        </w:rPr>
        <w:t>61</w:t>
      </w:r>
      <w:r w:rsidR="00E25F4A">
        <w:rPr>
          <w:color w:val="000000" w:themeColor="text1"/>
        </w:rPr>
        <w:fldChar w:fldCharType="end"/>
      </w:r>
      <w:r w:rsidRPr="00FD54EA">
        <w:rPr>
          <w:color w:val="000000" w:themeColor="text1"/>
        </w:rPr>
        <w:t>. Water availability for irrigation in the growing period as well as crop-specific irrigation water requirements per hectare of irrigated land are derived using the global vegetation, hydrology, and crop-growth model LPJmL</w:t>
      </w:r>
      <w:r w:rsidR="00E25F4A">
        <w:rPr>
          <w:color w:val="000000" w:themeColor="text1"/>
        </w:rPr>
        <w:fldChar w:fldCharType="begin"/>
      </w:r>
      <w:r w:rsidR="00E25F4A">
        <w:rPr>
          <w:color w:val="000000" w:themeColor="text1"/>
        </w:rPr>
        <w:instrText xml:space="preserve"> ADDIN ZOTERO_ITEM CSL_CITATION {"citationID":"qXyrZsex","properties":{"formattedCitation":"\\super 31,32\\nosupersub{}","plainCitation":"31,32","noteIndex":0},"citationItems":[{"id":5052,"uris":["http://zotero.org/users/694717/items/UN52Z5MV"],"itemData":{"id":5052,"type":"article-journal","abstract":"&lt;p&gt;&lt;strong&gt;Abstract.&lt;/strong&gt; This paper provides a comprehensive description of the newest version of the Dynamic Global Vegetation Model with managed Land, LPJmL4. This model simulates – internally consistently – the growth and productivity of both natural and agricultural vegetation as coherently linked through their water, carbon, and energy fluxes. These features render LPJmL4 suitable for assessing a broad range of feedbacks within and impacts upon the terrestrial biosphere as increasingly shaped by human activities such as climate change and land use change. Here we describe the core model structure, including recently developed modules now unified in LPJmL4. Thereby, we also review LPJmL model developments and evaluations in the field of permafrost, human and ecological water demand, and improved representation of crop types. We summarize and discuss LPJmL model applications dealing with the impacts of historical and future environmental change on the terrestrial biosphere at regional and global scale and provide a comprehensive overview of LPJmL publications since the first model description in 2007. To demonstrate the main features of the LPJmL4 model, we display reference simulation results for key processes such as the current global distribution of natural and managed ecosystems, their productivities, and associated water fluxes. A thorough evaluation of the model is provided in a companion paper. By making the model source code freely available at &lt;a href=\"https://gitlab.pik-potsdam.de/lpjml/LPJmL\" target=\"_blank\"&gt;https://gitlab.pik-potsdam.de/lpjml/LPJmL&lt;/a&gt;, we hope to stimulate the application and further development of LPJmL4 across scientific communities in support of major activities such as the IPCC and SDG process.&lt;/p&gt;","container-title":"Geoscientific Model Development","DOI":"https://doi.org/10.5194/gmd-11-1343-2018","ISSN":"1991-959X","issue":"4","language":"English","page":"1343-1375","source":"www.geosci-model-dev.net","title":"LPJmL4 – a dynamic global vegetation model with managed land – Part 1: Model description","title-short":"LPJmL4 – a dynamic global vegetation model with managed land – Part 1","volume":"11","author":[{"family":"Schaphoff","given":"Sibyll"},{"family":"Bloh","given":"Werner","non-dropping-particle":"von"},{"family":"Rammig","given":"Anja"},{"family":"Thonicke","given":"Kirsten"},{"family":"Biemans","given":"Hester"},{"family":"Forkel","given":"Matthias"},{"family":"Gerten","given":"Dieter"},{"family":"Heinke","given":"Jens"},{"family":"Jägermeyr","given":"Jonas"},{"family":"Knauer","given":"Jürgen"},{"family":"Langerwisch","given":"Fanny"},{"family":"Lucht","given":"Wolfgang"},{"family":"Müller","given":"Christoph"},{"family":"Rolinski","given":"Susanne"},{"family":"Waha","given":"Katharina"}],"issued":{"date-parts":[["2018",4,12]]}}},{"id":5302,"uris":["http://zotero.org/users/694717/items/XALXVBPE"],"itemData":{"id":5302,"type":"article-journal","abstract":"&lt;p&gt;&lt;strong&gt;Abstract.&lt;/strong&gt; The well-established dynamical global vegetation, hydrology, and crop growth model LPJmL is extended with a terrestrial nitrogen cycle to account for nutrient limitations. In particular, processes of soil nitrogen dynamics, plant uptake, nitrogen allocation, response of photosynthesis and maintenance respiration to varying nitrogen concentrations in plant organs, and agricultural nitrogen management are included in the model. All new model features are described in full detail and the results of a global simulation of the historic past (1901–2009) are presented for evaluation of the model performance. We find that the implementation of nitrogen limitation significantly improves the simulation of global patterns of crop productivity. Regional differences in crop productivity, which had to be calibrated via a scaling of the maximum leaf area index, can now largely be reproduced by the model, except for regions where fertilizer inputs and climate conditions are not the yield-limiting factors. Furthermore, it can be shown that land use has a strong influence on nitrogen losses, increasing leaching by 93&lt;span class=\"thinspace\"&gt;&lt;/span&gt;%.&lt;/p&gt;","container-title":"Geoscientific Model Development","DOI":"https://doi.org/10.5194/gmd-11-2789-2018","ISSN":"1991-959X","issue":"7","language":"English","page":"2789-2812","source":"www.geosci-model-dev.net","title":"Implementing the nitrogen cycle into the dynamic global vegetation, hydrology, and crop growth model LPJmL (version 5.0)","volume":"11","author":[{"family":"Bloh","given":"Werner","non-dropping-particle":"von"},{"family":"Schaphoff","given":"Sibyll"},{"family":"Müller","given":"Christoph"},{"family":"Rolinski","given":"Susanne"},{"family":"Waha","given":"Katharina"},{"family":"Zaehle","given":"Sönke"}],"issued":{"date-parts":[["2018",7,12]]}}}],"schema":"https://github.com/citation-style-language/schema/raw/master/csl-citation.json"} </w:instrText>
      </w:r>
      <w:r w:rsidR="00E25F4A">
        <w:rPr>
          <w:color w:val="000000" w:themeColor="text1"/>
        </w:rPr>
        <w:fldChar w:fldCharType="separate"/>
      </w:r>
      <w:r w:rsidR="00E25F4A" w:rsidRPr="00E25F4A">
        <w:rPr>
          <w:szCs w:val="24"/>
          <w:vertAlign w:val="superscript"/>
        </w:rPr>
        <w:t>31,32</w:t>
      </w:r>
      <w:r w:rsidR="00E25F4A">
        <w:rPr>
          <w:color w:val="000000" w:themeColor="text1"/>
        </w:rPr>
        <w:fldChar w:fldCharType="end"/>
      </w:r>
      <w:r w:rsidRPr="00FD54EA">
        <w:rPr>
          <w:color w:val="000000" w:themeColor="text1"/>
        </w:rPr>
        <w:t xml:space="preserve">. </w:t>
      </w:r>
    </w:p>
    <w:p w14:paraId="6C49E67B" w14:textId="02430100" w:rsidR="00BE09F0" w:rsidRPr="00FD54EA" w:rsidRDefault="00FD54EA">
      <w:pPr>
        <w:spacing w:before="240"/>
        <w:rPr>
          <w:color w:val="000000" w:themeColor="text1"/>
        </w:rPr>
      </w:pPr>
      <w:r w:rsidRPr="00FD54EA">
        <w:rPr>
          <w:color w:val="000000" w:themeColor="text1"/>
        </w:rPr>
        <w:t xml:space="preserve">To derive irrigation water availability at the aggregated resolution of 1000 spatial clusters, monthly basin runoff at 0.5° spatial resolution, as provided by </w:t>
      </w:r>
      <w:proofErr w:type="spellStart"/>
      <w:r w:rsidRPr="00FD54EA">
        <w:rPr>
          <w:color w:val="000000" w:themeColor="text1"/>
        </w:rPr>
        <w:t>LPJmL</w:t>
      </w:r>
      <w:proofErr w:type="spellEnd"/>
      <w:r w:rsidRPr="00FD54EA">
        <w:rPr>
          <w:color w:val="000000" w:themeColor="text1"/>
        </w:rPr>
        <w:t>, is allocated to its respective river basin grid cells using monthly discharge as allocation weight and then aggregated to the spatial cluster unit used in MAgPIE</w:t>
      </w:r>
      <w:r w:rsidR="00E25F4A">
        <w:rPr>
          <w:color w:val="000000" w:themeColor="text1"/>
        </w:rPr>
        <w:fldChar w:fldCharType="begin"/>
      </w:r>
      <w:r w:rsidR="00E25F4A">
        <w:rPr>
          <w:color w:val="000000" w:themeColor="text1"/>
        </w:rPr>
        <w:instrText xml:space="preserve"> ADDIN ZOTERO_ITEM CSL_CITATION {"citationID":"81RbbWMg","properties":{"formattedCitation":"\\super 45\\nosupersub{}","plainCitation":"45","noteIndex":0},"citationItems":[{"id":3125,"uris":["http://zotero.org/users/694717/items/HW4QDRPV"],"itemData":{"id":3125,"type":"article-journal","abstract":"Human activity has led to freshwater ecosystem degradation in the past and is likely to continue doing so if no appropriate protection mechanisms are implemented. One potential protection measure is the reallocation of water from human use to environmental purposes – also called environmental flows. Such reallocation may decrease the availability of irrigation water with possible adverse effects on agricultural production. In this analysis, we provide an initial quantitative estimate of how the allocation of annual volumes of water for environmental flow protection (EFP) might influence the food production system on a global scale. The application of a spatially explicit global land and water-use allocation model (MAgPIE) allows us to explore the effect of EFP on agricultural water withdrawals. We will also examine associated reactions in terms of land-use changes and agricultural intensification. Our results suggest that the implications of conserving annual volumes of water for EFP on the land-use system are moderate on an aggregate global level. Cropland expansion into unmanaged land arising from increased food demand up to 2045 is higher by a factor 5–9 than cropland expansion induced by EFP. Global forest losses associated with EFP remain below 1% of current forest area. Production reallocation and associated land-use change hotspots suggest that local effects are of more concern than aggregate cropland expansion and deforestation.","container-title":"Global Environmental Change","DOI":"10.1016/j.gloenvcha.2014.10.015","ISSN":"0959-3780","journalAbbreviation":"Global Environmental Change","page":"113-132","source":"ScienceDirect","title":"Environmental flow provision: Implications for agricultural water and land-use at the global scale","title-short":"Environmental flow provision","volume":"30","author":[{"family":"Bonsch","given":"Markus"},{"family":"Popp","given":"Alexander"},{"family":"Biewald","given":"Anne"},{"family":"Rolinski","given":"Susanne"},{"family":"Schmitz","given":"Christoph"},{"family":"Weindl","given":"Isabelle"},{"family":"Stevanovic","given":"Miodrag"},{"family":"Högner","given":"Kathrin"},{"family":"Heinke","given":"Jens"},{"family":"Ostberg","given":"Sebastian"},{"family":"Dietrich","given":"Jan Philipp"},{"family":"Bodirsky","given":"Benjamin"},{"family":"Lotze-Campen","given":"Hermann"},{"family":"Humpenöder","given":"Florian"}],"issued":{"date-parts":[["2015",1]]}}}],"schema":"https://github.com/citation-style-language/schema/raw/master/csl-citation.json"} </w:instrText>
      </w:r>
      <w:r w:rsidR="00E25F4A">
        <w:rPr>
          <w:color w:val="000000" w:themeColor="text1"/>
        </w:rPr>
        <w:fldChar w:fldCharType="separate"/>
      </w:r>
      <w:r w:rsidR="00E25F4A" w:rsidRPr="00E25F4A">
        <w:rPr>
          <w:szCs w:val="24"/>
          <w:vertAlign w:val="superscript"/>
        </w:rPr>
        <w:t>45</w:t>
      </w:r>
      <w:r w:rsidR="00E25F4A">
        <w:rPr>
          <w:color w:val="000000" w:themeColor="text1"/>
        </w:rPr>
        <w:fldChar w:fldCharType="end"/>
      </w:r>
      <w:r w:rsidRPr="00FD54EA">
        <w:rPr>
          <w:color w:val="000000" w:themeColor="text1"/>
        </w:rPr>
        <w:t>. Exogenous non-agricultural water demand is provided by the WATERGAP model</w:t>
      </w:r>
      <w:r w:rsidR="00E25F4A">
        <w:rPr>
          <w:color w:val="000000" w:themeColor="text1"/>
        </w:rPr>
        <w:fldChar w:fldCharType="begin"/>
      </w:r>
      <w:r w:rsidR="00A01D99">
        <w:rPr>
          <w:color w:val="000000" w:themeColor="text1"/>
        </w:rPr>
        <w:instrText xml:space="preserve"> ADDIN ZOTERO_ITEM CSL_CITATION {"citationID":"oqSONTOD","properties":{"formattedCitation":"\\super 75\\nosupersub{}","plainCitation":"75","noteIndex":0},"citationItems":[{"id":9471,"uris":["http://zotero.org/users/694717/items/D3CZEDMQ"],"itemData":{"id":9471,"type":"article-journal","abstract":"To sustain growing food demand and increasing standard of living, global water use increased by nearly 6 times during the last 100 years, and continues to grow. As water demands get closer and closer to the water availability in many regions, each drop of water becomes increasingly valuable and water must be managed more efficiently and intensively. However, soaring water use worsens water scarcity conditions already prevalent in semi-arid and arid regions, increasing uncertainty for sustainable food production and economic development. Planning for future development and investments requires that we prepare water projections for the future. However, estimations are complicated because the future of the world's waters will be influenced by a combination of environmental, social, economic, and political factors, and there is only limited knowledge and data available about freshwater resources and how they are being used. The Water Futures and Solutions (WFaS) initiative coordinates its work with other ongoing scenario efforts for the sake of establishing a consistent set of new global water scenarios based on the shared socio-economic pathways (SSPs) and the representative concentration pathways (RCPs). The WFaS \"fast-track\" assessment uses three global water models, namely H08, PCR-GLOBWB, and WaterGAP. This study assesses the state of the art for estimating and projecting water use regionally and globally in a consistent manner. It provides an overview of different approaches, the uncertainty, strengths and weaknesses of the various estimation methods, types of management and policy decisions for which the current estimation methods are useful. We also discuss additional information most needed to be able to improve water use estimates and be able to assess a greater range of management options across the water–energy–climate nexus.","container-title":"Geoscientific Model Development","DOI":"10.5194/gmd-9-175-2016","ISSN":"1991-959X","issue":"1","language":"English","note":"publisher: Copernicus GmbH","page":"175-222","source":"Copernicus Online Journals","title":"Modeling global water use for the 21st century: the Water Futures and Solutions (WFaS) initiative and its approaches","title-short":"Modeling global water use for the 21st century","volume":"9","author":[{"family":"Wada","given":"Y."},{"family":"Flörke","given":"M."},{"family":"Hanasaki","given":"N."},{"family":"Eisner","given":"S."},{"family":"Fischer","given":"G."},{"family":"Tramberend","given":"S."},{"family":"Satoh","given":"Y."},{"family":"Vliet","given":"M. T. H.","non-dropping-particle":"van"},{"family":"Yillia","given":"P."},{"family":"Ringler","given":"C."},{"family":"Burek","given":"P."},{"family":"Wiberg","given":"D."}],"issued":{"date-parts":[["2016",1,21]]}}}],"schema":"https://github.com/citation-style-language/schema/raw/master/csl-citation.json"} </w:instrText>
      </w:r>
      <w:r w:rsidR="00E25F4A">
        <w:rPr>
          <w:color w:val="000000" w:themeColor="text1"/>
        </w:rPr>
        <w:fldChar w:fldCharType="separate"/>
      </w:r>
      <w:r w:rsidR="00A01D99" w:rsidRPr="00A01D99">
        <w:rPr>
          <w:szCs w:val="24"/>
          <w:vertAlign w:val="superscript"/>
        </w:rPr>
        <w:t>75</w:t>
      </w:r>
      <w:r w:rsidR="00E25F4A">
        <w:rPr>
          <w:color w:val="000000" w:themeColor="text1"/>
        </w:rPr>
        <w:fldChar w:fldCharType="end"/>
      </w:r>
      <w:r w:rsidRPr="00FD54EA">
        <w:rPr>
          <w:color w:val="000000" w:themeColor="text1"/>
        </w:rPr>
        <w:t xml:space="preserve"> and prioritized due to a higher marginal value for industry, manufacturing, and households.</w:t>
      </w:r>
    </w:p>
    <w:p w14:paraId="6A1BE009" w14:textId="07EC11D6" w:rsidR="00BE09F0" w:rsidRPr="00FD54EA" w:rsidRDefault="00FD54EA">
      <w:pPr>
        <w:spacing w:before="240"/>
        <w:rPr>
          <w:color w:val="000000" w:themeColor="text1"/>
        </w:rPr>
      </w:pPr>
      <w:r w:rsidRPr="00FD54EA">
        <w:rPr>
          <w:color w:val="000000" w:themeColor="text1"/>
        </w:rPr>
        <w:t xml:space="preserve">To assess the environmental impact of water withdrawals, we calculate Environmental Water Flow Violations as the volume of water withdrawn that exceeds a sustainable level in each simulation cluster. To derive the environmental flow requirement volume, we use monthly discharge at 0.5° spatial resolution provided by </w:t>
      </w:r>
      <w:proofErr w:type="spellStart"/>
      <w:r w:rsidRPr="00FD54EA">
        <w:rPr>
          <w:color w:val="000000" w:themeColor="text1"/>
        </w:rPr>
        <w:t>LPJmL</w:t>
      </w:r>
      <w:proofErr w:type="spellEnd"/>
      <w:r w:rsidRPr="00FD54EA">
        <w:rPr>
          <w:color w:val="000000" w:themeColor="text1"/>
        </w:rPr>
        <w:t xml:space="preserve"> using the </w:t>
      </w:r>
      <w:proofErr w:type="spellStart"/>
      <w:r w:rsidRPr="00FD54EA">
        <w:rPr>
          <w:color w:val="000000" w:themeColor="text1"/>
        </w:rPr>
        <w:t>Smakthin</w:t>
      </w:r>
      <w:proofErr w:type="spellEnd"/>
      <w:r w:rsidRPr="00FD54EA">
        <w:rPr>
          <w:color w:val="000000" w:themeColor="text1"/>
        </w:rPr>
        <w:t xml:space="preserve"> method</w:t>
      </w:r>
      <w:r w:rsidR="001B2B1E">
        <w:rPr>
          <w:color w:val="000000" w:themeColor="text1"/>
        </w:rPr>
        <w:fldChar w:fldCharType="begin"/>
      </w:r>
      <w:r w:rsidR="009E54D2">
        <w:rPr>
          <w:color w:val="000000" w:themeColor="text1"/>
        </w:rPr>
        <w:instrText xml:space="preserve"> ADDIN ZOTERO_ITEM CSL_CITATION {"citationID":"HvqEEzdq","properties":{"formattedCitation":"\\super 66\\nosupersub{}","plainCitation":"66","noteIndex":0},"citationItems":[{"id":6422,"uris":["http://zotero.org/users/694717/items/L2NYTCVM"],"itemData":{"id":6422,"type":"article-journal","abstract":"This paper presents a first attempt to estimate the volume of water required for the maintenance of freshwater-dependent ecosystems at the global scale. This total environmental water requirement consists of ecologically relevant low-flow and high-flow components and depends upon the objective of environmental water management. Both components are related to river flow variability and estimated by conceptual rules from discharge time series simulated by the global hydrology model. A water stress indicator is further defined, which shows what proportion of the utilizable water in world river basins is currently withdrawn for direct human use and where this use is in conflict with environmental water requirements. The paper presents an estimate of environmental water requirements for 128 major river basins and drainage regions of the world. It is shown that approximately 20 to 50 percent of the mean annual river flow in different basins needs to be allocated to freshwater-dependent ecosystems to maintain them in fair conditions. This is unlikely to be possible in many developing countries in Asia and North Africa, in parts of Australia, North America, and Europe, where current total direct water withdrawals (primarily for irrigation) already tap into the estimated environmental water requirements. Over 1.4 billion people currently live in river basins with high environmental water stress. This number will increase as water withdrawals grow and if environmental water allocations remain beyond the common practice in river basin management. This paper suggests that estimates of environmental water requirements should be the integral part of global water assessments and projections of global food production.","container-title":"Water International","DOI":"10.1080/02508060408691785","ISSN":"0250-8060","issue":"3","page":"307-317","source":"Taylor and Francis+NEJM","title":"A Pilot Global Assessment of Environmental Water Requirements and Scarcity","volume":"29","author":[{"family":"Smakhtin","given":"Vladimir"},{"family":"Revenga","given":"Carmen"},{"family":"Döll","given":"Petra"}],"issued":{"date-parts":[["2004",9,1]]}}}],"schema":"https://github.com/citation-style-language/schema/raw/master/csl-citation.json"} </w:instrText>
      </w:r>
      <w:r w:rsidR="001B2B1E">
        <w:rPr>
          <w:color w:val="000000" w:themeColor="text1"/>
        </w:rPr>
        <w:fldChar w:fldCharType="separate"/>
      </w:r>
      <w:r w:rsidR="009E54D2" w:rsidRPr="009E54D2">
        <w:rPr>
          <w:szCs w:val="24"/>
          <w:vertAlign w:val="superscript"/>
        </w:rPr>
        <w:t>66</w:t>
      </w:r>
      <w:r w:rsidR="001B2B1E">
        <w:rPr>
          <w:color w:val="000000" w:themeColor="text1"/>
        </w:rPr>
        <w:fldChar w:fldCharType="end"/>
      </w:r>
      <w:r w:rsidRPr="00FD54EA">
        <w:rPr>
          <w:color w:val="000000" w:themeColor="text1"/>
        </w:rPr>
        <w:t xml:space="preserve"> and aggregate the respective water volume reserved for the environment to the simulation cluster level</w:t>
      </w:r>
      <w:r w:rsidR="001B2B1E">
        <w:rPr>
          <w:color w:val="000000" w:themeColor="text1"/>
        </w:rPr>
        <w:fldChar w:fldCharType="begin"/>
      </w:r>
      <w:r w:rsidR="001B2B1E">
        <w:rPr>
          <w:color w:val="000000" w:themeColor="text1"/>
        </w:rPr>
        <w:instrText xml:space="preserve"> ADDIN ZOTERO_ITEM CSL_CITATION {"citationID":"pHizYZUK","properties":{"formattedCitation":"\\super 45\\nosupersub{}","plainCitation":"45","noteIndex":0},"citationItems":[{"id":3125,"uris":["http://zotero.org/users/694717/items/HW4QDRPV"],"itemData":{"id":3125,"type":"article-journal","abstract":"Human activity has led to freshwater ecosystem degradation in the past and is likely to continue doing so if no appropriate protection mechanisms are implemented. One potential protection measure is the reallocation of water from human use to environmental purposes – also called environmental flows. Such reallocation may decrease the availability of irrigation water with possible adverse effects on agricultural production. In this analysis, we provide an initial quantitative estimate of how the allocation of annual volumes of water for environmental flow protection (EFP) might influence the food production system on a global scale. The application of a spatially explicit global land and water-use allocation model (MAgPIE) allows us to explore the effect of EFP on agricultural water withdrawals. We will also examine associated reactions in terms of land-use changes and agricultural intensification. Our results suggest that the implications of conserving annual volumes of water for EFP on the land-use system are moderate on an aggregate global level. Cropland expansion into unmanaged land arising from increased food demand up to 2045 is higher by a factor 5–9 than cropland expansion induced by EFP. Global forest losses associated with EFP remain below 1% of current forest area. Production reallocation and associated land-use change hotspots suggest that local effects are of more concern than aggregate cropland expansion and deforestation.","container-title":"Global Environmental Change","DOI":"10.1016/j.gloenvcha.2014.10.015","ISSN":"0959-3780","journalAbbreviation":"Global Environmental Change","page":"113-132","source":"ScienceDirect","title":"Environmental flow provision: Implications for agricultural water and land-use at the global scale","title-short":"Environmental flow provision","volume":"30","author":[{"family":"Bonsch","given":"Markus"},{"family":"Popp","given":"Alexander"},{"family":"Biewald","given":"Anne"},{"family":"Rolinski","given":"Susanne"},{"family":"Schmitz","given":"Christoph"},{"family":"Weindl","given":"Isabelle"},{"family":"Stevanovic","given":"Miodrag"},{"family":"Högner","given":"Kathrin"},{"family":"Heinke","given":"Jens"},{"family":"Ostberg","given":"Sebastian"},{"family":"Dietrich","given":"Jan Philipp"},{"family":"Bodirsky","given":"Benjamin"},{"family":"Lotze-Campen","given":"Hermann"},{"family":"Humpenöder","given":"Florian"}],"issued":{"date-parts":[["2015",1]]}}}],"schema":"https://github.com/citation-style-language/schema/raw/master/csl-citation.json"} </w:instrText>
      </w:r>
      <w:r w:rsidR="001B2B1E">
        <w:rPr>
          <w:color w:val="000000" w:themeColor="text1"/>
        </w:rPr>
        <w:fldChar w:fldCharType="separate"/>
      </w:r>
      <w:r w:rsidR="001B2B1E" w:rsidRPr="001B2B1E">
        <w:rPr>
          <w:szCs w:val="24"/>
          <w:vertAlign w:val="superscript"/>
        </w:rPr>
        <w:t>45</w:t>
      </w:r>
      <w:r w:rsidR="001B2B1E">
        <w:rPr>
          <w:color w:val="000000" w:themeColor="text1"/>
        </w:rPr>
        <w:fldChar w:fldCharType="end"/>
      </w:r>
      <w:r w:rsidRPr="00FD54EA">
        <w:rPr>
          <w:color w:val="000000" w:themeColor="text1"/>
        </w:rPr>
        <w:t>. Due to the temporal and spatial aggregation, variations may be averaged out and violations underestimated, such that our estimate of the global environmental flow violation (EFV) volume is conservative. The water scarcity index (used in Extended Data Figure 1) is calculated as the ratio of water withdrawals to water availability.</w:t>
      </w:r>
    </w:p>
    <w:p w14:paraId="4A6EB414" w14:textId="77777777" w:rsidR="00BE09F0" w:rsidRPr="00FD54EA" w:rsidRDefault="00FD54EA">
      <w:pPr>
        <w:spacing w:before="240"/>
        <w:rPr>
          <w:color w:val="000000" w:themeColor="text1"/>
        </w:rPr>
      </w:pPr>
      <w:r w:rsidRPr="00FD54EA">
        <w:rPr>
          <w:color w:val="000000" w:themeColor="text1"/>
        </w:rPr>
        <w:t xml:space="preserve">In the </w:t>
      </w:r>
      <w:proofErr w:type="spellStart"/>
      <w:r w:rsidRPr="00FD54EA">
        <w:rPr>
          <w:i/>
          <w:color w:val="000000" w:themeColor="text1"/>
        </w:rPr>
        <w:t>WaterConservation</w:t>
      </w:r>
      <w:proofErr w:type="spellEnd"/>
      <w:r w:rsidRPr="00FD54EA">
        <w:rPr>
          <w:color w:val="000000" w:themeColor="text1"/>
        </w:rPr>
        <w:t xml:space="preserve"> FSM, we do not allow agricultural water withdrawals that violate the EFR volumes in a given area.</w:t>
      </w:r>
    </w:p>
    <w:p w14:paraId="13FF31F1" w14:textId="10C4FCE9" w:rsidR="00BE09F0" w:rsidRPr="00FD54EA" w:rsidRDefault="00FD54EA">
      <w:pPr>
        <w:spacing w:before="240"/>
        <w:rPr>
          <w:color w:val="000000" w:themeColor="text1"/>
        </w:rPr>
      </w:pPr>
      <w:r w:rsidRPr="00FD54EA">
        <w:rPr>
          <w:color w:val="000000" w:themeColor="text1"/>
        </w:rPr>
        <w:t xml:space="preserve">In the </w:t>
      </w:r>
      <w:proofErr w:type="spellStart"/>
      <w:r w:rsidRPr="00FD54EA">
        <w:rPr>
          <w:i/>
          <w:color w:val="000000" w:themeColor="text1"/>
        </w:rPr>
        <w:t>EnergyTrans</w:t>
      </w:r>
      <w:proofErr w:type="spellEnd"/>
      <w:r w:rsidRPr="00FD54EA">
        <w:rPr>
          <w:color w:val="000000" w:themeColor="text1"/>
        </w:rPr>
        <w:t xml:space="preserve"> cross-sector measure, we switch the non-agricultural water demand from SSP2 to SSP1</w:t>
      </w:r>
      <w:r w:rsidR="00E25F4A">
        <w:rPr>
          <w:color w:val="000000" w:themeColor="text1"/>
        </w:rPr>
        <w:fldChar w:fldCharType="begin"/>
      </w:r>
      <w:r w:rsidR="00A01D99">
        <w:rPr>
          <w:color w:val="000000" w:themeColor="text1"/>
        </w:rPr>
        <w:instrText xml:space="preserve"> ADDIN ZOTERO_ITEM CSL_CITATION {"citationID":"sYdpq4N1","properties":{"formattedCitation":"\\super 75\\nosupersub{}","plainCitation":"75","noteIndex":0},"citationItems":[{"id":9471,"uris":["http://zotero.org/users/694717/items/D3CZEDMQ"],"itemData":{"id":9471,"type":"article-journal","abstract":"To sustain growing food demand and increasing standard of living, global water use increased by nearly 6 times during the last 100 years, and continues to grow. As water demands get closer and closer to the water availability in many regions, each drop of water becomes increasingly valuable and water must be managed more efficiently and intensively. However, soaring water use worsens water scarcity conditions already prevalent in semi-arid and arid regions, increasing uncertainty for sustainable food production and economic development. Planning for future development and investments requires that we prepare water projections for the future. However, estimations are complicated because the future of the world's waters will be influenced by a combination of environmental, social, economic, and political factors, and there is only limited knowledge and data available about freshwater resources and how they are being used. The Water Futures and Solutions (WFaS) initiative coordinates its work with other ongoing scenario efforts for the sake of establishing a consistent set of new global water scenarios based on the shared socio-economic pathways (SSPs) and the representative concentration pathways (RCPs). The WFaS \"fast-track\" assessment uses three global water models, namely H08, PCR-GLOBWB, and WaterGAP. This study assesses the state of the art for estimating and projecting water use regionally and globally in a consistent manner. It provides an overview of different approaches, the uncertainty, strengths and weaknesses of the various estimation methods, types of management and policy decisions for which the current estimation methods are useful. We also discuss additional information most needed to be able to improve water use estimates and be able to assess a greater range of management options across the water–energy–climate nexus.","container-title":"Geoscientific Model Development","DOI":"10.5194/gmd-9-175-2016","ISSN":"1991-959X","issue":"1","language":"English","note":"publisher: Copernicus GmbH","page":"175-222","source":"Copernicus Online Journals","title":"Modeling global water use for the 21st century: the Water Futures and Solutions (WFaS) initiative and its approaches","title-short":"Modeling global water use for the 21st century","volume":"9","author":[{"family":"Wada","given":"Y."},{"family":"Flörke","given":"M."},{"family":"Hanasaki","given":"N."},{"family":"Eisner","given":"S."},{"family":"Fischer","given":"G."},{"family":"Tramberend","given":"S."},{"family":"Satoh","given":"Y."},{"family":"Vliet","given":"M. T. H.","non-dropping-particle":"van"},{"family":"Yillia","given":"P."},{"family":"Ringler","given":"C."},{"family":"Burek","given":"P."},{"family":"Wiberg","given":"D."}],"issued":{"date-parts":[["2016",1,21]]}}}],"schema":"https://github.com/citation-style-language/schema/raw/master/csl-citation.json"} </w:instrText>
      </w:r>
      <w:r w:rsidR="00E25F4A">
        <w:rPr>
          <w:color w:val="000000" w:themeColor="text1"/>
        </w:rPr>
        <w:fldChar w:fldCharType="separate"/>
      </w:r>
      <w:r w:rsidR="00A01D99" w:rsidRPr="00A01D99">
        <w:rPr>
          <w:szCs w:val="24"/>
          <w:vertAlign w:val="superscript"/>
        </w:rPr>
        <w:t>75</w:t>
      </w:r>
      <w:r w:rsidR="00E25F4A">
        <w:rPr>
          <w:color w:val="000000" w:themeColor="text1"/>
        </w:rPr>
        <w:fldChar w:fldCharType="end"/>
      </w:r>
      <w:r w:rsidRPr="00FD54EA">
        <w:rPr>
          <w:color w:val="000000" w:themeColor="text1"/>
        </w:rPr>
        <w:t>.</w:t>
      </w:r>
    </w:p>
    <w:p w14:paraId="402BB9C0" w14:textId="77777777" w:rsidR="00BE09F0" w:rsidRPr="00FD54EA" w:rsidRDefault="00BE09F0">
      <w:pPr>
        <w:rPr>
          <w:color w:val="000000" w:themeColor="text1"/>
        </w:rPr>
      </w:pPr>
    </w:p>
    <w:p w14:paraId="6881D45D" w14:textId="77777777" w:rsidR="00BE09F0" w:rsidRPr="00FD54EA" w:rsidRDefault="00FD54EA">
      <w:pPr>
        <w:pStyle w:val="Heading3"/>
        <w:rPr>
          <w:color w:val="000000" w:themeColor="text1"/>
        </w:rPr>
      </w:pPr>
      <w:bookmarkStart w:id="17" w:name="_1pxvonjf839r" w:colFirst="0" w:colLast="0"/>
      <w:bookmarkEnd w:id="17"/>
      <w:r w:rsidRPr="00FD54EA">
        <w:rPr>
          <w:color w:val="000000" w:themeColor="text1"/>
        </w:rPr>
        <w:lastRenderedPageBreak/>
        <w:t>S1.2: Extended REMIND description</w:t>
      </w:r>
    </w:p>
    <w:p w14:paraId="57BCD6EA" w14:textId="087C663E" w:rsidR="00BE09F0" w:rsidRPr="00FD54EA" w:rsidRDefault="00FD54EA">
      <w:pPr>
        <w:spacing w:before="240"/>
        <w:rPr>
          <w:color w:val="000000" w:themeColor="text1"/>
        </w:rPr>
      </w:pPr>
      <w:r w:rsidRPr="00FD54EA">
        <w:rPr>
          <w:color w:val="000000" w:themeColor="text1"/>
        </w:rPr>
        <w:t xml:space="preserve">Section S1.2 describes the REMIND model methodology as it was applied </w:t>
      </w:r>
      <w:r w:rsidR="00E25F4A">
        <w:rPr>
          <w:color w:val="000000" w:themeColor="text1"/>
        </w:rPr>
        <w:t>previously</w:t>
      </w:r>
      <w:r w:rsidRPr="00FD54EA">
        <w:rPr>
          <w:color w:val="000000" w:themeColor="text1"/>
        </w:rPr>
        <w:t>, and therefore also contains worldly text elements from these papers</w:t>
      </w:r>
      <w:r w:rsidR="00E25F4A">
        <w:rPr>
          <w:color w:val="000000" w:themeColor="text1"/>
        </w:rPr>
        <w:fldChar w:fldCharType="begin"/>
      </w:r>
      <w:r w:rsidR="00A01D99">
        <w:rPr>
          <w:color w:val="000000" w:themeColor="text1"/>
        </w:rPr>
        <w:instrText xml:space="preserve"> ADDIN ZOTERO_ITEM CSL_CITATION {"citationID":"ek0EHKdO","properties":{"formattedCitation":"\\super 25,142,143\\nosupersub{}","plainCitation":"25,142,143","noteIndex":0},"citationItems":[{"id":7587,"uris":["http://zotero.org/users/694717/items/F9LEZKZA"],"itemData":{"id":7587,"type":"article-journal","abstract":"Ambitious climate policies, as well as economic development, education, technological progress and less resource-intensive lifestyles, are crucial elements for progress towards the UN Sustainable Development Goals (SDGs). However, using an integrated modelling framework covering 56 indicators or proxies across all 17 SDGs, we show that they are insufficient to reach the targets. An additional sustainable development package, including international climate finance, progressive redistribution of carbon pricing revenues, sufficient and healthy nutrition and improved access to modern energy, enables a more comprehensive sustainable development pathway. We quantify climate and SDG outcomes, showing that these interventions substantially boost progress towards many aspects of the UN Agenda 2030 and simultaneously facilitate reaching ambitious climate targets. Nonetheless, several important gaps remain; for example, with respect to the eradication of extreme poverty (180 million people remaining in 2030). These gaps can be closed by 2050 for many SDGs while also respecting the 1.5 °C target and several other planetary boundaries.","container-title":"Nature Climate Change","DOI":"10.1038/s41558-021-01098-3","ISSN":"1758-6798","issue":"8","journalAbbreviation":"Nat. Clim. Chang.","language":"en","license":"2021 The Author(s), under exclusive licence to Springer Nature Limited","note":"Bandiera_abtest: a\nCg_type: Nature Research Journals\nnumber: 8\nPrimary_atype: Research\npublisher: Nature Publishing Group\nSubject_term: Climate-change mitigation;Climate-change policy;Socioeconomic scenarios;Sustainability\nSubject_term_id: climate-change-mitigation;climate-change-policy;socioeconomic-scenarios;sustainability","page":"656-664","source":"www.nature.com","title":"A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Jeetze","given":"Patrick","non-dropping-particle":"von"},{"family":"Klein","given":"David"},{"family":"Koch","given":"Johannes"},{"family":"Pietzcker","given":"Robert"},{"family":"Strefler","given":"Jessica"},{"family":"Lotze-Campen","given":"Hermann"},{"family":"Popp","given":"Alexander"}],"issued":{"date-parts":[["2021",8]]}},"locator":"202"},{"id":7291,"uris":["http://zotero.org/users/694717/items/URG6TKMC"],"itemData":{"id":7291,"type":"article-journal","abstract":"The large majority of climate change mitigation scenarios that hold warming below 2 °C show high deployment of carbon dioxide removal (CDR), resulting in a peak-and-decline behavior in global temperature. This is driven by the assumption of an exponentially increasing carbon price trajectory which is perceived to be economically optimal for meeting a carbon budget. However, this optimality relies on the assumption that a finite carbon budget associated with a temperature target is filled up steadily over time. The availability of net carbon removals invalidates this assumption and therefore a different carbon price trajectory should be chosen. We show how the optimal carbon price path for remaining well below 2 °C limits CDR demand and analyze requirements for constructing alternatives, which may be easier to implement in reality. We show that warming can be held at well below 2 °C at much lower long-term economic effort and lower CDR deployment and therefore lower risks if carbon prices are high enough in the beginning to ensure target compliance, but increase at a lower rate after carbon neutrality has been reached.","container-title":"Nature Communications","DOI":"10.1038/s41467-021-22211-2","ISSN":"2041-1723","issue":"1","language":"en","license":"2021 The Author(s)","note":"number: 1\npublisher: Nature Publishing Group","page":"2264","source":"www.nature.com","title":"Alternative carbon price trajectories can avoid excessive carbon removal","volume":"12","author":[{"family":"Strefler","given":"Jessica"},{"family":"Kriegler","given":"Elmar"},{"family":"Bauer","given":"Nico"},{"family":"Luderer","given":"Gunnar"},{"family":"Pietzcker","given":"Robert C."},{"family":"Giannousakis","given":"Anastasis"},{"family":"Edenhofer","given":"Ottmar"}],"issued":{"date-parts":[["2021",4,15]]}}},{"id":7616,"uris":["http://zotero.org/users/694717/items/BMT3P5GI"],"itemData":{"id":7616,"type":"article-journal","abstract":"Technologies for carbon dioxide removal (CDR) from the atmosphere have been recognized as an important part of limiting warming to well below 2 °C called for in the Paris Agreement. However, many scenarios so far rely on bioenergy in combination with carbon capture and storage as the only CDR technology. Various other options have been proposed, but have scarcely been taken up in an integrated assessment of mitigation pathways. In this study we analyze a comprehensive portfolio of CDR options in terms of their regional and temporal deployment patterns in climate change mitigation pathways and the resulting challenges. We show that any CDR option with sufficient potential can reduce the economic costs of achieving the 1.5 °C target substantially without increasing the temperature overshoot. CDR helps to reduce net CO2 emissions faster and achieve carbon neutrality earlier. The regional distribution of CDR deployment in cost-effective mitigation pathways depends on which options are available. If only enhanced weathering of rocks on croplands or re- and afforestation are available, Latin America and Asia cover nearly all of global CDR deployment. Besides fairness and sustainability concerns, such a regional concentration would require large international transfers and thus strong international institutions. In our study, the full portfolio scenario is the most balanced from a regional perspective. This indicates that different CDR options should be developed such that all regions can contribute according to their regional potentials.","container-title":"Environmental Research Letters","DOI":"10.1088/1748-9326/ac0a11","ISSN":"1748-9326","issue":"7","journalAbbreviation":"Environ. Res. Lett.","language":"en","note":"publisher: IOP Publishing","page":"074021","source":"Institute of Physics","title":"Carbon dioxide removal technologies are not born equal","volume":"16","author":[{"family":"Strefler","given":"Jessica"},{"family":"Bauer","given":"Nico"},{"family":"Humpenöder","given":"Florian"},{"family":"Klein","given":"David"},{"family":"Popp","given":"Alexander"},{"family":"Kriegler","given":"Elmar"}],"issued":{"date-parts":[["2021",7]]}}}],"schema":"https://github.com/citation-style-language/schema/raw/master/csl-citation.json"} </w:instrText>
      </w:r>
      <w:r w:rsidR="00E25F4A">
        <w:rPr>
          <w:color w:val="000000" w:themeColor="text1"/>
        </w:rPr>
        <w:fldChar w:fldCharType="separate"/>
      </w:r>
      <w:r w:rsidR="00A01D99" w:rsidRPr="00A01D99">
        <w:rPr>
          <w:szCs w:val="24"/>
          <w:vertAlign w:val="superscript"/>
        </w:rPr>
        <w:t>25,142,143</w:t>
      </w:r>
      <w:r w:rsidR="00E25F4A">
        <w:rPr>
          <w:color w:val="000000" w:themeColor="text1"/>
        </w:rPr>
        <w:fldChar w:fldCharType="end"/>
      </w:r>
      <w:r w:rsidRPr="00FD54EA">
        <w:rPr>
          <w:color w:val="000000" w:themeColor="text1"/>
        </w:rPr>
        <w:t xml:space="preserve">. </w:t>
      </w:r>
    </w:p>
    <w:p w14:paraId="028DB4C4" w14:textId="0F8BD8FC" w:rsidR="00BE09F0" w:rsidRPr="00FD54EA" w:rsidRDefault="00FD54EA">
      <w:pPr>
        <w:spacing w:before="240"/>
        <w:rPr>
          <w:color w:val="000000" w:themeColor="text1"/>
        </w:rPr>
      </w:pPr>
      <w:r w:rsidRPr="00FD54EA">
        <w:rPr>
          <w:color w:val="000000" w:themeColor="text1"/>
        </w:rPr>
        <w:t>REMIND calculates CO</w:t>
      </w:r>
      <w:r w:rsidRPr="00FD54EA">
        <w:rPr>
          <w:color w:val="000000" w:themeColor="text1"/>
          <w:vertAlign w:val="subscript"/>
        </w:rPr>
        <w:t>2</w:t>
      </w:r>
      <w:r w:rsidRPr="00FD54EA">
        <w:rPr>
          <w:color w:val="000000" w:themeColor="text1"/>
        </w:rPr>
        <w:t xml:space="preserve"> emissions from fuel combustion and industrial processes, CH</w:t>
      </w:r>
      <w:r w:rsidRPr="00FD54EA">
        <w:rPr>
          <w:color w:val="000000" w:themeColor="text1"/>
          <w:vertAlign w:val="subscript"/>
        </w:rPr>
        <w:t>4</w:t>
      </w:r>
      <w:r w:rsidRPr="00FD54EA">
        <w:rPr>
          <w:color w:val="000000" w:themeColor="text1"/>
        </w:rPr>
        <w:t xml:space="preserve"> emissions from fossil fuel extraction and residential energy use, and N</w:t>
      </w:r>
      <w:r w:rsidRPr="00FD54EA">
        <w:rPr>
          <w:color w:val="000000" w:themeColor="text1"/>
          <w:vertAlign w:val="subscript"/>
        </w:rPr>
        <w:t>2</w:t>
      </w:r>
      <w:r w:rsidRPr="00FD54EA">
        <w:rPr>
          <w:color w:val="000000" w:themeColor="text1"/>
        </w:rPr>
        <w:t>O emissions from energy supply by source using region- and fuel-specific emission factors. REMIND uses an econometric estimate for CO</w:t>
      </w:r>
      <w:r w:rsidRPr="00FD54EA">
        <w:rPr>
          <w:color w:val="000000" w:themeColor="text1"/>
          <w:vertAlign w:val="subscript"/>
        </w:rPr>
        <w:t>2</w:t>
      </w:r>
      <w:r w:rsidRPr="00FD54EA">
        <w:rPr>
          <w:color w:val="000000" w:themeColor="text1"/>
        </w:rPr>
        <w:t xml:space="preserve"> emissions from cement production as well as CH</w:t>
      </w:r>
      <w:r w:rsidRPr="00FD54EA">
        <w:rPr>
          <w:color w:val="000000" w:themeColor="text1"/>
          <w:vertAlign w:val="subscript"/>
        </w:rPr>
        <w:t>4</w:t>
      </w:r>
      <w:r w:rsidRPr="00FD54EA">
        <w:rPr>
          <w:color w:val="000000" w:themeColor="text1"/>
        </w:rPr>
        <w:t xml:space="preserve"> and N</w:t>
      </w:r>
      <w:r w:rsidRPr="00FD54EA">
        <w:rPr>
          <w:color w:val="000000" w:themeColor="text1"/>
          <w:vertAlign w:val="subscript"/>
        </w:rPr>
        <w:t>2</w:t>
      </w:r>
      <w:r w:rsidRPr="00FD54EA">
        <w:rPr>
          <w:color w:val="000000" w:themeColor="text1"/>
        </w:rPr>
        <w:t>O emissions from waste handling. In both cases, the driver of emissions depends on the development of population and GDP (as a proxy for waste production) or capital investment (as a proxy for cement production in infrastructure). REMIND uses exogenous baselines for N</w:t>
      </w:r>
      <w:r w:rsidRPr="00FD54EA">
        <w:rPr>
          <w:color w:val="000000" w:themeColor="text1"/>
          <w:vertAlign w:val="subscript"/>
        </w:rPr>
        <w:t>2</w:t>
      </w:r>
      <w:r w:rsidRPr="00FD54EA">
        <w:rPr>
          <w:color w:val="000000" w:themeColor="text1"/>
        </w:rPr>
        <w:t>O emissions from transport and industry. CH</w:t>
      </w:r>
      <w:r w:rsidRPr="00FD54EA">
        <w:rPr>
          <w:color w:val="000000" w:themeColor="text1"/>
          <w:vertAlign w:val="subscript"/>
        </w:rPr>
        <w:t>4</w:t>
      </w:r>
      <w:r w:rsidRPr="00FD54EA">
        <w:rPr>
          <w:color w:val="000000" w:themeColor="text1"/>
        </w:rPr>
        <w:t xml:space="preserve"> and N</w:t>
      </w:r>
      <w:r w:rsidRPr="00FD54EA">
        <w:rPr>
          <w:color w:val="000000" w:themeColor="text1"/>
          <w:vertAlign w:val="subscript"/>
        </w:rPr>
        <w:t>2</w:t>
      </w:r>
      <w:r w:rsidRPr="00FD54EA">
        <w:rPr>
          <w:color w:val="000000" w:themeColor="text1"/>
        </w:rPr>
        <w:t>O emissions from open burning are assumed to remain constant at their 2005 levels. Emissions of other GHGs (i.e. F-gases, Montreal gases) are exogenous and are taken from the SSP scenario data set from the IMAGE model</w:t>
      </w:r>
      <w:r w:rsidR="001B2B1E">
        <w:rPr>
          <w:color w:val="000000" w:themeColor="text1"/>
        </w:rPr>
        <w:fldChar w:fldCharType="begin"/>
      </w:r>
      <w:r w:rsidR="00A01D99">
        <w:rPr>
          <w:color w:val="000000" w:themeColor="text1"/>
        </w:rPr>
        <w:instrText xml:space="preserve"> ADDIN ZOTERO_ITEM CSL_CITATION {"citationID":"O1D1AF7k","properties":{"formattedCitation":"\\super 144\\nosupersub{}","plainCitation":"144","noteIndex":0},"citationItems":[{"id":5948,"uris":["http://zotero.org/users/694717/items/NDPKGRTA"],"itemData":{"id":5948,"type":"article-journal","abstract":"This paper describes the possible developments in global energy use and production, land use, emissions and climate changes following the SSP1 storyline, a development consistent with the green growth (or sustainable development) paradigm (a more inclusive development respecting environmental boundaries). The results are based on the implementation using the IMAGE 3.0 integrated assessment model and are compared with a) other IMAGE implementations of the SSPs (SSP2 and SSP3) and b) the SSP1 implementation of other integrated assessment models. The results show that a combination of resource efficiency, preferences for sustainable production methods and investment in human development could lead to a strong transition towards a more renewable energy supply, less land use and lower anthropogenic greenhouse gas emissions in 2100 than in 2010, even in the absence of explicit climate policies. At the same time, climate policy would still be needed to reduce emissions further, in order to reduce the projected increase of global mean temperature from 3°C (SSP1 reference scenario) to 2 or 1.5°C (in line with current policy targets). The SSP1 storyline could be a basis for further discussions on how climate policy can be combined with achieving other societal goals.","container-title":"Global Environmental Change","DOI":"10.1016/j.gloenvcha.2016.05.008","ISSN":"0959-3780","journalAbbreviation":"Global Environmental Change","page":"237-250","source":"ScienceDirect","title":"Energy, land-use and greenhouse gas emissions trajectories under a green growth paradigm","volume":"42","author":[{"family":"Vuuren","given":"Detlef P.","non-dropping-particle":"van"},{"family":"Stehfest","given":"Elke"},{"family":"Gernaat","given":"David E. H. J."},{"family":"Doelman","given":"Jonathan C."},{"family":"Berg","given":"Maarten","non-dropping-particle":"van den"},{"family":"Harmsen","given":"Mathijs"},{"family":"Boer","given":"Harmen Sytze","non-dropping-particle":"de"},{"family":"Bouwman","given":"Lex F."},{"family":"Daioglou","given":"Vassilis"},{"family":"Edelenbosch","given":"Oreane Y."},{"family":"Girod","given":"Bastien"},{"family":"Kram","given":"Tom"},{"family":"Lassaletta","given":"Luis"},{"family":"Lucas","given":"Paul L."},{"family":"Meijl","given":"Hans","non-dropping-particle":"van"},{"family":"Müller","given":"Christoph"},{"family":"Ruijven","given":"Bas J.","non-dropping-particle":"van"},{"family":"Sluis","given":"Sietske","non-dropping-particle":"van der"},{"family":"Tabeau","given":"Andrzej"}],"issued":{"date-parts":[["2017",1,1]]}}}],"schema":"https://github.com/citation-style-language/schema/raw/master/csl-citation.json"} </w:instrText>
      </w:r>
      <w:r w:rsidR="001B2B1E">
        <w:rPr>
          <w:color w:val="000000" w:themeColor="text1"/>
        </w:rPr>
        <w:fldChar w:fldCharType="separate"/>
      </w:r>
      <w:r w:rsidR="00A01D99" w:rsidRPr="00A01D99">
        <w:rPr>
          <w:szCs w:val="24"/>
          <w:vertAlign w:val="superscript"/>
        </w:rPr>
        <w:t>144</w:t>
      </w:r>
      <w:r w:rsidR="001B2B1E">
        <w:rPr>
          <w:color w:val="000000" w:themeColor="text1"/>
        </w:rPr>
        <w:fldChar w:fldCharType="end"/>
      </w:r>
      <w:r w:rsidRPr="00FD54EA">
        <w:rPr>
          <w:color w:val="000000" w:themeColor="text1"/>
        </w:rPr>
        <w:t>. REMIND does not represent abatement options for these gases; therefore, emissions from the corresponding SSP/RCP scenario best matching the target of the specific model simulation are used. For pollutant emissions of SO</w:t>
      </w:r>
      <w:r w:rsidRPr="00FD54EA">
        <w:rPr>
          <w:color w:val="000000" w:themeColor="text1"/>
          <w:vertAlign w:val="subscript"/>
        </w:rPr>
        <w:t>2</w:t>
      </w:r>
      <w:r w:rsidRPr="00FD54EA">
        <w:rPr>
          <w:color w:val="000000" w:themeColor="text1"/>
        </w:rPr>
        <w:t>, black carbon (BC), organic carbon (OC), NOx, CO, volatile organic compounds (VOC) and NH</w:t>
      </w:r>
      <w:r w:rsidRPr="00FD54EA">
        <w:rPr>
          <w:color w:val="000000" w:themeColor="text1"/>
          <w:vertAlign w:val="subscript"/>
        </w:rPr>
        <w:t>3</w:t>
      </w:r>
      <w:r w:rsidRPr="00FD54EA">
        <w:rPr>
          <w:color w:val="000000" w:themeColor="text1"/>
        </w:rPr>
        <w:t xml:space="preserve"> related to the combustion of fossil fuels, REMIND considers time- and region-specific emissions factors coupled to model-endogenous activity data. Emission factors for SO</w:t>
      </w:r>
      <w:r w:rsidRPr="00FD54EA">
        <w:rPr>
          <w:color w:val="000000" w:themeColor="text1"/>
          <w:vertAlign w:val="subscript"/>
        </w:rPr>
        <w:t>2</w:t>
      </w:r>
      <w:r w:rsidRPr="00FD54EA">
        <w:rPr>
          <w:color w:val="000000" w:themeColor="text1"/>
        </w:rPr>
        <w:t>, BC, and OC are assumed to decline over time according to air pollution policies</w:t>
      </w:r>
      <w:r w:rsidR="001B2B1E">
        <w:rPr>
          <w:color w:val="000000" w:themeColor="text1"/>
        </w:rPr>
        <w:fldChar w:fldCharType="begin"/>
      </w:r>
      <w:r w:rsidR="00A01D99">
        <w:rPr>
          <w:color w:val="000000" w:themeColor="text1"/>
        </w:rPr>
        <w:instrText xml:space="preserve"> ADDIN ZOTERO_ITEM CSL_CITATION {"citationID":"eERm4flJ","properties":{"formattedCitation":"\\super 145,146\\nosupersub{}","plainCitation":"145,146","noteIndex":0},"citationItems":[{"id":9476,"uris":["http://zotero.org/users/694717/items/S7XW9XB8"],"itemData":{"id":9476,"type":"article-journal","abstract":"Low-carbon pathways consistent with the 2 °C and 1.5 °C long-term climate goals defined in the Paris Agreement are likely to induce substantial co-benefits for air pollution and associated health impacts. In this analysis, using five global integrated assessment models, we quantify the emission reductions in key air pollutants resulting from the decarbonization of energy systems and the resulting changes in premature mortality attributed to the exposure to ambient concentrations of fine particulate matter. The emission reductions differ by sectors. Sulfur emissions are mainly reduced from power plants and industry, cuts in nitrogen oxides are dominated by the transport sector, and the largest abatement of primary fine particles is achieved in the residential sector. The analysis also shows that health benefits are the largest when policies addressing climate change mitigation and stringent air pollution controls are coordinated. We decompose the key factors that determine the extent of health co-benefits, focusing on Asia: changes in emissions, urbanization rates, population growth and ageing. Demographic processes, particularly due to ageing population, counteract in many regions the mortality reductions realized through lower emissions.","container-title":"Environmental Research Letters","DOI":"10.1088/1748-9326/abdf0b","ISSN":"1748-9326","issue":"4","journalAbbreviation":"Environ. Res. Lett.","language":"en","note":"publisher: IOP Publishing","page":"045005","source":"Institute of Physics","title":"Air quality and health implications of 1.5 °C–2 °C climate pathways under considerations of ageing population: a multi-model scenario analysis","title-short":"Air quality and health implications of 1.5 °C–2 °C climate pathways under considerations of ageing population","volume":"16","author":[{"family":"Rafaj","given":"Peter"},{"family":"Kiesewetter","given":"Gregor"},{"family":"Krey","given":"Volker"},{"family":"Schoepp","given":"Wolfgang"},{"family":"Bertram","given":"Christoph"},{"family":"Drouet","given":"Laurent"},{"family":"Fricko","given":"Oliver"},{"family":"Fujimori","given":"Shinichiro"},{"family":"Harmsen","given":"Mathijs"},{"family":"Hilaire","given":"Jérôme"},{"family":"Huppmann","given":"Daniel"},{"family":"Klimont","given":"Zbigniew"},{"family":"Kolp","given":"Peter"},{"family":"Reis","given":"Lara Aleluia"},{"family":"Vuuren","given":"Detlef","dropping-particle":"van"}],"issued":{"date-parts":[["2021",3]]}}},{"id":9478,"uris":["http://zotero.org/users/694717/items/D93TETYL"],"itemData":{"id":9478,"type":"article-journal","abstract":"The current nationally determined contributions, pledged by the countries under the Paris Agreement, are far from limiting climate change to below 2 </w:instrText>
      </w:r>
      <w:r w:rsidR="00A01D99">
        <w:rPr>
          <w:rFonts w:ascii="Cambria Math" w:hAnsi="Cambria Math" w:cs="Cambria Math"/>
          <w:color w:val="000000" w:themeColor="text1"/>
        </w:rPr>
        <w:instrText>∘</w:instrText>
      </w:r>
      <w:r w:rsidR="00A01D99">
        <w:rPr>
          <w:color w:val="000000" w:themeColor="text1"/>
        </w:rPr>
        <w:instrText xml:space="preserve">C temperature increase by the end of the century. The necessary ratcheting up of climate policy is projected to come with a wide array of additional benefits, in particular a reduction of today’s 4.5 million annual premature deaths due to poor air quality. This paper therefore addresses the question how climate policy and air pollution–related health impacts interplay until 2050 by developing a comprehensive global modeling framework along the cause and effect chain of air pollution–induced social costs. We find that ratcheting up climate policy to a 2 </w:instrText>
      </w:r>
      <w:r w:rsidR="00A01D99">
        <w:rPr>
          <w:rFonts w:ascii="Cambria Math" w:hAnsi="Cambria Math" w:cs="Cambria Math"/>
          <w:color w:val="000000" w:themeColor="text1"/>
        </w:rPr>
        <w:instrText>∘</w:instrText>
      </w:r>
      <w:r w:rsidR="00A01D99">
        <w:rPr>
          <w:color w:val="000000" w:themeColor="text1"/>
        </w:rPr>
        <w:instrText xml:space="preserve"> compliant pathway results in welfare benefits through reduced air pollution that are larger than mitigation costs, even with avoided climate change damages neglected. The regional analysis demonstrates that the 2 </w:instrText>
      </w:r>
      <w:r w:rsidR="00A01D99">
        <w:rPr>
          <w:rFonts w:ascii="Cambria Math" w:hAnsi="Cambria Math" w:cs="Cambria Math"/>
          <w:color w:val="000000" w:themeColor="text1"/>
        </w:rPr>
        <w:instrText>∘</w:instrText>
      </w:r>
      <w:r w:rsidR="00A01D99">
        <w:rPr>
          <w:color w:val="000000" w:themeColor="text1"/>
        </w:rPr>
        <w:instrText xml:space="preserve">C pathway is therefore, from a social cost perspective, a “no-regret option” in the global aggregate, but in particular for China and India due to high air quality benefits, and also for developed regions due to net negative mitigation costs. Energy and resource exporting regions, on the other hand, face higher mitigation cost than benefits. Our analysis further shows that the result of higher health benefits than mitigation costs is robust across various air pollution control scenarios. However, although climate mitigation results in substantial air pollution emission reductions overall, we find significant remaining emissions in the transport and industry sectors even in a 2 </w:instrText>
      </w:r>
      <w:r w:rsidR="00A01D99">
        <w:rPr>
          <w:rFonts w:ascii="Cambria Math" w:hAnsi="Cambria Math" w:cs="Cambria Math"/>
          <w:color w:val="000000" w:themeColor="text1"/>
        </w:rPr>
        <w:instrText>∘</w:instrText>
      </w:r>
      <w:r w:rsidR="00A01D99">
        <w:rPr>
          <w:color w:val="000000" w:themeColor="text1"/>
        </w:rPr>
        <w:instrText xml:space="preserve">C world. We therefore call for further research in how to optimally exploit climate policy and air pollution control, deriving climate change mitigation pathways that maximize co-benefits.","container-title":"Climatic Change","DOI":"10.1007/s10584-020-02699-1","ISSN":"1573-1480","issue":"3","journalAbbreviation":"Climatic Change","language":"en","page":"1481-1500","source":"Springer Link","title":"Air quality co-benefits of ratcheting up the NDCs","volume":"163","author":[{"family":"Rauner","given":"Sebastian"},{"family":"Hilaire","given":"Jérôme"},{"family":"Klein","given":"David"},{"family":"Strefler","given":"Jessica"},{"family":"Luderer","given":"Gunnar"}],"issued":{"date-parts":[["2020",12,1]]}}}],"schema":"https://github.com/citation-style-language/schema/raw/master/csl-citation.json"} </w:instrText>
      </w:r>
      <w:r w:rsidR="001B2B1E">
        <w:rPr>
          <w:color w:val="000000" w:themeColor="text1"/>
        </w:rPr>
        <w:fldChar w:fldCharType="separate"/>
      </w:r>
      <w:r w:rsidR="00A01D99" w:rsidRPr="00A01D99">
        <w:rPr>
          <w:szCs w:val="24"/>
          <w:vertAlign w:val="superscript"/>
        </w:rPr>
        <w:t>145,146</w:t>
      </w:r>
      <w:r w:rsidR="001B2B1E">
        <w:rPr>
          <w:color w:val="000000" w:themeColor="text1"/>
        </w:rPr>
        <w:fldChar w:fldCharType="end"/>
      </w:r>
      <w:r w:rsidRPr="00FD54EA">
        <w:rPr>
          <w:color w:val="000000" w:themeColor="text1"/>
        </w:rPr>
        <w:t xml:space="preserve">. Current near-term policies are enforced in high-income countries, with gradual strengthening of goals over time. Low-income countries do not fully implement near-term policies, but gradually improve over the century. Emissions from international shipping and aviation and waste of all species are </w:t>
      </w:r>
      <w:r w:rsidR="001B2B1E">
        <w:rPr>
          <w:color w:val="000000" w:themeColor="text1"/>
        </w:rPr>
        <w:t xml:space="preserve">from an </w:t>
      </w:r>
      <w:r w:rsidRPr="00FD54EA">
        <w:rPr>
          <w:color w:val="000000" w:themeColor="text1"/>
        </w:rPr>
        <w:t>exogenous</w:t>
      </w:r>
      <w:r w:rsidR="001B2B1E">
        <w:rPr>
          <w:color w:val="000000" w:themeColor="text1"/>
        </w:rPr>
        <w:t xml:space="preserve"> dataset</w:t>
      </w:r>
      <w:r w:rsidR="001B2B1E">
        <w:rPr>
          <w:color w:val="000000" w:themeColor="text1"/>
        </w:rPr>
        <w:fldChar w:fldCharType="begin"/>
      </w:r>
      <w:r w:rsidR="00A01D99">
        <w:rPr>
          <w:color w:val="000000" w:themeColor="text1"/>
        </w:rPr>
        <w:instrText xml:space="preserve"> ADDIN ZOTERO_ITEM CSL_CITATION {"citationID":"ZExY1fua","properties":{"formattedCitation":"\\super 147\\nosupersub{}","plainCitation":"147","noteIndex":0},"citationItems":[{"id":9480,"uris":["http://zotero.org/users/694717/items/3328EVZ5"],"itemData":{"id":9480,"type":"article-journal","abstract":"Non-CO</w:instrText>
      </w:r>
      <w:r w:rsidR="00A01D99">
        <w:rPr>
          <w:rFonts w:ascii="Cambria Math" w:hAnsi="Cambria Math" w:cs="Cambria Math"/>
          <w:color w:val="000000" w:themeColor="text1"/>
        </w:rPr>
        <w:instrText>₃</w:instrText>
      </w:r>
      <w:r w:rsidR="00A01D99">
        <w:rPr>
          <w:color w:val="000000" w:themeColor="text1"/>
        </w:rPr>
        <w:instrText xml:space="preserve"> gas (CH</w:instrText>
      </w:r>
      <w:r w:rsidR="00A01D99">
        <w:rPr>
          <w:rFonts w:ascii="Cambria Math" w:hAnsi="Cambria Math" w:cs="Cambria Math"/>
          <w:color w:val="000000" w:themeColor="text1"/>
        </w:rPr>
        <w:instrText>₄</w:instrText>
      </w:r>
      <w:r w:rsidR="00A01D99">
        <w:rPr>
          <w:color w:val="000000" w:themeColor="text1"/>
        </w:rPr>
        <w:instrText>, N</w:instrText>
      </w:r>
      <w:r w:rsidR="00A01D99">
        <w:rPr>
          <w:rFonts w:ascii="Cambria Math" w:hAnsi="Cambria Math" w:cs="Cambria Math"/>
          <w:color w:val="000000" w:themeColor="text1"/>
        </w:rPr>
        <w:instrText>₃</w:instrText>
      </w:r>
      <w:r w:rsidR="00A01D99">
        <w:rPr>
          <w:color w:val="000000" w:themeColor="text1"/>
        </w:rPr>
        <w:instrText>O and F gas) emissions account for 25 percent of all greenhouse gas in the year of 2000. Main sources of CH</w:instrText>
      </w:r>
      <w:r w:rsidR="00A01D99">
        <w:rPr>
          <w:rFonts w:ascii="Cambria Math" w:hAnsi="Cambria Math" w:cs="Cambria Math"/>
          <w:color w:val="000000" w:themeColor="text1"/>
        </w:rPr>
        <w:instrText>₄</w:instrText>
      </w:r>
      <w:r w:rsidR="00A01D99">
        <w:rPr>
          <w:color w:val="000000" w:themeColor="text1"/>
        </w:rPr>
        <w:instrText xml:space="preserve"> and N</w:instrText>
      </w:r>
      <w:r w:rsidR="00A01D99">
        <w:rPr>
          <w:rFonts w:ascii="Cambria Math" w:hAnsi="Cambria Math" w:cs="Cambria Math"/>
          <w:color w:val="000000" w:themeColor="text1"/>
        </w:rPr>
        <w:instrText>₃</w:instrText>
      </w:r>
      <w:r w:rsidR="00A01D99">
        <w:rPr>
          <w:color w:val="000000" w:themeColor="text1"/>
        </w:rPr>
        <w:instrText>O emissions are agriculture-related activities such as enteric fermentation, paddy rice cultivation, soil management. A recursive dynamic CGE (Computer General Equilibrium) model has been developed to analyze greenhouse gas reduction options including non-CO</w:instrText>
      </w:r>
      <w:r w:rsidR="00A01D99">
        <w:rPr>
          <w:rFonts w:ascii="Cambria Math" w:hAnsi="Cambria Math" w:cs="Cambria Math"/>
          <w:color w:val="000000" w:themeColor="text1"/>
        </w:rPr>
        <w:instrText>₃</w:instrText>
      </w:r>
      <w:r w:rsidR="00A01D99">
        <w:rPr>
          <w:color w:val="000000" w:themeColor="text1"/>
        </w:rPr>
        <w:instrText xml:space="preserve"> gas abatement technologies. Multi-regional, multi-sectoral and multi-gas CGE model and simple climate change model simulated long-term climate stabilization emission path. Preliminary results showed that multi gas mitigation options including CH</w:instrText>
      </w:r>
      <w:r w:rsidR="00A01D99">
        <w:rPr>
          <w:rFonts w:ascii="Cambria Math" w:hAnsi="Cambria Math" w:cs="Cambria Math"/>
          <w:color w:val="000000" w:themeColor="text1"/>
        </w:rPr>
        <w:instrText>₄</w:instrText>
      </w:r>
      <w:r w:rsidR="00A01D99">
        <w:rPr>
          <w:color w:val="000000" w:themeColor="text1"/>
        </w:rPr>
        <w:instrText xml:space="preserve"> and N</w:instrText>
      </w:r>
      <w:r w:rsidR="00A01D99">
        <w:rPr>
          <w:rFonts w:ascii="Cambria Math" w:hAnsi="Cambria Math" w:cs="Cambria Math"/>
          <w:color w:val="000000" w:themeColor="text1"/>
        </w:rPr>
        <w:instrText>₃</w:instrText>
      </w:r>
      <w:r w:rsidR="00A01D99">
        <w:rPr>
          <w:color w:val="000000" w:themeColor="text1"/>
        </w:rPr>
        <w:instrText>O abatement technologies will reduce GDP loss more than CO</w:instrText>
      </w:r>
      <w:r w:rsidR="00A01D99">
        <w:rPr>
          <w:rFonts w:ascii="Cambria Math" w:hAnsi="Cambria Math" w:cs="Cambria Math"/>
          <w:color w:val="000000" w:themeColor="text1"/>
        </w:rPr>
        <w:instrText>₃</w:instrText>
      </w:r>
      <w:r w:rsidR="00A01D99">
        <w:rPr>
          <w:color w:val="000000" w:themeColor="text1"/>
        </w:rPr>
        <w:instrText xml:space="preserve"> only mitigation options for long-term climate stabilization, even though CO</w:instrText>
      </w:r>
      <w:r w:rsidR="00A01D99">
        <w:rPr>
          <w:rFonts w:ascii="Cambria Math" w:hAnsi="Cambria Math" w:cs="Cambria Math"/>
          <w:color w:val="000000" w:themeColor="text1"/>
        </w:rPr>
        <w:instrText>₃</w:instrText>
      </w:r>
      <w:r w:rsidR="00A01D99">
        <w:rPr>
          <w:color w:val="000000" w:themeColor="text1"/>
        </w:rPr>
        <w:instrText xml:space="preserve"> mitigation options will reduce not only CO</w:instrText>
      </w:r>
      <w:r w:rsidR="00A01D99">
        <w:rPr>
          <w:rFonts w:ascii="Cambria Math" w:hAnsi="Cambria Math" w:cs="Cambria Math"/>
          <w:color w:val="000000" w:themeColor="text1"/>
        </w:rPr>
        <w:instrText>₃</w:instrText>
      </w:r>
      <w:r w:rsidR="00A01D99">
        <w:rPr>
          <w:color w:val="000000" w:themeColor="text1"/>
        </w:rPr>
        <w:instrText xml:space="preserve"> emissions but non-CO</w:instrText>
      </w:r>
      <w:r w:rsidR="00A01D99">
        <w:rPr>
          <w:rFonts w:ascii="Cambria Math" w:hAnsi="Cambria Math" w:cs="Cambria Math"/>
          <w:color w:val="000000" w:themeColor="text1"/>
        </w:rPr>
        <w:instrText>₃</w:instrText>
      </w:r>
      <w:r w:rsidR="00A01D99">
        <w:rPr>
          <w:color w:val="000000" w:themeColor="text1"/>
        </w:rPr>
        <w:instrText xml:space="preserve"> gas emissions simultaneously. It is necessary to collect regional non-CO</w:instrText>
      </w:r>
      <w:r w:rsidR="00A01D99">
        <w:rPr>
          <w:rFonts w:ascii="Cambria Math" w:hAnsi="Cambria Math" w:cs="Cambria Math"/>
          <w:color w:val="000000" w:themeColor="text1"/>
        </w:rPr>
        <w:instrText>₃</w:instrText>
      </w:r>
      <w:r w:rsidR="00A01D99">
        <w:rPr>
          <w:color w:val="000000" w:themeColor="text1"/>
        </w:rPr>
        <w:instrText xml:space="preserve"> gas data (emission, technology options, and so on) and conduct more sensitivity analysis with computer simulation model to reduce uncertainty of non-CO</w:instrText>
      </w:r>
      <w:r w:rsidR="00A01D99">
        <w:rPr>
          <w:rFonts w:ascii="Cambria Math" w:hAnsi="Cambria Math" w:cs="Cambria Math"/>
          <w:color w:val="000000" w:themeColor="text1"/>
        </w:rPr>
        <w:instrText>₃</w:instrText>
      </w:r>
      <w:r w:rsidR="00A01D99">
        <w:rPr>
          <w:color w:val="000000" w:themeColor="text1"/>
        </w:rPr>
        <w:instrText xml:space="preserve"> gas.","container-title":"The Energy Journal","ISSN":"0195-6574","note":"publisher: International Association for Energy Economics","page":"343-353","source":"JSTOR","title":"Multi-gas Mitigation Analysis on Stabilization Scenarios Using Aim Global Model","volume":"27","author":[{"family":"Fujino","given":"Junichi"},{"family":"Nair","given":"Rajesh"},{"family":"Kainuma","given":"Mikiko"},{"family":"Masui","given":"Toshihiko"},{"family":"Matsuoka","given":"Yuzuru"}],"issued":{"date-parts":[["2006"]]}}}],"schema":"https://github.com/citation-style-language/schema/raw/master/csl-citation.json"} </w:instrText>
      </w:r>
      <w:r w:rsidR="001B2B1E">
        <w:rPr>
          <w:color w:val="000000" w:themeColor="text1"/>
        </w:rPr>
        <w:fldChar w:fldCharType="separate"/>
      </w:r>
      <w:r w:rsidR="00A01D99" w:rsidRPr="00A01D99">
        <w:rPr>
          <w:szCs w:val="24"/>
          <w:vertAlign w:val="superscript"/>
        </w:rPr>
        <w:t>147</w:t>
      </w:r>
      <w:r w:rsidR="001B2B1E">
        <w:rPr>
          <w:color w:val="000000" w:themeColor="text1"/>
        </w:rPr>
        <w:fldChar w:fldCharType="end"/>
      </w:r>
      <w:r w:rsidRPr="00FD54EA">
        <w:rPr>
          <w:color w:val="000000" w:themeColor="text1"/>
        </w:rPr>
        <w:t>.</w:t>
      </w:r>
    </w:p>
    <w:p w14:paraId="115C69F2" w14:textId="040DB9D4" w:rsidR="00BE09F0" w:rsidRPr="00FD54EA" w:rsidRDefault="00FD54EA">
      <w:pPr>
        <w:spacing w:before="240"/>
        <w:rPr>
          <w:color w:val="000000" w:themeColor="text1"/>
        </w:rPr>
      </w:pPr>
      <w:r w:rsidRPr="00FD54EA">
        <w:rPr>
          <w:color w:val="000000" w:themeColor="text1"/>
        </w:rPr>
        <w:t>In all scenarios simulating the cross-sectoral impacts of an energy transformation (</w:t>
      </w:r>
      <w:proofErr w:type="spellStart"/>
      <w:r w:rsidRPr="00FD54EA">
        <w:rPr>
          <w:i/>
          <w:color w:val="000000" w:themeColor="text1"/>
        </w:rPr>
        <w:t>EnergyTrans</w:t>
      </w:r>
      <w:proofErr w:type="spellEnd"/>
      <w:r w:rsidRPr="00FD54EA">
        <w:rPr>
          <w:i/>
          <w:color w:val="000000" w:themeColor="text1"/>
        </w:rPr>
        <w:t>)</w:t>
      </w:r>
      <w:r w:rsidRPr="00FD54EA">
        <w:rPr>
          <w:color w:val="000000" w:themeColor="text1"/>
        </w:rPr>
        <w:t>, a carbon price on all sectors is introduced in 2025, but at different levels reflecting the regions’ different abilities to pay. The carbon prices in high-income regions increase linearly until the budget is reached, while lower-income regions initially face substantially lower prices. Linearly increasing CO</w:t>
      </w:r>
      <w:r w:rsidRPr="00FD54EA">
        <w:rPr>
          <w:color w:val="000000" w:themeColor="text1"/>
          <w:vertAlign w:val="subscript"/>
        </w:rPr>
        <w:t>2</w:t>
      </w:r>
      <w:r w:rsidRPr="00FD54EA">
        <w:rPr>
          <w:color w:val="000000" w:themeColor="text1"/>
        </w:rPr>
        <w:t xml:space="preserve"> prices, in contrast to the more common exponentially rising CO</w:t>
      </w:r>
      <w:r w:rsidRPr="00FD54EA">
        <w:rPr>
          <w:color w:val="000000" w:themeColor="text1"/>
          <w:vertAlign w:val="subscript"/>
        </w:rPr>
        <w:t>2</w:t>
      </w:r>
      <w:r w:rsidRPr="00FD54EA">
        <w:rPr>
          <w:color w:val="000000" w:themeColor="text1"/>
        </w:rPr>
        <w:t xml:space="preserve"> prices with a growth rate </w:t>
      </w:r>
      <w:r w:rsidR="001B2B1E" w:rsidRPr="00FD54EA">
        <w:rPr>
          <w:color w:val="000000" w:themeColor="text1"/>
        </w:rPr>
        <w:t>equaling</w:t>
      </w:r>
      <w:r w:rsidRPr="00FD54EA">
        <w:rPr>
          <w:color w:val="000000" w:themeColor="text1"/>
        </w:rPr>
        <w:t xml:space="preserve"> the social discount rate, increase the near-term ambition of climate policy but limit the price increases at a later stage. After the peak budget has been reached, the CO</w:t>
      </w:r>
      <w:r w:rsidRPr="00FD54EA">
        <w:rPr>
          <w:color w:val="000000" w:themeColor="text1"/>
          <w:vertAlign w:val="subscript"/>
        </w:rPr>
        <w:t>2</w:t>
      </w:r>
      <w:r w:rsidRPr="00FD54EA">
        <w:rPr>
          <w:color w:val="000000" w:themeColor="text1"/>
        </w:rPr>
        <w:t xml:space="preserve"> price increase flattens off to US$3 per ton CO</w:t>
      </w:r>
      <w:r w:rsidRPr="00FD54EA">
        <w:rPr>
          <w:color w:val="000000" w:themeColor="text1"/>
          <w:vertAlign w:val="subscript"/>
        </w:rPr>
        <w:t>2</w:t>
      </w:r>
      <w:r w:rsidRPr="00FD54EA">
        <w:rPr>
          <w:color w:val="000000" w:themeColor="text1"/>
        </w:rPr>
        <w:t xml:space="preserve"> per </w:t>
      </w:r>
      <w:proofErr w:type="spellStart"/>
      <w:r w:rsidRPr="00FD54EA">
        <w:rPr>
          <w:color w:val="000000" w:themeColor="text1"/>
        </w:rPr>
        <w:t>yr</w:t>
      </w:r>
      <w:proofErr w:type="spellEnd"/>
      <w:r w:rsidRPr="00FD54EA">
        <w:rPr>
          <w:color w:val="000000" w:themeColor="text1"/>
        </w:rPr>
        <w:t>, which is sufficient to ensure that the GMT increase declines from its peak to values consistent with the 1.5 °C target with at least 67% probability by the end of the century. Non-CO</w:t>
      </w:r>
      <w:r w:rsidRPr="00FD54EA">
        <w:rPr>
          <w:color w:val="000000" w:themeColor="text1"/>
          <w:vertAlign w:val="subscript"/>
        </w:rPr>
        <w:t>2</w:t>
      </w:r>
      <w:r w:rsidRPr="00FD54EA">
        <w:rPr>
          <w:color w:val="000000" w:themeColor="text1"/>
        </w:rPr>
        <w:t xml:space="preserve"> GHGs are priced according to their 100-yr global warming potentials (using IPCC Fifth Assessment Report values), where in the land-use sector prices for CH</w:t>
      </w:r>
      <w:r w:rsidRPr="00FD54EA">
        <w:rPr>
          <w:color w:val="000000" w:themeColor="text1"/>
          <w:vertAlign w:val="subscript"/>
        </w:rPr>
        <w:t>4</w:t>
      </w:r>
      <w:r w:rsidRPr="00FD54EA">
        <w:rPr>
          <w:color w:val="000000" w:themeColor="text1"/>
        </w:rPr>
        <w:t xml:space="preserve"> and N</w:t>
      </w:r>
      <w:r w:rsidRPr="00FD54EA">
        <w:rPr>
          <w:color w:val="000000" w:themeColor="text1"/>
          <w:vertAlign w:val="subscript"/>
        </w:rPr>
        <w:t>2</w:t>
      </w:r>
      <w:r w:rsidRPr="00FD54EA">
        <w:rPr>
          <w:color w:val="000000" w:themeColor="text1"/>
        </w:rPr>
        <w:t>O are capped once further price increases no longer provide additional abatement options</w:t>
      </w:r>
      <w:r w:rsidR="00CF02C0">
        <w:rPr>
          <w:color w:val="000000" w:themeColor="text1"/>
        </w:rPr>
        <w:fldChar w:fldCharType="begin"/>
      </w:r>
      <w:r w:rsidR="00A01D99">
        <w:rPr>
          <w:color w:val="000000" w:themeColor="text1"/>
        </w:rPr>
        <w:instrText xml:space="preserve"> ADDIN ZOTERO_ITEM CSL_CITATION {"citationID":"rQ9EICf2","properties":{"formattedCitation":"\\super 148\\nosupersub{}","plainCitation":"148","noteIndex":0},"citationItems":[{"id":903,"uris":["http://zotero.org/users/694717/items/CMWUXCSN"],"itemData":{"id":903,"type":"article-journal","container-title":"Environmental Science &amp; Policy","page":"85-103","title":"Long-term reduction potential of non-CO2 greenhouse gases","volume":"10","author":[{"family":"Lucas","given":"P. L."},{"family":"Van Vuuren","given":"D.P."},{"family":"Olivier","given":"J. G. J."},{"family":"Den Elzen","given":"M."}],"issued":{"date-parts":[["2007"]]}}}],"schema":"https://github.com/citation-style-language/schema/raw/master/csl-citation.json"} </w:instrText>
      </w:r>
      <w:r w:rsidR="00CF02C0">
        <w:rPr>
          <w:color w:val="000000" w:themeColor="text1"/>
        </w:rPr>
        <w:fldChar w:fldCharType="separate"/>
      </w:r>
      <w:r w:rsidR="00A01D99" w:rsidRPr="00A01D99">
        <w:rPr>
          <w:szCs w:val="24"/>
          <w:vertAlign w:val="superscript"/>
        </w:rPr>
        <w:t>148</w:t>
      </w:r>
      <w:r w:rsidR="00CF02C0">
        <w:rPr>
          <w:color w:val="000000" w:themeColor="text1"/>
        </w:rPr>
        <w:fldChar w:fldCharType="end"/>
      </w:r>
      <w:r w:rsidRPr="00FD54EA">
        <w:rPr>
          <w:color w:val="000000" w:themeColor="text1"/>
        </w:rPr>
        <w:t>. The carbon prices are adapted to limit global cumulative CO</w:t>
      </w:r>
      <w:r w:rsidRPr="00FD54EA">
        <w:rPr>
          <w:color w:val="000000" w:themeColor="text1"/>
          <w:vertAlign w:val="subscript"/>
        </w:rPr>
        <w:t>2</w:t>
      </w:r>
      <w:r w:rsidRPr="00FD54EA">
        <w:rPr>
          <w:color w:val="000000" w:themeColor="text1"/>
        </w:rPr>
        <w:t xml:space="preserve"> emissions to a peak budget of 610 Gt CO</w:t>
      </w:r>
      <w:r w:rsidRPr="00FD54EA">
        <w:rPr>
          <w:color w:val="000000" w:themeColor="text1"/>
          <w:vertAlign w:val="subscript"/>
        </w:rPr>
        <w:t xml:space="preserve">2 </w:t>
      </w:r>
      <w:r w:rsidRPr="00FD54EA">
        <w:rPr>
          <w:color w:val="000000" w:themeColor="text1"/>
        </w:rPr>
        <w:t>from 2018 onwards, consistent with at least a 50% chance of low overshoot (&lt;0.1 °C) of 1.5°C</w:t>
      </w:r>
      <w:r w:rsidR="000D23A4">
        <w:rPr>
          <w:color w:val="000000" w:themeColor="text1"/>
        </w:rPr>
        <w:fldChar w:fldCharType="begin"/>
      </w:r>
      <w:r w:rsidR="00A01D99">
        <w:rPr>
          <w:color w:val="000000" w:themeColor="text1"/>
        </w:rPr>
        <w:instrText xml:space="preserve"> ADDIN ZOTERO_ITEM CSL_CITATION {"citationID":"4bAocf4Z","properties":{"formattedCitation":"\\super 149\\nosupersub{}","plainCitation":"149","noteIndex":0},"citationItems":[{"id":9218,"uris":["http://zotero.org/users/694717/items/QJM93Q3K"],"itemData":{"id":9218,"type":"chapter","abstract":"The Intergovernmental Panel on Climate Change (IPCC) is the leading international body for assessing the science related to climate change. It provides regular assessments of the scientific basis of climate change, its impacts and future risks, and options for adaptation and mitigation. This IPCC Special Report is a comprehensive assessment of our understanding of global warming of 1.5°C, future climate change, potential impacts and associated risks, emission pathways, and system transitions consistent with 1.5°C global warming, and strengthening the global response to climate change in the context of sustainable development and efforts to eradicate poverty. It serves policymakers, decision makers, stakeholders and all interested parties with unbiased, up-to-date, policy-relevant information. This title is also available as Open Access on Cambridge Core.","container-title":"Global Warming of 1.5°C: IPCC Special Report on Impacts of Global Warming of 1.5°C above Pre-industrial Levels in Context of Strengthening Response to Climate Change, Sustainable Development, and Efforts to Eradicate Poverty","edition":"1","ISBN":"978-1-00-915794-0","language":"en","note":"DOI: 10.1017/9781009157940","publisher":"Cambridge University Press","source":"DOI.org (Crossref)","title":"Mitigation Pathways Compatible with 1.5°C in the Context of Sustainable Development","URL":"https://www.cambridge.org/core/product/identifier/9781009157940/type/book","author":[{"literal":"IPCC"}],"accessed":{"date-parts":[["2023",3,16]]},"issued":{"date-parts":[["2018"]]}}}],"schema":"https://github.com/citation-style-language/schema/raw/master/csl-citation.json"} </w:instrText>
      </w:r>
      <w:r w:rsidR="000D23A4">
        <w:rPr>
          <w:color w:val="000000" w:themeColor="text1"/>
        </w:rPr>
        <w:fldChar w:fldCharType="separate"/>
      </w:r>
      <w:r w:rsidR="00A01D99" w:rsidRPr="00A01D99">
        <w:rPr>
          <w:szCs w:val="24"/>
          <w:vertAlign w:val="superscript"/>
        </w:rPr>
        <w:t>149</w:t>
      </w:r>
      <w:r w:rsidR="000D23A4">
        <w:rPr>
          <w:color w:val="000000" w:themeColor="text1"/>
        </w:rPr>
        <w:fldChar w:fldCharType="end"/>
      </w:r>
      <w:r w:rsidRPr="00FD54EA">
        <w:rPr>
          <w:color w:val="000000" w:themeColor="text1"/>
        </w:rPr>
        <w:t>. Regional annual CCS deployment is limited to 0.5% of total storage capacity. This limits total global CCS use to about 20 Gt CO</w:t>
      </w:r>
      <w:r w:rsidRPr="00FD54EA">
        <w:rPr>
          <w:color w:val="000000" w:themeColor="text1"/>
          <w:vertAlign w:val="subscript"/>
        </w:rPr>
        <w:t>2</w:t>
      </w:r>
      <w:r w:rsidRPr="00FD54EA">
        <w:rPr>
          <w:color w:val="000000" w:themeColor="text1"/>
        </w:rPr>
        <w:t>/yr.</w:t>
      </w:r>
    </w:p>
    <w:p w14:paraId="215918DF" w14:textId="77777777" w:rsidR="00BE09F0" w:rsidRPr="00FD54EA" w:rsidRDefault="00FD54EA">
      <w:pPr>
        <w:pStyle w:val="Heading3"/>
        <w:rPr>
          <w:color w:val="000000" w:themeColor="text1"/>
        </w:rPr>
      </w:pPr>
      <w:bookmarkStart w:id="18" w:name="_erbkjkb99w3b" w:colFirst="0" w:colLast="0"/>
      <w:bookmarkEnd w:id="18"/>
      <w:r w:rsidRPr="00FD54EA">
        <w:rPr>
          <w:color w:val="000000" w:themeColor="text1"/>
        </w:rPr>
        <w:lastRenderedPageBreak/>
        <w:t>S1.3: SSP scenarios</w:t>
      </w:r>
    </w:p>
    <w:p w14:paraId="721BF714" w14:textId="621207FB" w:rsidR="00BE09F0" w:rsidRPr="00FD54EA" w:rsidRDefault="00FD54EA">
      <w:pPr>
        <w:spacing w:before="240" w:after="240"/>
        <w:rPr>
          <w:color w:val="000000" w:themeColor="text1"/>
        </w:rPr>
      </w:pPr>
      <w:r w:rsidRPr="00FD54EA">
        <w:rPr>
          <w:color w:val="000000" w:themeColor="text1"/>
        </w:rPr>
        <w:t>The Shared Socioeconomic Pathways (SSPs) provide a set of baseline scenarios describing plausible alternative future evolutions of society and natural systems over the 21</w:t>
      </w:r>
      <w:r w:rsidRPr="00FD54EA">
        <w:rPr>
          <w:color w:val="000000" w:themeColor="text1"/>
          <w:vertAlign w:val="superscript"/>
        </w:rPr>
        <w:t>st</w:t>
      </w:r>
      <w:r w:rsidRPr="00FD54EA">
        <w:rPr>
          <w:color w:val="000000" w:themeColor="text1"/>
        </w:rPr>
        <w:t xml:space="preserve"> century and reflecting alternative reference assumptions about future socio-economic development </w:t>
      </w:r>
      <w:r w:rsidR="000D23A4">
        <w:rPr>
          <w:color w:val="000000" w:themeColor="text1"/>
        </w:rPr>
        <w:fldChar w:fldCharType="begin"/>
      </w:r>
      <w:r w:rsidR="00A01D99">
        <w:rPr>
          <w:color w:val="000000" w:themeColor="text1"/>
        </w:rPr>
        <w:instrText xml:space="preserve"> ADDIN ZOTERO_ITEM CSL_CITATION {"citationID":"z7iHtjfC","properties":{"formattedCitation":"\\super 8,21,150\\nosupersub{}","plainCitation":"8,21,150","noteIndex":0},"citationItems":[{"id":4032,"uris":["http://zotero.org/users/694717/items/7FF5TGGR"],"itemData":{"id":4032,"type":"article-journal","abstract":"In the future, the land system will be facing new intersecting challenges. While food demand, especially for resource-intensive livestock based commodities, is expected to increase, the terrestrial system has large potentials for climate change mitigation through improved agricultural management, providing biomass for bioenergy, and conserving or even enhancing carbon stocks of ecosystems. However, uncertainties in future socio-economic land use drivers may result in very different land-use dynamics and consequences for land-based ecosystem services. This is the first study with a systematic interpretation of the Shared Socio-Economic Pathways (SSPs) in terms of possible land-use changes and their consequences for the agricultural system, food provision and prices as well as greenhouse gas emissions. Therefore, five alternative Integrated Assessment Models with distinctive land-use modules have been used for the translation of the SSP narratives into quantitative projections. The model results reflect the general storylines of the SSPs and indicate a broad range of potential land-use futures with global agricultural land of 4900 mio ha in 2005 decreasing by 743 mio ha until 2100 at the lower (SSP1) and increasing by 1080 mio ha (SSP3) at the upper end. Greenhouse gas emissions from land use and land use change, as a direct outcome of these diverse land-use dynamics, and agricultural production systems differ strongly across SSPs (e.g. cumulative land use change emissions between 2005 and 2100 range from −54 to 402 Gt CO2). The inclusion of land-based mitigation efforts, particularly those in the most ambitious mitigation scenarios, further broadens the range of potential land futures and can strongly affect greenhouse gas dynamics and food prices. In general, it can be concluded that low demand for agricultural commodities, rapid growth in agricultural productivity and globalized trade, all most pronounced in a SSP1 world, have the potential to enhance the extent of natural ecosystems, lead to lowest greenhouse gas emissions from the land system and decrease food prices over time. The SSP-based land use pathways presented in this paper aim at supporting future climate research and provide the basis for further regional integrated assessments, biodiversity research and climate impact analysis.","container-title":"Global Environmental Change","DOI":"10.1016/j.gloenvcha.2016.10.002","ISSN":"0959-3780","journalAbbreviation":"Global Environmental Change","page":"331-345","source":"ScienceDirect","title":"Land-use futures in the shared socio-economic pathways","volume":"42","author":[{"family":"Popp","given":"Alexander"},{"family":"Calvin","given":"Katherine"},{"family":"Fujimori","given":"Shinichiro"},{"family":"Havlik","given":"Petr"},{"family":"Humpenöder","given":"Florian"},{"family":"Stehfest","given":"Elke"},{"family":"Bodirsky","given":"Benjamin Leon"},{"family":"Dietrich","given":"Jan Philipp"},{"family":"Doelmann","given":"Jonathan C."},{"family":"Gusti","given":"Mykola"},{"family":"Hasegawa","given":"Tomoko"},{"family":"Kyle","given":"Page"},{"family":"Obersteiner","given":"Michael"},{"family":"Tabeau","given":"Andrzej"},{"family":"Takahashi","given":"Kiyoshi"},{"family":"Valin","given":"Hugo"},{"family":"Waldhoff","given":"Stephanie"},{"family":"Weindl","given":"Isabelle"},{"family":"Wise","given":"Marshall"},{"family":"Kriegler","given":"Elmar"},{"family":"Lotze-Campen","given":"Hermann"},{"family":"Fricko","given":"Oliver"},{"family":"Riahi","given":"Keywan"},{"family":"Vuuren","given":"Detlef P.","dropping-particle":"van"}],"issued":{"date-parts":[["2017",1]]}}},{"id":5516,"uris":["http://zotero.org/users/694717/items/GJVKZZIT"],"itemData":{"id":5516,"type":"article-journal","abstract":"This paper presents the overview of the Shared Socioeconomic Pathways (SSPs) and their energy, land use, and emissions implications. The SSPs are part of a new scenario framework, established by the climate change research community in order to facilitate the integrated analysis of future climate impacts, vulnerabilities, adaptation, and mitigation. The pathways were developed over the last years as a joint community effort and describe plausible major global developments that together would lead in the future to different challenges for mitigation and adaptation to climate change. The SSPs are based on five narratives describing alternative socio-economic developments, including sustainable development, regional rivalry, inequality, fossil-fueled development, and middle-of-the-road development. The long-term demographic and economic projections of the SSPs depict a wide uncertainty range consistent with the scenario literature. A multi-model approach was used for the elaboration of the energy, land-use and the emissions trajectories of SSP-based scenarios. The baseline scenarios lead to global energy consumption of 400–1200 EJ in 2100, and feature vastly different land-use dynamics, ranging from a possible reduction in cropland area up to a massive expansion by more than 700 million hectares by 2100. The associated annual CO2 emissions of the baseline scenarios range from about 25 GtCO2 to more than 120 GtCO2 per year by 2100. With respect to mitigation, we find that associated costs strongly depend on three factors: (1) the policy assumptions, (2) the socio-economic narrative, and (3) the stringency of the target. The carbon price for reaching the target of 2.6W/m2 that is consistent with a temperature change limit of 2°C, differs in our analysis thus by about a factor of three across the SSP marker scenarios. Moreover, many models could not reach this target from the SSPs with high mitigation challenges. While the SSPs were designed to represent different mitigation and adaptation challenges, the resulting narratives and quantifications span a wide range of different futures broadly representative of the current literature. This allows their subsequent use and development in new assessments and research projects. Critical next steps for the community scenario process will, among others, involve regional and sectoral extensions, further elaboration of the adaptation and impacts dimension, as well as employing the SSP scenarios with the new generation of earth system models as part of the 6th climate model intercomparison project (CMIP6).","container-title":"Global Environmental Change","DOI":"10.1016/j.gloenvcha.2016.05.009","ISSN":"0959-3780","journalAbbreviation":"Global Environmental Change","page":"153-168","source":"ScienceDirect","title":"The Shared Socioeconomic Pathways and their energy, land use, and greenhouse gas emissions implications: An overview","title-short":"The Shared Socioeconomic Pathways and their energy, land use, and greenhouse gas emissions implications","volume":"42","author":[{"family":"Riahi","given":"Keywan"},{"family":"Vuuren","given":"Detlef P.","non-dropping-particle":"van"},{"family":"Kriegler","given":"Elmar"},{"family":"Edmonds","given":"Jae"},{"family":"O’Neill","given":"Brian C."},{"family":"Fujimori","given":"Shinichiro"},{"family":"Bauer","given":"Nico"},{"family":"Calvin","given":"Katherine"},{"family":"Dellink","given":"Rob"},{"family":"Fricko","given":"Oliver"},{"family":"Lutz","given":"Wolfgang"},{"family":"Popp","given":"Alexander"},{"family":"Cuaresma","given":"Jesus Crespo"},{"family":"Kc","given":"Samir"},{"family":"Leimbach","given":"Marian"},{"family":"Jiang","given":"Leiwen"},{"family":"Kram","given":"Tom"},{"family":"Rao","given":"Shilpa"},{"family":"Emmerling","given":"Johannes"},{"family":"Ebi","given":"Kristie"},{"family":"Hasegawa","given":"Tomoko"},{"family":"Havlik","given":"Petr"},{"family":"Humpenöder","given":"Florian"},{"family":"Da Silva","given":"Lara Aleluia"},{"family":"Smith","given":"Steve"},{"family":"Stehfest","given":"Elke"},{"family":"Bosetti","given":"Valentina"},{"family":"Eom","given":"Jiyong"},{"family":"Gernaat","given":"David"},{"family":"Masui","given":"Toshihiko"},{"family":"Rogelj","given":"Joeri"},{"family":"Strefler","given":"Jessica"},{"family":"Drouet","given":"Laurent"},{"family":"Krey","given":"Volker"},{"family":"Luderer","given":"Gunnar"},{"family":"Harmsen","given":"Mathijs"},{"family":"Takahashi","given":"Kiyoshi"},{"family":"Baumstark","given":"Lavinia"},{"family":"Doelman","given":"Jonathan C."},{"family":"Kainuma","given":"Mikiko"},{"family":"Klimont","given":"Zbigniew"},{"family":"Marangoni","given":"Giacomo"},{"family":"Lotze-Campen","given":"Hermann"},{"family":"Obersteiner","given":"Michael"},{"family":"Tabeau","given":"Andrzej"},{"family":"Tavoni","given":"Massimo"}],"issued":{"date-parts":[["2017",1,1]]}}},{"id":3600,"uris":["http://zotero.org/users/694717/items/UZP6KNVK"],"itemData":{"id":3600,"type":"article-journal","container-title":"Global Environmental Change","DOI":"10.1016/j.gloenvcha.2015.01.004","ISSN":"09593780","language":"en","source":"CrossRef","title":"The roads ahead: Narratives for shared socioeconomic pathways describing world futures in the 21st century","title-short":"The roads ahead","URL":"http://linkinghub.elsevier.com/retrieve/pii/S0959378015000060","author":[{"family":"O’Neill","given":"Brian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accessed":{"date-parts":[["2016",6,19]]},"issued":{"date-parts":[["2015",2]]}}}],"schema":"https://github.com/citation-style-language/schema/raw/master/csl-citation.json"} </w:instrText>
      </w:r>
      <w:r w:rsidR="000D23A4">
        <w:rPr>
          <w:color w:val="000000" w:themeColor="text1"/>
        </w:rPr>
        <w:fldChar w:fldCharType="separate"/>
      </w:r>
      <w:r w:rsidR="00A01D99" w:rsidRPr="00A01D99">
        <w:rPr>
          <w:szCs w:val="24"/>
          <w:vertAlign w:val="superscript"/>
        </w:rPr>
        <w:t>8,21,150</w:t>
      </w:r>
      <w:r w:rsidR="000D23A4">
        <w:rPr>
          <w:color w:val="000000" w:themeColor="text1"/>
        </w:rPr>
        <w:fldChar w:fldCharType="end"/>
      </w:r>
      <w:r w:rsidRPr="00FD54EA">
        <w:rPr>
          <w:color w:val="000000" w:themeColor="text1"/>
        </w:rPr>
        <w:t>. The scenarios have been adopted widely in the climate change community, but also by other assessments of global change (</w:t>
      </w:r>
      <w:hyperlink r:id="rId9">
        <w:r w:rsidRPr="00FD54EA">
          <w:rPr>
            <w:color w:val="000000" w:themeColor="text1"/>
            <w:u w:val="single"/>
          </w:rPr>
          <w:t>https://ciesin.columbia.edu/data/ssp-literature-database-v2-2020-2021/</w:t>
        </w:r>
      </w:hyperlink>
      <w:r w:rsidRPr="00FD54EA">
        <w:rPr>
          <w:color w:val="000000" w:themeColor="text1"/>
        </w:rPr>
        <w:t xml:space="preserve">). </w:t>
      </w:r>
    </w:p>
    <w:p w14:paraId="35E2B2D4" w14:textId="33EFBC9C" w:rsidR="00BE09F0" w:rsidRPr="00FD54EA" w:rsidRDefault="00FD54EA">
      <w:pPr>
        <w:rPr>
          <w:color w:val="000000" w:themeColor="text1"/>
        </w:rPr>
      </w:pPr>
      <w:r w:rsidRPr="00FD54EA">
        <w:rPr>
          <w:color w:val="000000" w:themeColor="text1"/>
        </w:rPr>
        <w:t xml:space="preserve">SSP1 represents a green growth future in which lifestyles of people are less material-intensive, innovation towards more efficient technologies is fast, and human development is characterized by higher equity. SSP2 describes a middle-of-the-road pathway, in which human development, lifestyles, economic growth, and technological development remains very much within currently observed trends. SSP3 describes a scenario characterized by regional rivalry, impeding fast economic and technological growth. SSP4 is a highly unequal world, in which some world regions can achieve high economic progress, while others stay behind. </w:t>
      </w:r>
      <w:proofErr w:type="gramStart"/>
      <w:r w:rsidRPr="00FD54EA">
        <w:rPr>
          <w:color w:val="000000" w:themeColor="text1"/>
        </w:rPr>
        <w:t>Also</w:t>
      </w:r>
      <w:proofErr w:type="gramEnd"/>
      <w:r w:rsidRPr="00FD54EA">
        <w:rPr>
          <w:color w:val="000000" w:themeColor="text1"/>
        </w:rPr>
        <w:t xml:space="preserve"> inequality within countries is very high, and technological progress is very unequal. SSP5 depicts a fossil-fueled economic development scenario leading to high socioeconomic development but also high environmental degradation</w:t>
      </w:r>
      <w:r w:rsidR="00ED7D22">
        <w:rPr>
          <w:color w:val="000000" w:themeColor="text1"/>
        </w:rPr>
        <w:fldChar w:fldCharType="begin"/>
      </w:r>
      <w:r w:rsidR="00A01D99">
        <w:rPr>
          <w:color w:val="000000" w:themeColor="text1"/>
        </w:rPr>
        <w:instrText xml:space="preserve"> ADDIN ZOTERO_ITEM CSL_CITATION {"citationID":"UGsBP9zQ","properties":{"formattedCitation":"\\super 150\\nosupersub{}","plainCitation":"150","noteIndex":0},"citationItems":[{"id":3600,"uris":["http://zotero.org/users/694717/items/UZP6KNVK"],"itemData":{"id":3600,"type":"article-journal","container-title":"Global Environmental Change","DOI":"10.1016/j.gloenvcha.2015.01.004","ISSN":"09593780","language":"en","source":"CrossRef","title":"The roads ahead: Narratives for shared socioeconomic pathways describing world futures in the 21st century","title-short":"The roads ahead","URL":"http://linkinghub.elsevier.com/retrieve/pii/S0959378015000060","author":[{"family":"O’Neill","given":"Brian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accessed":{"date-parts":[["2016",6,19]]},"issued":{"date-parts":[["2015",2]]}}}],"schema":"https://github.com/citation-style-language/schema/raw/master/csl-citation.json"} </w:instrText>
      </w:r>
      <w:r w:rsidR="00ED7D22">
        <w:rPr>
          <w:color w:val="000000" w:themeColor="text1"/>
        </w:rPr>
        <w:fldChar w:fldCharType="separate"/>
      </w:r>
      <w:r w:rsidR="00A01D99" w:rsidRPr="00A01D99">
        <w:rPr>
          <w:szCs w:val="24"/>
          <w:vertAlign w:val="superscript"/>
        </w:rPr>
        <w:t>150</w:t>
      </w:r>
      <w:r w:rsidR="00ED7D22">
        <w:rPr>
          <w:color w:val="000000" w:themeColor="text1"/>
        </w:rPr>
        <w:fldChar w:fldCharType="end"/>
      </w:r>
      <w:r w:rsidRPr="00FD54EA">
        <w:rPr>
          <w:color w:val="000000" w:themeColor="text1"/>
        </w:rPr>
        <w:t xml:space="preserve">. </w:t>
      </w:r>
    </w:p>
    <w:p w14:paraId="54F32C88" w14:textId="26518902" w:rsidR="00BE09F0" w:rsidRPr="00FD54EA" w:rsidRDefault="00FD54EA">
      <w:pPr>
        <w:rPr>
          <w:color w:val="000000" w:themeColor="text1"/>
        </w:rPr>
      </w:pPr>
      <w:r w:rsidRPr="00FD54EA">
        <w:rPr>
          <w:color w:val="000000" w:themeColor="text1"/>
        </w:rPr>
        <w:t>In addition to a narrative storyline, the SSPs provide quantified development indicators, which include drivers such as GDP or population growth rates</w:t>
      </w:r>
      <w:r w:rsidR="00ED7D22">
        <w:rPr>
          <w:color w:val="000000" w:themeColor="text1"/>
        </w:rPr>
        <w:fldChar w:fldCharType="begin"/>
      </w:r>
      <w:r w:rsidR="00A01D99">
        <w:rPr>
          <w:color w:val="000000" w:themeColor="text1"/>
        </w:rPr>
        <w:instrText xml:space="preserve"> ADDIN ZOTERO_ITEM CSL_CITATION {"citationID":"Fxz5xbqE","properties":{"formattedCitation":"\\super 71,111\\nosupersub{}","plainCitation":"71,111","noteIndex":0},"citationItems":[{"id":4955,"uris":["http://zotero.org/users/694717/items/TMRRCCHZ"],"itemData":{"id":4955,"type":"article-journal","abstract":"This paper applies the methods of multi-dimensional mathematical demography to project national populations based on alternative assumptions on future, fertility, mortality, migration and educational transitions that correspond to the five shared socioeconomic pathways (SSP) storylines. In doing so it goes a significant step beyond past population scenarios in the IPCC context which considered only total population size. By differentiating the human population not only by age and sex—as is conventionally done in demographic projections—but also by different levels of educational attainment the most fundamental aspects of human development and social change are being explicitly addressed through modeling the changing composition of populations by these three important individual characteristics. The scenarios have been defined in a collaborative effort of the international Integrated Assessment Modeling community with the medium scenario following that of a major new effort by the Wittgenstein Centre for Demography and Global Human Capital (IIASA, OEAW, WU) involving over 550 experts from around the world. As a result, in terms of total world population size the trajectories resulting from the five SSPs stay very close to each other until around 2030 and by the middle of the century already a visible differentiation appears with the range between the highest (SSP3) and the lowest (SSP1) trajectories spanning 1.5 billion. The range opens up much more with the SSP3 reaching 12.6 billion in 2100 and SSP1 falling to 6.9 billion which is lower than today's world population.","container-title":"Global Environmental Change","DOI":"10.1016/j.gloenvcha.2014.06.004","ISSN":"0959-3780","journalAbbreviation":"Global Environmental Change","page":"181-192","source":"ScienceDirect","title":"The human core of the shared socioeconomic pathways: Population scenarios by age, sex and level of education for all countries to 2100","title-short":"The human core of the shared socioeconomic pathways","volume":"42","author":[{"family":"Kc","given":"Samir"},{"family":"Lutz","given":"Wolfgang"}],"issued":{"date-parts":[["2017",1,1]]}}},{"id":4896,"uris":["http://zotero.org/users/694717/items/CPDV9HBE"],"itemData":{"id":4896,"type":"article-journal","abstract":"Long-term economic scenarios (up to 2100) are needed as a basis to explore possible different futures for major environmental challenges, including climate change. Given the high level of uncertainty involved, such scenarios would need to span a wide range of possible growth trajectories. The recently developed storylines of the Shared Socioeconomic Pathways (SSPs) provide a basis for making such projections. This paper describes a consistent methodology to derive (per capita) GDP trend pathways on a country basis. The methodology is based on a convergence process and places emphasis on the key drivers of economic growth in the long run: population, total factor productivity, physical capital, employment and human capital, and energy and fossil fuel resources (specifically oil and gas). The paper uses this methodology to derive country-level economic growth projections for 184 countries. The paper also investigates the influence of short-term growth rate estimates on the long-term income levels in various countries. It does so by comparing long-term projections based on short-term forecasts from 2011 with the projections based on forecasts from 2013. This highlights the effects of the recent economic crisis and uncertainty in short term developments on longer term growth trends. The projections are subject to large uncertainties, particularly for the later decades, and disregard a wide range of country-specific drivers of economic growth that are outside the narrow economic framework, such as external shocks, governance barriers and feedbacks from environmental damage. Hence, they should be interpreted with sufficient care and not be treated as predictions.","container-title":"Global Environmental Change","DOI":"10.1016/j.gloenvcha.2015.06.004","ISSN":"0959-3780","journalAbbreviation":"Global Environmental Change","page":"200-214","source":"ScienceDirect","title":"Long-term economic growth projections in the Shared Socioeconomic Pathways","volume":"42","author":[{"family":"Dellink","given":"Rob"},{"family":"Chateau","given":"Jean"},{"family":"Lanzi","given":"Elisa"},{"family":"Magné","given":"Bertrand"}],"issued":{"date-parts":[["2017",1,1]]}}}],"schema":"https://github.com/citation-style-language/schema/raw/master/csl-citation.json"} </w:instrText>
      </w:r>
      <w:r w:rsidR="00ED7D22">
        <w:rPr>
          <w:color w:val="000000" w:themeColor="text1"/>
        </w:rPr>
        <w:fldChar w:fldCharType="separate"/>
      </w:r>
      <w:r w:rsidR="00A01D99" w:rsidRPr="00A01D99">
        <w:rPr>
          <w:szCs w:val="24"/>
          <w:vertAlign w:val="superscript"/>
        </w:rPr>
        <w:t>71,111</w:t>
      </w:r>
      <w:r w:rsidR="00ED7D22">
        <w:rPr>
          <w:color w:val="000000" w:themeColor="text1"/>
        </w:rPr>
        <w:fldChar w:fldCharType="end"/>
      </w:r>
      <w:r w:rsidRPr="00FD54EA">
        <w:rPr>
          <w:color w:val="000000" w:themeColor="text1"/>
        </w:rPr>
        <w:t>. GDP projections were updated to include the macro-economic downturn due to the Corona pandemic</w:t>
      </w:r>
      <w:r w:rsidR="00ED7D22">
        <w:rPr>
          <w:color w:val="000000" w:themeColor="text1"/>
        </w:rPr>
        <w:t xml:space="preserve"> </w:t>
      </w:r>
      <w:r w:rsidR="00ED7D22">
        <w:rPr>
          <w:color w:val="000000" w:themeColor="text1"/>
        </w:rPr>
        <w:fldChar w:fldCharType="begin"/>
      </w:r>
      <w:r w:rsidR="00A01D99">
        <w:rPr>
          <w:color w:val="000000" w:themeColor="text1"/>
        </w:rPr>
        <w:instrText xml:space="preserve"> ADDIN ZOTERO_ITEM CSL_CITATION {"citationID":"GptN2QX4","properties":{"formattedCitation":"\\super 151\\nosupersub{}","plainCitation":"151","noteIndex":0},"citationItems":[{"id":9170,"uris":["http://zotero.org/users/694717/items/CIUL44FM"],"itemData":{"id":9170,"type":"article-journal","abstract":"GDP scenarios are major drivers of climate change and climate change mitigation assessment studies. In this paper, a major update of the SSP GDP projections is presented. By using the most recent economic data and short-term projections by the World Bank and International Monetary Fund, the update captures changes in the system of national accounting and purchasing power parities, as well as the impact of the Covid 19 pandemic. Harmonization between the data and the original end-of-the century SSP projections was carried out in terms of GDP per capita in order to preserve the underlying narrative of income convergence. The result is a set of projections compatible with the most recent data and the SSP narratives. A comparison of DICE models calibrated to the original and updated SSP2 GDP per capita projections illustrates how significant the impact of an update of income data on integrated assessment results can be. The estimated global social costs of carbon in 2015 and 2030 rose by almost 30%.","container-title":"Ecological Economics","DOI":"10.1016/j.ecolecon.2023.107751","ISSN":"0921-8009","journalAbbreviation":"Ecological Economics","language":"en","page":"107751","source":"ScienceDirect","title":"SSP economic growth projections: Major changes of key drivers in integrated assessment modelling","title-short":"SSP economic growth projections","volume":"206","author":[{"family":"Koch","given":"Johannes"},{"family":"Leimbach","given":"Marian"}],"issued":{"date-parts":[["2023",4,1]]}}}],"schema":"https://github.com/citation-style-language/schema/raw/master/csl-citation.json"} </w:instrText>
      </w:r>
      <w:r w:rsidR="00ED7D22">
        <w:rPr>
          <w:color w:val="000000" w:themeColor="text1"/>
        </w:rPr>
        <w:fldChar w:fldCharType="separate"/>
      </w:r>
      <w:r w:rsidR="00A01D99" w:rsidRPr="00A01D99">
        <w:rPr>
          <w:szCs w:val="24"/>
          <w:vertAlign w:val="superscript"/>
        </w:rPr>
        <w:t>151</w:t>
      </w:r>
      <w:r w:rsidR="00ED7D22">
        <w:rPr>
          <w:color w:val="000000" w:themeColor="text1"/>
        </w:rPr>
        <w:fldChar w:fldCharType="end"/>
      </w:r>
      <w:r w:rsidRPr="00FD54EA">
        <w:rPr>
          <w:color w:val="000000" w:themeColor="text1"/>
        </w:rPr>
        <w:t xml:space="preserve"> (</w:t>
      </w:r>
      <w:r w:rsidRPr="00FD54EA">
        <w:rPr>
          <w:i/>
          <w:color w:val="000000" w:themeColor="text1"/>
        </w:rPr>
        <w:t xml:space="preserve">Koch and </w:t>
      </w:r>
      <w:proofErr w:type="spellStart"/>
      <w:r w:rsidRPr="00FD54EA">
        <w:rPr>
          <w:i/>
          <w:color w:val="000000" w:themeColor="text1"/>
        </w:rPr>
        <w:t>Leimbach</w:t>
      </w:r>
      <w:proofErr w:type="spellEnd"/>
      <w:r w:rsidRPr="00FD54EA">
        <w:rPr>
          <w:i/>
          <w:color w:val="000000" w:themeColor="text1"/>
        </w:rPr>
        <w:t xml:space="preserve"> 2023</w:t>
      </w:r>
      <w:r w:rsidRPr="00FD54EA">
        <w:rPr>
          <w:color w:val="000000" w:themeColor="text1"/>
        </w:rPr>
        <w:t>); they do not yet account for the effects of Russia’s invasion of Ukraine. They moreover provide qualitative statements on the development of demographics, human development, economic development, lifestyles, technology and natural resources, which were translated into modeling parameters by different IAM teams including REMIND-MAgPIE</w:t>
      </w:r>
      <w:r w:rsidR="00ED7D22">
        <w:rPr>
          <w:color w:val="000000" w:themeColor="text1"/>
        </w:rPr>
        <w:fldChar w:fldCharType="begin"/>
      </w:r>
      <w:r w:rsidR="00ED7D22">
        <w:rPr>
          <w:color w:val="000000" w:themeColor="text1"/>
        </w:rPr>
        <w:instrText xml:space="preserve"> ADDIN ZOTERO_ITEM CSL_CITATION {"citationID":"mIVwstTP","properties":{"formattedCitation":"\\super 8\\nosupersub{}","plainCitation":"8","noteIndex":0},"citationItems":[{"id":4032,"uris":["http://zotero.org/users/694717/items/7FF5TGGR"],"itemData":{"id":4032,"type":"article-journal","abstract":"In the future, the land system will be facing new intersecting challenges. While food demand, especially for resource-intensive livestock based commodities, is expected to increase, the terrestrial system has large potentials for climate change mitigation through improved agricultural management, providing biomass for bioenergy, and conserving or even enhancing carbon stocks of ecosystems. However, uncertainties in future socio-economic land use drivers may result in very different land-use dynamics and consequences for land-based ecosystem services. This is the first study with a systematic interpretation of the Shared Socio-Economic Pathways (SSPs) in terms of possible land-use changes and their consequences for the agricultural system, food provision and prices as well as greenhouse gas emissions. Therefore, five alternative Integrated Assessment Models with distinctive land-use modules have been used for the translation of the SSP narratives into quantitative projections. The model results reflect the general storylines of the SSPs and indicate a broad range of potential land-use futures with global agricultural land of 4900 mio ha in 2005 decreasing by 743 mio ha until 2100 at the lower (SSP1) and increasing by 1080 mio ha (SSP3) at the upper end. Greenhouse gas emissions from land use and land use change, as a direct outcome of these diverse land-use dynamics, and agricultural production systems differ strongly across SSPs (e.g. cumulative land use change emissions between 2005 and 2100 range from −54 to 402 Gt CO2). The inclusion of land-based mitigation efforts, particularly those in the most ambitious mitigation scenarios, further broadens the range of potential land futures and can strongly affect greenhouse gas dynamics and food prices. In general, it can be concluded that low demand for agricultural commodities, rapid growth in agricultural productivity and globalized trade, all most pronounced in a SSP1 world, have the potential to enhance the extent of natural ecosystems, lead to lowest greenhouse gas emissions from the land system and decrease food prices over time. The SSP-based land use pathways presented in this paper aim at supporting future climate research and provide the basis for further regional integrated assessments, biodiversity research and climate impact analysis.","container-title":"Global Environmental Change","DOI":"10.1016/j.gloenvcha.2016.10.002","ISSN":"0959-3780","journalAbbreviation":"Global Environmental Change","page":"331-345","source":"ScienceDirect","title":"Land-use futures in the shared socio-economic pathways","volume":"42","author":[{"family":"Popp","given":"Alexander"},{"family":"Calvin","given":"Katherine"},{"family":"Fujimori","given":"Shinichiro"},{"family":"Havlik","given":"Petr"},{"family":"Humpenöder","given":"Florian"},{"family":"Stehfest","given":"Elke"},{"family":"Bodirsky","given":"Benjamin Leon"},{"family":"Dietrich","given":"Jan Philipp"},{"family":"Doelmann","given":"Jonathan C."},{"family":"Gusti","given":"Mykola"},{"family":"Hasegawa","given":"Tomoko"},{"family":"Kyle","given":"Page"},{"family":"Obersteiner","given":"Michael"},{"family":"Tabeau","given":"Andrzej"},{"family":"Takahashi","given":"Kiyoshi"},{"family":"Valin","given":"Hugo"},{"family":"Waldhoff","given":"Stephanie"},{"family":"Weindl","given":"Isabelle"},{"family":"Wise","given":"Marshall"},{"family":"Kriegler","given":"Elmar"},{"family":"Lotze-Campen","given":"Hermann"},{"family":"Fricko","given":"Oliver"},{"family":"Riahi","given":"Keywan"},{"family":"Vuuren","given":"Detlef P.","dropping-particle":"van"}],"issued":{"date-parts":[["2017",1]]}}}],"schema":"https://github.com/citation-style-language/schema/raw/master/csl-citation.json"} </w:instrText>
      </w:r>
      <w:r w:rsidR="00ED7D22">
        <w:rPr>
          <w:color w:val="000000" w:themeColor="text1"/>
        </w:rPr>
        <w:fldChar w:fldCharType="separate"/>
      </w:r>
      <w:r w:rsidR="00ED7D22" w:rsidRPr="00ED7D22">
        <w:rPr>
          <w:szCs w:val="24"/>
          <w:vertAlign w:val="superscript"/>
        </w:rPr>
        <w:t>8</w:t>
      </w:r>
      <w:r w:rsidR="00ED7D22">
        <w:rPr>
          <w:color w:val="000000" w:themeColor="text1"/>
        </w:rPr>
        <w:fldChar w:fldCharType="end"/>
      </w:r>
      <w:r w:rsidRPr="00FD54EA">
        <w:rPr>
          <w:color w:val="000000" w:themeColor="text1"/>
        </w:rPr>
        <w:t>. These scenario switches assume - in line with the respective storyline - different trends for intensified livestock management</w:t>
      </w:r>
      <w:r w:rsidR="00ED7D22">
        <w:rPr>
          <w:color w:val="000000" w:themeColor="text1"/>
        </w:rPr>
        <w:fldChar w:fldCharType="begin"/>
      </w:r>
      <w:r w:rsidR="00A01D99">
        <w:rPr>
          <w:color w:val="000000" w:themeColor="text1"/>
        </w:rPr>
        <w:instrText xml:space="preserve"> ADDIN ZOTERO_ITEM CSL_CITATION {"citationID":"gRV9u1cR","properties":{"formattedCitation":"\\super 69,70\\nosupersub{}","plainCitation":"69,70","noteIndex":0},"citationItems":[{"id":4286,"uris":["http://zotero.org/users/694717/items/XZDKPAN4"],"itemData":{"id":4286,"type":"article-journal","abstract":"Land use change has been the primary driving force of human alteration of terrestrial ecosystems. With 80% of agricultural land dedicated to livestock production, the sector is an important lever to attenuate land requirements for food production and carbon emissions from land use change. In this study, we quantify impacts of changing human diets and livestock productivity on land dynamics and depletion of carbon stored in vegetation, litter and soils. Across all investigated productivity pathways, lower consumption of livestock products can substantially reduce deforestation (47–55%) and cumulative carbon losses (34–57%). On the supply side, already minor productivity growth in extensive livestock production systems leads to substantial CO2 emission abatement, but the emission saving potential of productivity gains in intensive systems is limited, also involving trade-offs with soil carbon stocks. If accounting for uncertainties related to future trade restrictions, crop yields and pasture productivity, the range of projected carbon savings from changing diets increases to 23–78%. Highest abatement of carbon emissions (63–78%) can be achieved if reduced consumption of animal-based products is combined with sustained investments into productivity increases in plant production. Our analysis emphasizes the importance to integrate demand- and supply-side oriented mitigation strategies and to combine efforts in the crop and livestock sector to enable synergies for climate protection.","container-title":"Global and Planetary Change","DOI":"10.1016/j.gloplacha.2017.10.002","ISSN":"0921-8181","issue":"Supplement C","journalAbbreviation":"Global and Planetary Change","page":"1-10","source":"ScienceDirect","title":"Livestock and human use of land: Productivity trends and dietary choices as drivers of future land and carbon dynamics","title-short":"Livestock and human use of land","volume":"159","author":[{"family":"Weindl","given":"Isabelle"},{"family":"Popp","given":"Alexander"},{"family":"Bodirsky","given":"Benjamin Leon"},{"family":"Rolinski","given":"Susanne"},{"family":"Lotze-Campen","given":"Hermann"},{"family":"Biewald","given":"Anne"},{"family":"Humpenöder","given":"Florian"},{"family":"Dietrich","given":"Jan Philipp"},{"family":"Stevanović","given":"Miodrag"}],"issued":{"date-parts":[["2017",12,1]]}}},{"id":4282,"uris":["http://zotero.org/users/694717/items/KUZF7W6F"],"itemData":{"id":4282,"type":"article-journal","abstract":"Human activities use more than half of accessible freshwater, above all for agriculture. Most approaches for reconciling water conservation with feeding a growing population focus on the cropping sector. However, livestock production is pivotal to agricultural resource use, due to its low resource-use efficiency upstream in the food supply chain. Using a global modelling approach, we quantify the current and future contribution of livestock production, under different demand- and supply-side scenarios, to the consumption of “green” precipitation water infiltrated into the soil and “blue” freshwater withdrawn from rivers, lakes and reservoirs. Currently, cropland feed production accounts for 38% of crop water consumption and grazing involves 29% of total agricultural water consumption (9990km3yr−1). Our analysis shows that changes in diets and livestock productivity have substantial implications for future consumption of agricultural blue water (19–36% increase compared to current levels) and green water (26–69% increase), but they can, at best, slow down trends of rising water requirements for decades to come. However, moderate productivity reductions in highly intensive livestock systems are possible without aggravating water scarcity. Productivity gains in developing regions decrease total agricultural water consumption, but lead to expansion of irrigated agriculture, due to the shift from grassland/green water to cropland/blue water resources. While the magnitude of the livestock water footprint gives cause for concern, neither dietary choices nor changes in livestock productivity will solve the water challenge of future food supply, unless accompanied by dedicated water protection policies.","container-title":"Global Environmental Change","DOI":"10.1016/j.gloenvcha.2017.09.010","ISSN":"0959-3780","issue":"Supplement C","journalAbbreviation":"Global Environmental Change","page":"121-132","source":"ScienceDirect","title":"Livestock production and the water challenge of future food supply: Implications of agricultural management and dietary choices","title-short":"Livestock production and the water challenge of future food supply","volume":"47","author":[{"family":"Weindl","given":"Isabelle"},{"family":"Bodirsky","given":"Benjamin Leon"},{"family":"Rolinski","given":"Susanne"},{"family":"Biewald","given":"Anne"},{"family":"Lotze-Campen","given":"Hermann"},{"family":"Müller","given":"Christoph"},{"family":"Dietrich","given":"Jan Philipp"},{"family":"Humpenöder","given":"Florian"},{"family":"Stevanović","given":"Miodrag"},{"family":"Schaphoff","given":"Sibyll"},{"family":"Popp","given":"Alexander"}],"issued":{"date-parts":[["2017",11,1]]}}}],"schema":"https://github.com/citation-style-language/schema/raw/master/csl-citation.json"} </w:instrText>
      </w:r>
      <w:r w:rsidR="00ED7D22">
        <w:rPr>
          <w:color w:val="000000" w:themeColor="text1"/>
        </w:rPr>
        <w:fldChar w:fldCharType="separate"/>
      </w:r>
      <w:r w:rsidR="00A01D99" w:rsidRPr="00A01D99">
        <w:rPr>
          <w:szCs w:val="24"/>
          <w:vertAlign w:val="superscript"/>
        </w:rPr>
        <w:t>69,70</w:t>
      </w:r>
      <w:r w:rsidR="00ED7D22">
        <w:rPr>
          <w:color w:val="000000" w:themeColor="text1"/>
        </w:rPr>
        <w:fldChar w:fldCharType="end"/>
      </w:r>
      <w:r w:rsidRPr="00FD54EA">
        <w:rPr>
          <w:color w:val="000000" w:themeColor="text1"/>
        </w:rPr>
        <w:t>, account for more or less material-intensive consumption patterns in the projections of food demand, different degrees of trade liberalization</w:t>
      </w:r>
      <w:r w:rsidR="00ED7D22">
        <w:rPr>
          <w:color w:val="000000" w:themeColor="text1"/>
        </w:rPr>
        <w:fldChar w:fldCharType="begin"/>
      </w:r>
      <w:r w:rsidR="00ED7D22">
        <w:rPr>
          <w:color w:val="000000" w:themeColor="text1"/>
        </w:rPr>
        <w:instrText xml:space="preserve"> ADDIN ZOTERO_ITEM CSL_CITATION {"citationID":"7Ol7A74c","properties":{"formattedCitation":"\\super 8\\nosupersub{}","plainCitation":"8","noteIndex":0},"citationItems":[{"id":4032,"uris":["http://zotero.org/users/694717/items/7FF5TGGR"],"itemData":{"id":4032,"type":"article-journal","abstract":"In the future, the land system will be facing new intersecting challenges. While food demand, especially for resource-intensive livestock based commodities, is expected to increase, the terrestrial system has large potentials for climate change mitigation through improved agricultural management, providing biomass for bioenergy, and conserving or even enhancing carbon stocks of ecosystems. However, uncertainties in future socio-economic land use drivers may result in very different land-use dynamics and consequences for land-based ecosystem services. This is the first study with a systematic interpretation of the Shared Socio-Economic Pathways (SSPs) in terms of possible land-use changes and their consequences for the agricultural system, food provision and prices as well as greenhouse gas emissions. Therefore, five alternative Integrated Assessment Models with distinctive land-use modules have been used for the translation of the SSP narratives into quantitative projections. The model results reflect the general storylines of the SSPs and indicate a broad range of potential land-use futures with global agricultural land of 4900 mio ha in 2005 decreasing by 743 mio ha until 2100 at the lower (SSP1) and increasing by 1080 mio ha (SSP3) at the upper end. Greenhouse gas emissions from land use and land use change, as a direct outcome of these diverse land-use dynamics, and agricultural production systems differ strongly across SSPs (e.g. cumulative land use change emissions between 2005 and 2100 range from −54 to 402 Gt CO2). The inclusion of land-based mitigation efforts, particularly those in the most ambitious mitigation scenarios, further broadens the range of potential land futures and can strongly affect greenhouse gas dynamics and food prices. In general, it can be concluded that low demand for agricultural commodities, rapid growth in agricultural productivity and globalized trade, all most pronounced in a SSP1 world, have the potential to enhance the extent of natural ecosystems, lead to lowest greenhouse gas emissions from the land system and decrease food prices over time. The SSP-based land use pathways presented in this paper aim at supporting future climate research and provide the basis for further regional integrated assessments, biodiversity research and climate impact analysis.","container-title":"Global Environmental Change","DOI":"10.1016/j.gloenvcha.2016.10.002","ISSN":"0959-3780","journalAbbreviation":"Global Environmental Change","page":"331-345","source":"ScienceDirect","title":"Land-use futures in the shared socio-economic pathways","volume":"42","author":[{"family":"Popp","given":"Alexander"},{"family":"Calvin","given":"Katherine"},{"family":"Fujimori","given":"Shinichiro"},{"family":"Havlik","given":"Petr"},{"family":"Humpenöder","given":"Florian"},{"family":"Stehfest","given":"Elke"},{"family":"Bodirsky","given":"Benjamin Leon"},{"family":"Dietrich","given":"Jan Philipp"},{"family":"Doelmann","given":"Jonathan C."},{"family":"Gusti","given":"Mykola"},{"family":"Hasegawa","given":"Tomoko"},{"family":"Kyle","given":"Page"},{"family":"Obersteiner","given":"Michael"},{"family":"Tabeau","given":"Andrzej"},{"family":"Takahashi","given":"Kiyoshi"},{"family":"Valin","given":"Hugo"},{"family":"Waldhoff","given":"Stephanie"},{"family":"Weindl","given":"Isabelle"},{"family":"Wise","given":"Marshall"},{"family":"Kriegler","given":"Elmar"},{"family":"Lotze-Campen","given":"Hermann"},{"family":"Fricko","given":"Oliver"},{"family":"Riahi","given":"Keywan"},{"family":"Vuuren","given":"Detlef P.","dropping-particle":"van"}],"issued":{"date-parts":[["2017",1]]}}}],"schema":"https://github.com/citation-style-language/schema/raw/master/csl-citation.json"} </w:instrText>
      </w:r>
      <w:r w:rsidR="00ED7D22">
        <w:rPr>
          <w:color w:val="000000" w:themeColor="text1"/>
        </w:rPr>
        <w:fldChar w:fldCharType="separate"/>
      </w:r>
      <w:r w:rsidR="00ED7D22" w:rsidRPr="00ED7D22">
        <w:rPr>
          <w:szCs w:val="24"/>
          <w:vertAlign w:val="superscript"/>
        </w:rPr>
        <w:t>8</w:t>
      </w:r>
      <w:r w:rsidR="00ED7D22">
        <w:rPr>
          <w:color w:val="000000" w:themeColor="text1"/>
        </w:rPr>
        <w:fldChar w:fldCharType="end"/>
      </w:r>
      <w:r w:rsidRPr="00FD54EA">
        <w:rPr>
          <w:color w:val="000000" w:themeColor="text1"/>
        </w:rPr>
        <w:t>, different non-agricultural water demand</w:t>
      </w:r>
      <w:r w:rsidR="00E25F4A">
        <w:rPr>
          <w:color w:val="000000" w:themeColor="text1"/>
        </w:rPr>
        <w:fldChar w:fldCharType="begin"/>
      </w:r>
      <w:r w:rsidR="00A01D99">
        <w:rPr>
          <w:color w:val="000000" w:themeColor="text1"/>
        </w:rPr>
        <w:instrText xml:space="preserve"> ADDIN ZOTERO_ITEM CSL_CITATION {"citationID":"u1iG71qr","properties":{"formattedCitation":"\\super 75\\nosupersub{}","plainCitation":"75","noteIndex":0},"citationItems":[{"id":9471,"uris":["http://zotero.org/users/694717/items/D3CZEDMQ"],"itemData":{"id":9471,"type":"article-journal","abstract":"To sustain growing food demand and increasing standard of living, global water use increased by nearly 6 times during the last 100 years, and continues to grow. As water demands get closer and closer to the water availability in many regions, each drop of water becomes increasingly valuable and water must be managed more efficiently and intensively. However, soaring water use worsens water scarcity conditions already prevalent in semi-arid and arid regions, increasing uncertainty for sustainable food production and economic development. Planning for future development and investments requires that we prepare water projections for the future. However, estimations are complicated because the future of the world's waters will be influenced by a combination of environmental, social, economic, and political factors, and there is only limited knowledge and data available about freshwater resources and how they are being used. The Water Futures and Solutions (WFaS) initiative coordinates its work with other ongoing scenario efforts for the sake of establishing a consistent set of new global water scenarios based on the shared socio-economic pathways (SSPs) and the representative concentration pathways (RCPs). The WFaS \"fast-track\" assessment uses three global water models, namely H08, PCR-GLOBWB, and WaterGAP. This study assesses the state of the art for estimating and projecting water use regionally and globally in a consistent manner. It provides an overview of different approaches, the uncertainty, strengths and weaknesses of the various estimation methods, types of management and policy decisions for which the current estimation methods are useful. We also discuss additional information most needed to be able to improve water use estimates and be able to assess a greater range of management options across the water–energy–climate nexus.","container-title":"Geoscientific Model Development","DOI":"10.5194/gmd-9-175-2016","ISSN":"1991-959X","issue":"1","language":"English","note":"publisher: Copernicus GmbH","page":"175-222","source":"Copernicus Online Journals","title":"Modeling global water use for the 21st century: the Water Futures and Solutions (WFaS) initiative and its approaches","title-short":"Modeling global water use for the 21st century","volume":"9","author":[{"family":"Wada","given":"Y."},{"family":"Flörke","given":"M."},{"family":"Hanasaki","given":"N."},{"family":"Eisner","given":"S."},{"family":"Fischer","given":"G."},{"family":"Tramberend","given":"S."},{"family":"Satoh","given":"Y."},{"family":"Vliet","given":"M. T. H.","non-dropping-particle":"van"},{"family":"Yillia","given":"P."},{"family":"Ringler","given":"C."},{"family":"Burek","given":"P."},{"family":"Wiberg","given":"D."}],"issued":{"date-parts":[["2016",1,21]]}}}],"schema":"https://github.com/citation-style-language/schema/raw/master/csl-citation.json"} </w:instrText>
      </w:r>
      <w:r w:rsidR="00E25F4A">
        <w:rPr>
          <w:color w:val="000000" w:themeColor="text1"/>
        </w:rPr>
        <w:fldChar w:fldCharType="separate"/>
      </w:r>
      <w:r w:rsidR="00A01D99" w:rsidRPr="00A01D99">
        <w:rPr>
          <w:szCs w:val="24"/>
          <w:vertAlign w:val="superscript"/>
        </w:rPr>
        <w:t>75</w:t>
      </w:r>
      <w:r w:rsidR="00E25F4A">
        <w:rPr>
          <w:color w:val="000000" w:themeColor="text1"/>
        </w:rPr>
        <w:fldChar w:fldCharType="end"/>
      </w:r>
      <w:r w:rsidRPr="00FD54EA">
        <w:rPr>
          <w:color w:val="000000" w:themeColor="text1"/>
        </w:rPr>
        <w:t xml:space="preserve"> and manure management</w:t>
      </w:r>
      <w:r w:rsidR="00ED7D22">
        <w:rPr>
          <w:color w:val="000000" w:themeColor="text1"/>
        </w:rPr>
        <w:fldChar w:fldCharType="begin"/>
      </w:r>
      <w:r w:rsidR="00ED7D22">
        <w:rPr>
          <w:color w:val="000000" w:themeColor="text1"/>
        </w:rPr>
        <w:instrText xml:space="preserve"> ADDIN ZOTERO_ITEM CSL_CITATION {"citationID":"G2ZR6IOO","properties":{"formattedCitation":"\\super 51\\nosupersub{}","plainCitation":"51","noteIndex":0},"citationItems":[{"id":2504,"uris":["http://zotero.org/users/694717/items/WP4HTMA4"],"itemData":{"id":2504,"type":"article-journal","container-title":"Nature Communications","DOI":"10.1038/ncomms4858","ISSN":"2041-1723","source":"CrossRef","title":"Reactive nitrogen requirements to feed the world in 2050 and potential to mitigate nitrogen pollution","URL":"http://www.nature.com/doifinder/10.1038/ncomms4858","volume":"5","author":[{"family":"Bodirsky","given":"Benjamin Leon"},{"family":"Popp","given":"Alexander"},{"family":"Lotze-Campen","given":"Hermann"},{"family":"Dietrich","given":"Jan Philipp"},{"family":"Rolinski","given":"Susanne"},{"family":"Weindl","given":"Isabelle"},{"family":"Schmitz","given":"Christoph"},{"family":"Müller","given":"Christoph"},{"family":"Bonsch","given":"Markus"},{"family":"Humpenöder","given":"Florian"},{"family":"Biewald","given":"Anne"},{"family":"Stevanovic","given":"Miodrag"}],"accessed":{"date-parts":[["2014",5,13]]},"issued":{"date-parts":[["2014",5,13]]}}}],"schema":"https://github.com/citation-style-language/schema/raw/master/csl-citation.json"} </w:instrText>
      </w:r>
      <w:r w:rsidR="00ED7D22">
        <w:rPr>
          <w:color w:val="000000" w:themeColor="text1"/>
        </w:rPr>
        <w:fldChar w:fldCharType="separate"/>
      </w:r>
      <w:r w:rsidR="00ED7D22" w:rsidRPr="00ED7D22">
        <w:rPr>
          <w:szCs w:val="24"/>
          <w:vertAlign w:val="superscript"/>
        </w:rPr>
        <w:t>51</w:t>
      </w:r>
      <w:r w:rsidR="00ED7D22">
        <w:rPr>
          <w:color w:val="000000" w:themeColor="text1"/>
        </w:rPr>
        <w:fldChar w:fldCharType="end"/>
      </w:r>
      <w:r w:rsidRPr="00FD54EA">
        <w:rPr>
          <w:color w:val="000000" w:themeColor="text1"/>
        </w:rPr>
        <w:t>. To account for the new implementation of nitrogen budgets in this assessment, the baseline soil nitrogen uptake efficiency trajectory (</w:t>
      </w:r>
      <w:proofErr w:type="spellStart"/>
      <w:r w:rsidRPr="00FD54EA">
        <w:rPr>
          <w:color w:val="000000" w:themeColor="text1"/>
        </w:rPr>
        <w:t>SNUPE</w:t>
      </w:r>
      <w:r w:rsidRPr="00FD54EA">
        <w:rPr>
          <w:color w:val="000000" w:themeColor="text1"/>
          <w:vertAlign w:val="subscript"/>
        </w:rPr>
        <w:t>base</w:t>
      </w:r>
      <w:proofErr w:type="spellEnd"/>
      <w:r w:rsidRPr="00FD54EA">
        <w:rPr>
          <w:color w:val="000000" w:themeColor="text1"/>
        </w:rPr>
        <w:t>) - reflecting technological progress in absence of nitrogen mitigation policy - was chosen in line with the qualitative SSP storylines</w:t>
      </w:r>
      <w:r w:rsidR="00ED7D22">
        <w:rPr>
          <w:color w:val="000000" w:themeColor="text1"/>
        </w:rPr>
        <w:fldChar w:fldCharType="begin"/>
      </w:r>
      <w:r w:rsidR="00A01D99">
        <w:rPr>
          <w:color w:val="000000" w:themeColor="text1"/>
        </w:rPr>
        <w:instrText xml:space="preserve"> ADDIN ZOTERO_ITEM CSL_CITATION {"citationID":"Faz4hoyw","properties":{"formattedCitation":"\\super 150\\nosupersub{}","plainCitation":"150","noteIndex":0},"citationItems":[{"id":3600,"uris":["http://zotero.org/users/694717/items/UZP6KNVK"],"itemData":{"id":3600,"type":"article-journal","container-title":"Global Environmental Change","DOI":"10.1016/j.gloenvcha.2015.01.004","ISSN":"09593780","language":"en","source":"CrossRef","title":"The roads ahead: Narratives for shared socioeconomic pathways describing world futures in the 21st century","title-short":"The roads ahead","URL":"http://linkinghub.elsevier.com/retrieve/pii/S0959378015000060","author":[{"family":"O’Neill","given":"Brian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accessed":{"date-parts":[["2016",6,19]]},"issued":{"date-parts":[["2015",2]]}}}],"schema":"https://github.com/citation-style-language/schema/raw/master/csl-citation.json"} </w:instrText>
      </w:r>
      <w:r w:rsidR="00ED7D22">
        <w:rPr>
          <w:color w:val="000000" w:themeColor="text1"/>
        </w:rPr>
        <w:fldChar w:fldCharType="separate"/>
      </w:r>
      <w:r w:rsidR="00A01D99" w:rsidRPr="00A01D99">
        <w:rPr>
          <w:szCs w:val="24"/>
          <w:vertAlign w:val="superscript"/>
        </w:rPr>
        <w:t>150</w:t>
      </w:r>
      <w:r w:rsidR="00ED7D22">
        <w:rPr>
          <w:color w:val="000000" w:themeColor="text1"/>
        </w:rPr>
        <w:fldChar w:fldCharType="end"/>
      </w:r>
      <w:r w:rsidRPr="00FD54EA">
        <w:rPr>
          <w:color w:val="000000" w:themeColor="text1"/>
        </w:rPr>
        <w:t>, assuming no improvement in SSP3, modest improvement of 5 percentage points in SSP2 and in the high-tech but material-intensive scenario SSP5, and 10 percentage points in the scenarios SSP1 and SSP4 that are supposed to have a high mitigation potential. Moreover, the maximum SNUPE was limited to 55% in SSP3, 65% in SSP2 and 75% in the storylines SSP1,4 and 5 that assume rapid progress in technology, in order to avoid unrealistically high SNUPEs in countries which already today have high efficiencies.</w:t>
      </w:r>
    </w:p>
    <w:p w14:paraId="10003C1E" w14:textId="77777777" w:rsidR="00BE09F0" w:rsidRPr="00FD54EA" w:rsidRDefault="00FD54EA">
      <w:pPr>
        <w:rPr>
          <w:color w:val="000000" w:themeColor="text1"/>
        </w:rPr>
      </w:pPr>
      <w:r w:rsidRPr="00FD54EA">
        <w:rPr>
          <w:color w:val="000000" w:themeColor="text1"/>
        </w:rPr>
        <w:t xml:space="preserve">In the </w:t>
      </w:r>
      <w:r w:rsidRPr="00FD54EA">
        <w:rPr>
          <w:i/>
          <w:color w:val="000000" w:themeColor="text1"/>
        </w:rPr>
        <w:t xml:space="preserve">Population </w:t>
      </w:r>
      <w:r w:rsidRPr="00FD54EA">
        <w:rPr>
          <w:color w:val="000000" w:themeColor="text1"/>
        </w:rPr>
        <w:t xml:space="preserve">scenario we switch the population and demographic structure from SSP2 to SSP1. In the </w:t>
      </w:r>
      <w:proofErr w:type="spellStart"/>
      <w:r w:rsidRPr="00FD54EA">
        <w:rPr>
          <w:i/>
          <w:color w:val="000000" w:themeColor="text1"/>
        </w:rPr>
        <w:t>HumanDevelop</w:t>
      </w:r>
      <w:proofErr w:type="spellEnd"/>
      <w:r w:rsidRPr="00FD54EA">
        <w:rPr>
          <w:i/>
          <w:color w:val="000000" w:themeColor="text1"/>
        </w:rPr>
        <w:t xml:space="preserve"> </w:t>
      </w:r>
      <w:r w:rsidRPr="00FD54EA">
        <w:rPr>
          <w:color w:val="000000" w:themeColor="text1"/>
        </w:rPr>
        <w:t xml:space="preserve">scenario that includes a more equal economic development, better functioning and more inclusive institutions, we assume a switch from SSP2 to SSP1 for the settings of per-capita income and urbanization scenarios, dietary preferences, and </w:t>
      </w:r>
      <w:proofErr w:type="spellStart"/>
      <w:r w:rsidRPr="00FD54EA">
        <w:rPr>
          <w:color w:val="000000" w:themeColor="text1"/>
        </w:rPr>
        <w:t>SNUPE</w:t>
      </w:r>
      <w:r w:rsidRPr="00FD54EA">
        <w:rPr>
          <w:color w:val="000000" w:themeColor="text1"/>
          <w:vertAlign w:val="subscript"/>
        </w:rPr>
        <w:t>base</w:t>
      </w:r>
      <w:proofErr w:type="spellEnd"/>
      <w:r w:rsidRPr="00FD54EA">
        <w:rPr>
          <w:color w:val="000000" w:themeColor="text1"/>
        </w:rPr>
        <w:t xml:space="preserve"> development.</w:t>
      </w:r>
    </w:p>
    <w:p w14:paraId="740F1526" w14:textId="77777777" w:rsidR="00BE09F0" w:rsidRPr="00FD54EA" w:rsidRDefault="00FD54EA">
      <w:pPr>
        <w:pStyle w:val="Heading2"/>
        <w:rPr>
          <w:color w:val="000000" w:themeColor="text1"/>
        </w:rPr>
      </w:pPr>
      <w:bookmarkStart w:id="19" w:name="_cecbwze0mp0s" w:colFirst="0" w:colLast="0"/>
      <w:bookmarkEnd w:id="19"/>
      <w:r w:rsidRPr="00FD54EA">
        <w:rPr>
          <w:color w:val="000000" w:themeColor="text1"/>
        </w:rPr>
        <w:br w:type="page"/>
      </w:r>
    </w:p>
    <w:p w14:paraId="01AB533C" w14:textId="77777777" w:rsidR="00BE09F0" w:rsidRPr="00FD54EA" w:rsidRDefault="00FD54EA">
      <w:pPr>
        <w:pStyle w:val="Heading2"/>
        <w:rPr>
          <w:color w:val="000000" w:themeColor="text1"/>
        </w:rPr>
      </w:pPr>
      <w:bookmarkStart w:id="20" w:name="_2489jlpqo5zq" w:colFirst="0" w:colLast="0"/>
      <w:bookmarkEnd w:id="20"/>
      <w:r w:rsidRPr="00FD54EA">
        <w:rPr>
          <w:color w:val="000000" w:themeColor="text1"/>
        </w:rPr>
        <w:lastRenderedPageBreak/>
        <w:t>S2: Supplementary Results and Discussion</w:t>
      </w:r>
    </w:p>
    <w:p w14:paraId="24A4E52A" w14:textId="77777777" w:rsidR="00BE09F0" w:rsidRPr="00FD54EA" w:rsidRDefault="00FD54EA">
      <w:pPr>
        <w:pStyle w:val="Heading3"/>
        <w:rPr>
          <w:color w:val="000000" w:themeColor="text1"/>
        </w:rPr>
      </w:pPr>
      <w:bookmarkStart w:id="21" w:name="_2ojto4p79tqg" w:colFirst="0" w:colLast="0"/>
      <w:bookmarkEnd w:id="21"/>
      <w:r w:rsidRPr="00FD54EA">
        <w:rPr>
          <w:color w:val="000000" w:themeColor="text1"/>
        </w:rPr>
        <w:t>S2.1: Validation of core model indicators</w:t>
      </w:r>
    </w:p>
    <w:p w14:paraId="64F830DC" w14:textId="77777777" w:rsidR="00BE09F0" w:rsidRPr="00FD54EA" w:rsidRDefault="00BE09F0">
      <w:pPr>
        <w:rPr>
          <w:color w:val="000000" w:themeColor="text1"/>
        </w:rPr>
      </w:pPr>
    </w:p>
    <w:p w14:paraId="20774609" w14:textId="72A6DB68" w:rsidR="00BE09F0" w:rsidRPr="00FD54EA" w:rsidRDefault="00FD54EA">
      <w:pPr>
        <w:rPr>
          <w:color w:val="000000" w:themeColor="text1"/>
        </w:rPr>
      </w:pPr>
      <w:r w:rsidRPr="00FD54EA">
        <w:rPr>
          <w:color w:val="000000" w:themeColor="text1"/>
        </w:rPr>
        <w:t>Historical data for our core outcome indicators (Figure 1 main manuscript) were derived as follows. Agricultural products expenditures were estimated for each product by multiplying FAO food demand with a global producer price (averaged by demand). The poverty headcount of people living with less than 3$20 per day was from the World Bank database</w:t>
      </w:r>
      <w:r w:rsidR="00ED7D22">
        <w:rPr>
          <w:color w:val="000000" w:themeColor="text1"/>
        </w:rPr>
        <w:fldChar w:fldCharType="begin"/>
      </w:r>
      <w:r w:rsidR="00A01D99">
        <w:rPr>
          <w:color w:val="000000" w:themeColor="text1"/>
        </w:rPr>
        <w:instrText xml:space="preserve"> ADDIN ZOTERO_ITEM CSL_CITATION {"citationID":"uWKyQAXM","properties":{"formattedCitation":"\\super 152\\nosupersub{}","plainCitation":"152","noteIndex":0},"citationItems":[{"id":9487,"uris":["http://zotero.org/users/694717/items/V2C5W5NM"],"itemData":{"id":9487,"type":"webpage","title":"Poverty headcount ratio at $3.20 a day (2011 PPP).","URL":"https://data.worldbank.org/indicator/SI.POV.LMIC.GC","author":[{"literal":"Worldbank"}],"issued":{"date-parts":[["2023"]]}}}],"schema":"https://github.com/citation-style-language/schema/raw/master/csl-citation.json"} </w:instrText>
      </w:r>
      <w:r w:rsidR="00ED7D22">
        <w:rPr>
          <w:color w:val="000000" w:themeColor="text1"/>
        </w:rPr>
        <w:fldChar w:fldCharType="separate"/>
      </w:r>
      <w:r w:rsidR="00A01D99" w:rsidRPr="00A01D99">
        <w:rPr>
          <w:szCs w:val="24"/>
          <w:vertAlign w:val="superscript"/>
        </w:rPr>
        <w:t>152</w:t>
      </w:r>
      <w:r w:rsidR="00ED7D22">
        <w:rPr>
          <w:color w:val="000000" w:themeColor="text1"/>
        </w:rPr>
        <w:fldChar w:fldCharType="end"/>
      </w:r>
      <w:r w:rsidRPr="00FD54EA">
        <w:rPr>
          <w:color w:val="000000" w:themeColor="text1"/>
        </w:rPr>
        <w:t xml:space="preserve">, which contains country-level data from 1967 to 2020. The downloaded version still did not include the COVID impacts on poverty in the year 2020, which explains why our 5-yearly estimates diverge from the trend. To derive a global </w:t>
      </w:r>
      <w:r w:rsidR="00ED7D22">
        <w:rPr>
          <w:color w:val="000000" w:themeColor="text1"/>
        </w:rPr>
        <w:t>total for poverty numbers</w:t>
      </w:r>
      <w:r w:rsidR="00ED7D22">
        <w:rPr>
          <w:color w:val="000000" w:themeColor="text1"/>
        </w:rPr>
        <w:fldChar w:fldCharType="begin"/>
      </w:r>
      <w:r w:rsidR="00A01D99">
        <w:rPr>
          <w:color w:val="000000" w:themeColor="text1"/>
        </w:rPr>
        <w:instrText xml:space="preserve"> ADDIN ZOTERO_ITEM CSL_CITATION {"citationID":"OhjoFumC","properties":{"formattedCitation":"\\super 152\\nosupersub{}","plainCitation":"152","noteIndex":0},"citationItems":[{"id":9487,"uris":["http://zotero.org/users/694717/items/V2C5W5NM"],"itemData":{"id":9487,"type":"webpage","title":"Poverty headcount ratio at $3.20 a day (2011 PPP).","URL":"https://data.worldbank.org/indicator/SI.POV.LMIC.GC","author":[{"literal":"Worldbank"}],"issued":{"date-parts":[["2023"]]}}}],"schema":"https://github.com/citation-style-language/schema/raw/master/csl-citation.json"} </w:instrText>
      </w:r>
      <w:r w:rsidR="00ED7D22">
        <w:rPr>
          <w:color w:val="000000" w:themeColor="text1"/>
        </w:rPr>
        <w:fldChar w:fldCharType="separate"/>
      </w:r>
      <w:r w:rsidR="00A01D99" w:rsidRPr="00A01D99">
        <w:rPr>
          <w:szCs w:val="24"/>
          <w:vertAlign w:val="superscript"/>
        </w:rPr>
        <w:t>152</w:t>
      </w:r>
      <w:r w:rsidR="00ED7D22">
        <w:rPr>
          <w:color w:val="000000" w:themeColor="text1"/>
        </w:rPr>
        <w:fldChar w:fldCharType="end"/>
      </w:r>
      <w:r w:rsidRPr="00FD54EA">
        <w:rPr>
          <w:color w:val="000000" w:themeColor="text1"/>
        </w:rPr>
        <w:t>, missing data were filled either by linearly interpolating existing data for the specific country or, where interpolation was not possible, by using average regional shares of the population living under the poverty line. Agricultural employment is based on a dataset by ILOSTAT</w:t>
      </w:r>
      <w:r w:rsidR="00FC7BFD">
        <w:rPr>
          <w:color w:val="000000" w:themeColor="text1"/>
        </w:rPr>
        <w:fldChar w:fldCharType="begin"/>
      </w:r>
      <w:r w:rsidR="00A01D99">
        <w:rPr>
          <w:color w:val="000000" w:themeColor="text1"/>
        </w:rPr>
        <w:instrText xml:space="preserve"> ADDIN ZOTERO_ITEM CSL_CITATION {"citationID":"Bz4qs6dA","properties":{"formattedCitation":"\\super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FC7BFD">
        <w:rPr>
          <w:color w:val="000000" w:themeColor="text1"/>
        </w:rPr>
        <w:fldChar w:fldCharType="separate"/>
      </w:r>
      <w:r w:rsidR="00A01D99" w:rsidRPr="00A01D99">
        <w:rPr>
          <w:szCs w:val="24"/>
          <w:vertAlign w:val="superscript"/>
        </w:rPr>
        <w:t>125</w:t>
      </w:r>
      <w:r w:rsidR="00FC7BFD">
        <w:rPr>
          <w:color w:val="000000" w:themeColor="text1"/>
        </w:rPr>
        <w:fldChar w:fldCharType="end"/>
      </w:r>
      <w:r w:rsidRPr="00FD54EA">
        <w:rPr>
          <w:color w:val="000000" w:themeColor="text1"/>
        </w:rPr>
        <w:t xml:space="preserve"> reporting aggregated employment in agriculture, forestry, and fishery, which was disaggregated based on employment shares from a more detailed but incomplete ILOSTAT dataset</w:t>
      </w:r>
      <w:r w:rsidR="00FC7BFD">
        <w:rPr>
          <w:color w:val="000000" w:themeColor="text1"/>
        </w:rPr>
        <w:fldChar w:fldCharType="begin"/>
      </w:r>
      <w:r w:rsidR="00A01D99">
        <w:rPr>
          <w:color w:val="000000" w:themeColor="text1"/>
        </w:rPr>
        <w:instrText xml:space="preserve"> ADDIN ZOTERO_ITEM CSL_CITATION {"citationID":"89NX8iZ7","properties":{"formattedCitation":"\\super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FC7BFD">
        <w:rPr>
          <w:color w:val="000000" w:themeColor="text1"/>
        </w:rPr>
        <w:fldChar w:fldCharType="separate"/>
      </w:r>
      <w:r w:rsidR="00A01D99" w:rsidRPr="00A01D99">
        <w:rPr>
          <w:szCs w:val="24"/>
          <w:vertAlign w:val="superscript"/>
        </w:rPr>
        <w:t>125</w:t>
      </w:r>
      <w:r w:rsidR="00FC7BFD">
        <w:rPr>
          <w:color w:val="000000" w:themeColor="text1"/>
        </w:rPr>
        <w:fldChar w:fldCharType="end"/>
      </w:r>
      <w:r w:rsidRPr="00FD54EA">
        <w:rPr>
          <w:color w:val="000000" w:themeColor="text1"/>
        </w:rPr>
        <w:t>. Agricultural wages are calculated by dividing total labor costs in agricultural production (based on value of production data by FAO</w:t>
      </w:r>
      <w:r w:rsidR="00FC7BFD">
        <w:rPr>
          <w:color w:val="000000" w:themeColor="text1"/>
        </w:rPr>
        <w:fldChar w:fldCharType="begin"/>
      </w:r>
      <w:r w:rsidR="00A01D99">
        <w:rPr>
          <w:color w:val="000000" w:themeColor="text1"/>
        </w:rPr>
        <w:instrText xml:space="preserve"> ADDIN ZOTERO_ITEM CSL_CITATION {"citationID":"3CXnZl4t","properties":{"formattedCitation":"\\super 113\\nosupersub{}","plainCitation":"113","noteIndex":0},"citationItems":[{"id":9449,"uris":["http://zotero.org/users/694717/items/DQLAGDWC"],"itemData":{"id":9449,"type":"webpage","title":"Database collection of the Food and Agriculture Organization of the United Nations","URL":"www.fao.org/faostat","author":[{"literal":"FAOSTAT"}],"accessed":{"date-parts":[["2016",1,7]]},"issued":{"date-parts":[["2016"]]}}}],"schema":"https://github.com/citation-style-language/schema/raw/master/csl-citation.json"} </w:instrText>
      </w:r>
      <w:r w:rsidR="00FC7BFD">
        <w:rPr>
          <w:color w:val="000000" w:themeColor="text1"/>
        </w:rPr>
        <w:fldChar w:fldCharType="separate"/>
      </w:r>
      <w:r w:rsidR="00A01D99" w:rsidRPr="00A01D99">
        <w:rPr>
          <w:szCs w:val="24"/>
          <w:vertAlign w:val="superscript"/>
        </w:rPr>
        <w:t>113</w:t>
      </w:r>
      <w:r w:rsidR="00FC7BFD">
        <w:rPr>
          <w:color w:val="000000" w:themeColor="text1"/>
        </w:rPr>
        <w:fldChar w:fldCharType="end"/>
      </w:r>
      <w:r w:rsidRPr="00FD54EA">
        <w:rPr>
          <w:color w:val="000000" w:themeColor="text1"/>
        </w:rPr>
        <w:t>, and labor cost shares</w:t>
      </w:r>
      <w:r w:rsidR="00FC7BFD">
        <w:rPr>
          <w:color w:val="000000" w:themeColor="text1"/>
        </w:rPr>
        <w:fldChar w:fldCharType="begin"/>
      </w:r>
      <w:r w:rsidR="00A01D99">
        <w:rPr>
          <w:color w:val="000000" w:themeColor="text1"/>
        </w:rPr>
        <w:instrText xml:space="preserve"> ADDIN ZOTERO_ITEM CSL_CITATION {"citationID":"uKg0fSrh","properties":{"formattedCitation":"\\super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FC7BFD">
        <w:rPr>
          <w:color w:val="000000" w:themeColor="text1"/>
        </w:rPr>
        <w:fldChar w:fldCharType="separate"/>
      </w:r>
      <w:r w:rsidR="00A01D99" w:rsidRPr="00A01D99">
        <w:rPr>
          <w:szCs w:val="24"/>
          <w:vertAlign w:val="superscript"/>
        </w:rPr>
        <w:t>125</w:t>
      </w:r>
      <w:r w:rsidR="00FC7BFD">
        <w:rPr>
          <w:color w:val="000000" w:themeColor="text1"/>
        </w:rPr>
        <w:fldChar w:fldCharType="end"/>
      </w:r>
      <w:r w:rsidRPr="00FD54EA">
        <w:rPr>
          <w:color w:val="000000" w:themeColor="text1"/>
        </w:rPr>
        <w:t>) by total hours worked (based on agricultural employment and average weekly working hours</w:t>
      </w:r>
      <w:r w:rsidR="00FC7BFD">
        <w:rPr>
          <w:color w:val="000000" w:themeColor="text1"/>
        </w:rPr>
        <w:fldChar w:fldCharType="begin"/>
      </w:r>
      <w:r w:rsidR="00A01D99">
        <w:rPr>
          <w:color w:val="000000" w:themeColor="text1"/>
        </w:rPr>
        <w:instrText xml:space="preserve"> ADDIN ZOTERO_ITEM CSL_CITATION {"citationID":"87PhxHit","properties":{"formattedCitation":"\\super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FC7BFD">
        <w:rPr>
          <w:color w:val="000000" w:themeColor="text1"/>
        </w:rPr>
        <w:fldChar w:fldCharType="separate"/>
      </w:r>
      <w:r w:rsidR="00A01D99" w:rsidRPr="00A01D99">
        <w:rPr>
          <w:szCs w:val="24"/>
          <w:vertAlign w:val="superscript"/>
        </w:rPr>
        <w:t>125</w:t>
      </w:r>
      <w:r w:rsidR="00FC7BFD">
        <w:rPr>
          <w:color w:val="000000" w:themeColor="text1"/>
        </w:rPr>
        <w:fldChar w:fldCharType="end"/>
      </w:r>
      <w:r w:rsidRPr="00FD54EA">
        <w:rPr>
          <w:color w:val="000000" w:themeColor="text1"/>
        </w:rPr>
        <w:t>). Gaps in the resulting dataset were filled based on a regression between hourly labor costs in agriculture</w:t>
      </w:r>
      <w:r w:rsidR="00FC7BFD">
        <w:rPr>
          <w:color w:val="000000" w:themeColor="text1"/>
        </w:rPr>
        <w:fldChar w:fldCharType="begin"/>
      </w:r>
      <w:r w:rsidR="00A01D99">
        <w:rPr>
          <w:color w:val="000000" w:themeColor="text1"/>
        </w:rPr>
        <w:instrText xml:space="preserve"> ADDIN ZOTERO_ITEM CSL_CITATION {"citationID":"MRA5MAjJ","properties":{"formattedCitation":"\\super 125\\nosupersub{}","plainCitation":"125","noteIndex":0},"citationItems":[{"id":9461,"uris":["http://zotero.org/users/694717/items/F6S9GI3W"],"itemData":{"id":9461,"type":"webpage","abstract":"Get labour statistics from our comprehensive database with a tool that works for you. All tools provide free and open access to our data.","container-title":"ILOSTAT","language":"en-US","note":"section: Data","title":"ILOSTAT","URL":"https://ilostat.ilo.org/data/","author":[{"literal":"International Labour Organization"}],"accessed":{"date-parts":[["2023",5,12]]},"issued":{"date-parts":[["2021",8,11]]}}}],"schema":"https://github.com/citation-style-language/schema/raw/master/csl-citation.json"} </w:instrText>
      </w:r>
      <w:r w:rsidR="00FC7BFD">
        <w:rPr>
          <w:color w:val="000000" w:themeColor="text1"/>
        </w:rPr>
        <w:fldChar w:fldCharType="separate"/>
      </w:r>
      <w:r w:rsidR="00A01D99" w:rsidRPr="00A01D99">
        <w:rPr>
          <w:szCs w:val="24"/>
          <w:vertAlign w:val="superscript"/>
        </w:rPr>
        <w:t>125</w:t>
      </w:r>
      <w:r w:rsidR="00FC7BFD">
        <w:rPr>
          <w:color w:val="000000" w:themeColor="text1"/>
        </w:rPr>
        <w:fldChar w:fldCharType="end"/>
      </w:r>
      <w:r w:rsidRPr="00FD54EA">
        <w:rPr>
          <w:color w:val="000000" w:themeColor="text1"/>
        </w:rPr>
        <w:t xml:space="preserve"> and per-capita income. The historical BII</w:t>
      </w:r>
      <w:r w:rsidR="00FC7BFD">
        <w:rPr>
          <w:color w:val="000000" w:themeColor="text1"/>
        </w:rPr>
        <w:t xml:space="preserve"> estimate</w:t>
      </w:r>
      <w:r w:rsidR="00FC7BFD">
        <w:rPr>
          <w:color w:val="000000" w:themeColor="text1"/>
        </w:rPr>
        <w:fldChar w:fldCharType="begin"/>
      </w:r>
      <w:r w:rsidR="00A01D99">
        <w:rPr>
          <w:color w:val="000000" w:themeColor="text1"/>
        </w:rPr>
        <w:instrText xml:space="preserve"> ADDIN ZOTERO_ITEM CSL_CITATION {"citationID":"rdqZHFDE","properties":{"formattedCitation":"\\super 153\\nosupersub{}","plainCitation":"153","noteIndex":0},"citationItems":[{"id":9488,"uris":["http://zotero.org/users/694717/items/EBE5SIR8"],"itemData":{"id":9488,"type":"article-journal","abstract":"Using the PREDICTS database of local biodiversity measures at thousands of sites around the world, we statistically modelled how total abundance of organisms and compositional similarity responded...","DOI":"10.5519/he1eqmg1","language":"en","note":"publisher: Natural History Museum","source":"data.nhm.ac.uk","title":"The Biodiversity Intactness Index - country, region and global-level summaries for the year 1970 to 2050 under various scenarios","URL":"https://data.nhm.ac.uk/dataset/bii-bte","author":[{"family":"Phillips","given":"Helen"},{"family":"Palma","given":"Adriana De"},{"family":"Gonzalez","given":"Ricardo E."},{"family":"Contu","given":"Sara"},{"family":"Hill","given":"Samantha L. L."},{"family":"Baselga","given":"Andrés"},{"family":"Borger","given":"Luca"},{"family":"Purvis","given":"Andy"}],"accessed":{"date-parts":[["2023",5,12]]},"issued":{"date-parts":[["2021",10,4]]}}}],"schema":"https://github.com/citation-style-language/schema/raw/master/csl-citation.json"} </w:instrText>
      </w:r>
      <w:r w:rsidR="00FC7BFD">
        <w:rPr>
          <w:color w:val="000000" w:themeColor="text1"/>
        </w:rPr>
        <w:fldChar w:fldCharType="separate"/>
      </w:r>
      <w:r w:rsidR="00A01D99" w:rsidRPr="00A01D99">
        <w:rPr>
          <w:szCs w:val="24"/>
          <w:vertAlign w:val="superscript"/>
        </w:rPr>
        <w:t>153</w:t>
      </w:r>
      <w:r w:rsidR="00FC7BFD">
        <w:rPr>
          <w:color w:val="000000" w:themeColor="text1"/>
        </w:rPr>
        <w:fldChar w:fldCharType="end"/>
      </w:r>
      <w:r w:rsidRPr="00FD54EA">
        <w:rPr>
          <w:color w:val="000000" w:themeColor="text1"/>
        </w:rPr>
        <w:t xml:space="preserve"> differs from our estimate due to a lower estimate of forests in their land use patterns (see also Supplementary Figure 2 </w:t>
      </w:r>
      <w:proofErr w:type="spellStart"/>
      <w:r w:rsidRPr="00FD54EA">
        <w:rPr>
          <w:color w:val="000000" w:themeColor="text1"/>
        </w:rPr>
        <w:t>d,e</w:t>
      </w:r>
      <w:proofErr w:type="spellEnd"/>
      <w:r w:rsidRPr="00FD54EA">
        <w:rPr>
          <w:color w:val="000000" w:themeColor="text1"/>
        </w:rPr>
        <w:t xml:space="preserve">). Historical </w:t>
      </w:r>
      <w:proofErr w:type="spellStart"/>
      <w:r w:rsidRPr="00FD54EA">
        <w:rPr>
          <w:i/>
          <w:color w:val="000000" w:themeColor="text1"/>
        </w:rPr>
        <w:t>Croparea</w:t>
      </w:r>
      <w:proofErr w:type="spellEnd"/>
      <w:r w:rsidRPr="00FD54EA">
        <w:rPr>
          <w:i/>
          <w:color w:val="000000" w:themeColor="text1"/>
        </w:rPr>
        <w:t xml:space="preserve"> Diversity</w:t>
      </w:r>
      <w:r w:rsidRPr="00FD54EA">
        <w:rPr>
          <w:color w:val="000000" w:themeColor="text1"/>
        </w:rPr>
        <w:t xml:space="preserve"> was estimated by applying the Shannon Index on the historical </w:t>
      </w:r>
      <w:proofErr w:type="spellStart"/>
      <w:r w:rsidRPr="00FD54EA">
        <w:rPr>
          <w:color w:val="000000" w:themeColor="text1"/>
        </w:rPr>
        <w:t>landuse</w:t>
      </w:r>
      <w:proofErr w:type="spellEnd"/>
      <w:r w:rsidRPr="00FD54EA">
        <w:rPr>
          <w:color w:val="000000" w:themeColor="text1"/>
        </w:rPr>
        <w:t xml:space="preserve"> patterns from LUH2v2</w:t>
      </w:r>
      <w:r w:rsidR="002B05DD">
        <w:rPr>
          <w:color w:val="000000" w:themeColor="text1"/>
        </w:rPr>
        <w:fldChar w:fldCharType="begin"/>
      </w:r>
      <w:r w:rsidR="00A01D99">
        <w:rPr>
          <w:color w:val="000000" w:themeColor="text1"/>
        </w:rPr>
        <w:instrText xml:space="preserve"> ADDIN ZOTERO_ITEM CSL_CITATION {"citationID":"IEv5oiD8","properties":{"formattedCitation":"\\super 72\\nosupersub{}","plainCitation":"72","noteIndex":0},"citationItems":[{"id":6691,"uris":["http://zotero.org/users/694717/items/ZEF3NQFL"],"itemData":{"id":6691,"type":"article-journal","abstract":"&lt;p&gt;&lt;strong&gt;Abstract.&lt;/strong&gt; Human land-use activities have resulted in large changes to the biogeochemical and biophysical properties of the Earth surface, with consequences for climate and other ecosystem services. In the future, land-use activities are likely to expand and/or intensify further to meet growing demands for food, fiber, and energy. As part of the World Climate Research Program Coupled Model Intercomparison Project (CMIP6), the international community is developing the next generation of advanced Earth System Models (ESMs) to estimate the combined effects of human activities (e.g. land use and fossil fuel emissions) on the carbon-climate system. A new set of historical data based on the History of the Global Environment database (HYDE), and multiple alternative scenarios of the future (2015&amp;ndash;2100) from Integrated Assessment Model (IAM) teams, are required as input for these models. Here we present results from the Land-use Harmonization 2 (LUH2) project, with the goal to smoothly connect updated historical reconstructions of land-use with new future projections in the format required for ESMs. The harmonization strategy estimates the fractional land-use patterns, underlying land-use transitions, key agricultural management information, and resulting secondary lands annually, while minimizing the differences between the end of the historical reconstruction and IAM initial conditions and preserving changes depicted by the IAMs in the future. The new approach builds off a similar effort from CMIP5, and is now provided at higher resolution (0.25&amp;thinsp;&amp;times;&amp;thinsp;0.25 degree), over a longer time domain (850&amp;ndash;2100, with extensions to 2300), with more detail (including multiple crop and pasture types and associated management practices), using more input datasets (including Landsat remote sensing data), updated algorithms (wood harvest and shifting cultivation), and is assessed via a new diagnostic package. The new LUH2 products contain &gt;&amp;thinsp;50 times the information content of the datasets used in CMIP5, and are designed to enable new and improved estimates of the combined effects of land-use on the global carbon-climate system.&lt;/p&gt;","container-title":"Geoscientific Model Development Discussions","DOI":"https://doi.org/10.5194/gmd-2019-360","ISSN":"1991-959X","language":"English","page":"1-65","source":"gmd.copernicus.org","title":"Harmonization of Global Land-Use Change and Management for the Period 850&amp;ndash;2100 (LUH2) for CMIP6","author":[{"family":"Hurtt","given":"George C."},{"family":"Chini","given":"Louise"},{"family":"Sahajpal","given":"Ritvik"},{"family":"Frolking","given":"Steve"},{"family":"Bodirsky","given":"Benjamin L."},{"family":"Calvin","given":"Katherine"},{"family":"Doelman","given":"Jonathan C."},{"family":"Fisk","given":"Justin"},{"family":"Fujimori","given":"Shinichiro"},{"family":"Goldewijk","given":"Kees Klein"},{"family":"Hasegawa","given":"Tomoko"},{"family":"Havlik","given":"Peter"},{"family":"Heinimann","given":"Andreas"},{"family":"Humpenöder","given":"Florian"},{"family":"Jungclaus","given":"Johan"},{"family":"Kaplan","given":"Jed"},{"family":"Kennedy","given":"Jennifer"},{"family":"Kristzin","given":"Tama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N."},{"family":"Vuuren","given":"Detlef P.","non-dropping-particle":"van"},{"family":"Zhang","given":"Xin"}],"issued":{"date-parts":[["2020",4,14]]}}}],"schema":"https://github.com/citation-style-language/schema/raw/master/csl-citation.json"} </w:instrText>
      </w:r>
      <w:r w:rsidR="002B05DD">
        <w:rPr>
          <w:color w:val="000000" w:themeColor="text1"/>
        </w:rPr>
        <w:fldChar w:fldCharType="separate"/>
      </w:r>
      <w:r w:rsidR="00A01D99" w:rsidRPr="00A01D99">
        <w:rPr>
          <w:szCs w:val="24"/>
          <w:vertAlign w:val="superscript"/>
        </w:rPr>
        <w:t>72</w:t>
      </w:r>
      <w:r w:rsidR="002B05DD">
        <w:rPr>
          <w:color w:val="000000" w:themeColor="text1"/>
        </w:rPr>
        <w:fldChar w:fldCharType="end"/>
      </w:r>
      <w:r w:rsidRPr="00FD54EA">
        <w:rPr>
          <w:color w:val="000000" w:themeColor="text1"/>
        </w:rPr>
        <w:t xml:space="preserve"> for 4 crop groups, which were further downscaled to </w:t>
      </w:r>
      <w:proofErr w:type="spellStart"/>
      <w:r w:rsidRPr="00FD54EA">
        <w:rPr>
          <w:color w:val="000000" w:themeColor="text1"/>
        </w:rPr>
        <w:t>MAgPIE</w:t>
      </w:r>
      <w:proofErr w:type="spellEnd"/>
      <w:r w:rsidRPr="00FD54EA">
        <w:rPr>
          <w:color w:val="000000" w:themeColor="text1"/>
        </w:rPr>
        <w:t xml:space="preserve"> crop groups by country-level data from FAOSTAT assuming national relative area shares at sub-country level which partly explains the slightly higher values than our estimates. </w:t>
      </w:r>
    </w:p>
    <w:p w14:paraId="1AC68025" w14:textId="61672029" w:rsidR="00BE09F0" w:rsidRPr="00FD54EA" w:rsidRDefault="00FD54EA">
      <w:pPr>
        <w:rPr>
          <w:color w:val="000000" w:themeColor="text1"/>
        </w:rPr>
      </w:pPr>
      <w:r w:rsidRPr="00FD54EA">
        <w:rPr>
          <w:color w:val="000000" w:themeColor="text1"/>
        </w:rPr>
        <w:t xml:space="preserve">Historic nitrogen surpluses were estimated based on the same method as in the </w:t>
      </w:r>
      <w:proofErr w:type="spellStart"/>
      <w:r w:rsidRPr="00FD54EA">
        <w:rPr>
          <w:color w:val="000000" w:themeColor="text1"/>
        </w:rPr>
        <w:t>MAgPIE</w:t>
      </w:r>
      <w:proofErr w:type="spellEnd"/>
      <w:r w:rsidRPr="00FD54EA">
        <w:rPr>
          <w:color w:val="000000" w:themeColor="text1"/>
        </w:rPr>
        <w:t xml:space="preserve"> model, yet using historical activity numbers for crop and livestock production, land areas, atmospheric deposition, and fertilizer consumption. Cumulative greenhouse gas emissions are based on FAOSTAT</w:t>
      </w:r>
      <w:r w:rsidR="00CF02C0">
        <w:rPr>
          <w:color w:val="000000" w:themeColor="text1"/>
        </w:rPr>
        <w:fldChar w:fldCharType="begin"/>
      </w:r>
      <w:r w:rsidR="00A01D99">
        <w:rPr>
          <w:color w:val="000000" w:themeColor="text1"/>
        </w:rPr>
        <w:instrText xml:space="preserve"> ADDIN ZOTERO_ITEM CSL_CITATION {"citationID":"LkDV1RaT","properties":{"formattedCitation":"\\super 154\\nosupersub{}","plainCitation":"154","noteIndex":0},"citationItems":[{"id":9490,"uris":["http://zotero.org/users/694717/items/A4Q4XBKS"],"itemData":{"id":9490,"type":"article-journal","abstract":"New estimates of greenhouse gas (GHG) emissions from the food system were developed at the country level, for the period 1990–2018, integrating data from crop and livestock production, on-farm energy use, land use and land use change, domestic food transport and food waste disposal. With these new country-level components in place, and by adding global and regional estimates of energy use in food supply chains, we estimate that total GHG emissions from the food system were about 16 CO2eq yr−1 in 2018, or one-third of the global anthropogenic total. Three quarters of these emissions, 13 Gt CO2eq yr−1, were generated either within the farm gate or in pre- and post-production activities, such as manufacturing, transport, processing, and waste disposal. The remainder was generated through land use change at the conversion boundaries of natural ecosystems to agricultural land. Results further indicate that pre- and post-production emissions were proportionally more important in developed than in developing countries, and that during 1990–2018, land use change emissions decreased while pre- and post-production emissions increased. We also report results on a per capita basis, showing world total food systems per capita emissions decreasing during 1990–2018 from 2.9 to 2.2 t CO2eq cap−1, with per capita emissions in developed countries about twice those in developing countries in 2018. Our findings also highlight that conventional IPCC categories, used by countries to report emissions in the National GHG inventory, systematically underestimate the contribution of the food system to total anthropogenic emissions. We provide a comparative mapping of food system categories and activities in order to better quantify food-related emissions in national reporting and identify mitigation opportunities across the entire food system.","container-title":"Environmental Research Letters","DOI":"10.1088/1748-9326/ac018e","ISSN":"1748-9326","issue":"6","journalAbbreviation":"Environ. Res. Lett.","language":"en","note":"publisher: IOP Publishing","page":"065007","source":"Institute of Physics","title":"Greenhouse gas emissions from food systems: building the evidence base","title-short":"Greenhouse gas emissions from food systems","volume":"16","author":[{"family":"Tubiello","given":"Francesco N."},{"family":"Rosenzweig","given":"Cynthia"},{"family":"Conchedda","given":"Giulia"},{"family":"Karl","given":"Kevin"},{"family":"Gütschow","given":"Johannes"},{"family":"Xueyao","given":"Pan"},{"family":"Obli-Laryea","given":"Griffiths"},{"family":"Wanner","given":"Nathan"},{"family":"Qiu","given":"Sally Yue"},{"family":"Barros","given":"Julio De"},{"family":"Flammini","given":"Alessandro"},{"family":"Mencos-Contreras","given":"Erik"},{"family":"Souza","given":"Leonardo"},{"family":"Quadrelli","given":"Roberta"},{"family":"Heiðarsdóttir","given":"Hörn Halldórudóttir"},{"family":"Benoit","given":"Philippe"},{"family":"Hayek","given":"Matthew"},{"family":"Sandalow","given":"David"}],"issued":{"date-parts":[["2021",6]]}}}],"schema":"https://github.com/citation-style-language/schema/raw/master/csl-citation.json"} </w:instrText>
      </w:r>
      <w:r w:rsidR="00CF02C0">
        <w:rPr>
          <w:color w:val="000000" w:themeColor="text1"/>
        </w:rPr>
        <w:fldChar w:fldCharType="separate"/>
      </w:r>
      <w:r w:rsidR="00A01D99" w:rsidRPr="00A01D99">
        <w:rPr>
          <w:szCs w:val="24"/>
          <w:vertAlign w:val="superscript"/>
        </w:rPr>
        <w:t>154</w:t>
      </w:r>
      <w:r w:rsidR="00CF02C0">
        <w:rPr>
          <w:color w:val="000000" w:themeColor="text1"/>
        </w:rPr>
        <w:fldChar w:fldCharType="end"/>
      </w:r>
      <w:r w:rsidRPr="00FD54EA">
        <w:rPr>
          <w:color w:val="000000" w:themeColor="text1"/>
        </w:rPr>
        <w:t>. Global surface warming is based on the IPCC AR6 Summary for Policymakers Global Surface Temperature Anomalies (GSTA) time series relative to 1850-1900</w:t>
      </w:r>
      <w:r w:rsidR="00211A5C">
        <w:rPr>
          <w:color w:val="000000" w:themeColor="text1"/>
        </w:rPr>
        <w:fldChar w:fldCharType="begin"/>
      </w:r>
      <w:r w:rsidR="00211A5C">
        <w:rPr>
          <w:color w:val="000000" w:themeColor="text1"/>
        </w:rPr>
        <w:instrText xml:space="preserve"> ADDIN ZOTERO_ITEM CSL_CITATION {"citationID":"rxNxV59d","properties":{"formattedCitation":"\\super 49\\nosupersub{}","plainCitation":"49","noteIndex":0},"citationItems":[{"id":9360,"uris":["http://zotero.org/users/694717/items/TBG4EYAK"],"itemData":{"id":9360,"type":"book","archive":"doi: 10.1017/9781009157926.001","publisher":"Cambridge University Press, Cambridge, UK and New York, NY, USA.","title":"Summary for Policymakers. In: Climate Change 2022: Mitigation of Climate Change. Contribution of Working Group III to the Sixth Assessment Report of the Intergovernmental Panel on Climate Change","URL":"https://www.ipcc.ch/report/ar6/wg3/downloads/report/IPCC_AR6_WGIII_SummaryForPolicymakers.pdf","author":[{"literal":"IPCC"}],"accessed":{"date-parts":[["2023",4,27]]},"issued":{"date-parts":[["2022"]]}}}],"schema":"https://github.com/citation-style-language/schema/raw/master/csl-citation.json"} </w:instrText>
      </w:r>
      <w:r w:rsidR="00211A5C">
        <w:rPr>
          <w:color w:val="000000" w:themeColor="text1"/>
        </w:rPr>
        <w:fldChar w:fldCharType="separate"/>
      </w:r>
      <w:r w:rsidR="00211A5C" w:rsidRPr="00211A5C">
        <w:rPr>
          <w:szCs w:val="24"/>
          <w:vertAlign w:val="superscript"/>
        </w:rPr>
        <w:t>49</w:t>
      </w:r>
      <w:r w:rsidR="00211A5C">
        <w:rPr>
          <w:color w:val="000000" w:themeColor="text1"/>
        </w:rPr>
        <w:fldChar w:fldCharType="end"/>
      </w:r>
      <w:r w:rsidRPr="00FD54EA">
        <w:rPr>
          <w:color w:val="000000" w:themeColor="text1"/>
        </w:rPr>
        <w:t>, which uses the observations of HadCRUT4.6.</w:t>
      </w:r>
    </w:p>
    <w:p w14:paraId="4C2EB9BF" w14:textId="77777777" w:rsidR="00BE09F0" w:rsidRPr="00FD54EA" w:rsidRDefault="00FD54EA">
      <w:pPr>
        <w:rPr>
          <w:color w:val="000000" w:themeColor="text1"/>
        </w:rPr>
      </w:pPr>
      <w:r w:rsidRPr="00FD54EA">
        <w:rPr>
          <w:color w:val="000000" w:themeColor="text1"/>
        </w:rPr>
        <w:t>Supplementary Figure 2 provides further central model indicators and compares them to historical trends.</w:t>
      </w:r>
    </w:p>
    <w:p w14:paraId="3798B7F8" w14:textId="77777777" w:rsidR="00BE09F0" w:rsidRPr="00FD54EA" w:rsidRDefault="00BE09F0">
      <w:pPr>
        <w:rPr>
          <w:color w:val="000000" w:themeColor="text1"/>
        </w:rPr>
      </w:pPr>
    </w:p>
    <w:p w14:paraId="78D667ED" w14:textId="77777777" w:rsidR="00BE09F0" w:rsidRPr="00FD54EA" w:rsidRDefault="00BE09F0">
      <w:pPr>
        <w:rPr>
          <w:color w:val="000000" w:themeColor="text1"/>
        </w:rPr>
      </w:pPr>
    </w:p>
    <w:p w14:paraId="545DF033" w14:textId="77777777" w:rsidR="00BE09F0" w:rsidRPr="00FD54EA" w:rsidRDefault="00BE09F0">
      <w:pPr>
        <w:rPr>
          <w:color w:val="000000" w:themeColor="text1"/>
        </w:rPr>
      </w:pPr>
    </w:p>
    <w:p w14:paraId="32D4AD2B" w14:textId="77777777" w:rsidR="00BE09F0" w:rsidRPr="00FD54EA" w:rsidRDefault="00BE09F0">
      <w:pPr>
        <w:rPr>
          <w:color w:val="000000" w:themeColor="text1"/>
        </w:rPr>
      </w:pPr>
    </w:p>
    <w:p w14:paraId="24041FE4" w14:textId="77777777" w:rsidR="00BE09F0" w:rsidRPr="00FD54EA" w:rsidRDefault="00BE09F0">
      <w:pPr>
        <w:rPr>
          <w:color w:val="000000" w:themeColor="text1"/>
        </w:rPr>
      </w:pPr>
    </w:p>
    <w:p w14:paraId="4D483C6D" w14:textId="77777777" w:rsidR="00BE09F0" w:rsidRPr="00FD54EA" w:rsidRDefault="00BE09F0">
      <w:pPr>
        <w:rPr>
          <w:color w:val="000000" w:themeColor="text1"/>
        </w:rPr>
      </w:pPr>
    </w:p>
    <w:p w14:paraId="67431031" w14:textId="77777777" w:rsidR="00BE09F0" w:rsidRPr="00FD54EA" w:rsidRDefault="00FD54EA">
      <w:pPr>
        <w:rPr>
          <w:color w:val="000000" w:themeColor="text1"/>
        </w:rPr>
      </w:pPr>
      <w:r w:rsidRPr="00FD54EA">
        <w:rPr>
          <w:noProof/>
          <w:color w:val="000000" w:themeColor="text1"/>
        </w:rPr>
        <w:lastRenderedPageBreak/>
        <w:drawing>
          <wp:inline distT="114300" distB="114300" distL="114300" distR="114300" wp14:anchorId="41489BDC" wp14:editId="19902CC1">
            <wp:extent cx="5943600" cy="59436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943600" cy="5943600"/>
                    </a:xfrm>
                    <a:prstGeom prst="rect">
                      <a:avLst/>
                    </a:prstGeom>
                    <a:ln/>
                  </pic:spPr>
                </pic:pic>
              </a:graphicData>
            </a:graphic>
          </wp:inline>
        </w:drawing>
      </w:r>
      <w:r w:rsidRPr="00FD54EA">
        <w:rPr>
          <w:noProof/>
          <w:color w:val="000000" w:themeColor="text1"/>
        </w:rPr>
        <w:lastRenderedPageBreak/>
        <w:drawing>
          <wp:inline distT="114300" distB="114300" distL="114300" distR="114300" wp14:anchorId="4B1195D2" wp14:editId="7CAD6B7B">
            <wp:extent cx="5943600" cy="59436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943600" cy="5943600"/>
                    </a:xfrm>
                    <a:prstGeom prst="rect">
                      <a:avLst/>
                    </a:prstGeom>
                    <a:ln/>
                  </pic:spPr>
                </pic:pic>
              </a:graphicData>
            </a:graphic>
          </wp:inline>
        </w:drawing>
      </w:r>
    </w:p>
    <w:p w14:paraId="12D1058A" w14:textId="77777777" w:rsidR="00BE09F0" w:rsidRPr="00FD54EA" w:rsidRDefault="00BE09F0">
      <w:pPr>
        <w:rPr>
          <w:color w:val="000000" w:themeColor="text1"/>
        </w:rPr>
      </w:pPr>
    </w:p>
    <w:p w14:paraId="77CE3B86" w14:textId="77777777" w:rsidR="00BE09F0" w:rsidRPr="00FD54EA" w:rsidRDefault="00BE09F0">
      <w:pPr>
        <w:rPr>
          <w:color w:val="000000" w:themeColor="text1"/>
        </w:rPr>
      </w:pPr>
    </w:p>
    <w:p w14:paraId="3DCE6CF4" w14:textId="77777777" w:rsidR="00BE09F0" w:rsidRPr="00FD54EA" w:rsidRDefault="00FD54EA">
      <w:pPr>
        <w:rPr>
          <w:color w:val="000000" w:themeColor="text1"/>
        </w:rPr>
      </w:pPr>
      <w:r w:rsidRPr="00FD54EA">
        <w:rPr>
          <w:noProof/>
          <w:color w:val="000000" w:themeColor="text1"/>
        </w:rPr>
        <w:lastRenderedPageBreak/>
        <w:drawing>
          <wp:inline distT="114300" distB="114300" distL="114300" distR="114300" wp14:anchorId="240157DA" wp14:editId="62941DEF">
            <wp:extent cx="5943600" cy="356870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943600" cy="3568700"/>
                    </a:xfrm>
                    <a:prstGeom prst="rect">
                      <a:avLst/>
                    </a:prstGeom>
                    <a:ln/>
                  </pic:spPr>
                </pic:pic>
              </a:graphicData>
            </a:graphic>
          </wp:inline>
        </w:drawing>
      </w:r>
    </w:p>
    <w:p w14:paraId="3336AE6C" w14:textId="77777777" w:rsidR="00BE09F0" w:rsidRPr="00FD54EA" w:rsidRDefault="00FD54EA">
      <w:pPr>
        <w:rPr>
          <w:color w:val="000000" w:themeColor="text1"/>
        </w:rPr>
      </w:pPr>
      <w:r w:rsidRPr="00FD54EA">
        <w:rPr>
          <w:noProof/>
          <w:color w:val="000000" w:themeColor="text1"/>
        </w:rPr>
        <w:lastRenderedPageBreak/>
        <w:drawing>
          <wp:inline distT="114300" distB="114300" distL="114300" distR="114300" wp14:anchorId="674D4E8F" wp14:editId="1BCBC401">
            <wp:extent cx="5943600" cy="59436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43600" cy="5943600"/>
                    </a:xfrm>
                    <a:prstGeom prst="rect">
                      <a:avLst/>
                    </a:prstGeom>
                    <a:ln/>
                  </pic:spPr>
                </pic:pic>
              </a:graphicData>
            </a:graphic>
          </wp:inline>
        </w:drawing>
      </w:r>
    </w:p>
    <w:p w14:paraId="53CE40A5" w14:textId="77777777" w:rsidR="00BE09F0" w:rsidRPr="00FD54EA" w:rsidRDefault="00BE09F0">
      <w:pPr>
        <w:rPr>
          <w:color w:val="000000" w:themeColor="text1"/>
        </w:rPr>
      </w:pPr>
    </w:p>
    <w:p w14:paraId="2A92EADC" w14:textId="77777777" w:rsidR="00BE09F0" w:rsidRPr="00FD54EA" w:rsidRDefault="00FD54EA">
      <w:pPr>
        <w:pStyle w:val="Heading5"/>
        <w:rPr>
          <w:color w:val="000000" w:themeColor="text1"/>
        </w:rPr>
      </w:pPr>
      <w:bookmarkStart w:id="22" w:name="_lxpnex4epva6" w:colFirst="0" w:colLast="0"/>
      <w:bookmarkEnd w:id="22"/>
      <w:r w:rsidRPr="00FD54EA">
        <w:rPr>
          <w:color w:val="000000" w:themeColor="text1"/>
        </w:rPr>
        <w:t xml:space="preserve">Supplementary Figure 2: Comparison of central model indicators with historical trends for current low-income, middle-income, and high-income regions (see S1.1.1). </w:t>
      </w:r>
    </w:p>
    <w:p w14:paraId="6148C97E" w14:textId="77777777" w:rsidR="00BE09F0" w:rsidRPr="00FD54EA" w:rsidRDefault="00BE09F0">
      <w:pPr>
        <w:rPr>
          <w:color w:val="000000" w:themeColor="text1"/>
        </w:rPr>
      </w:pPr>
    </w:p>
    <w:p w14:paraId="4066E33B" w14:textId="77777777" w:rsidR="00BE09F0" w:rsidRPr="00FD54EA" w:rsidRDefault="00FD54EA">
      <w:pPr>
        <w:pStyle w:val="Heading3"/>
        <w:rPr>
          <w:color w:val="000000" w:themeColor="text1"/>
        </w:rPr>
      </w:pPr>
      <w:bookmarkStart w:id="23" w:name="_s0pabgpjesg1" w:colFirst="0" w:colLast="0"/>
      <w:bookmarkEnd w:id="23"/>
      <w:r w:rsidRPr="00FD54EA">
        <w:rPr>
          <w:color w:val="000000" w:themeColor="text1"/>
        </w:rPr>
        <w:lastRenderedPageBreak/>
        <w:t>S2.2 Intermediate results</w:t>
      </w:r>
    </w:p>
    <w:p w14:paraId="46281CF5" w14:textId="77777777" w:rsidR="00BE09F0" w:rsidRPr="00FD54EA" w:rsidRDefault="00FD54EA" w:rsidP="00581575">
      <w:pPr>
        <w:pStyle w:val="Heading4"/>
      </w:pPr>
      <w:bookmarkStart w:id="24" w:name="_chftsq6apd5a" w:colFirst="0" w:colLast="0"/>
      <w:bookmarkEnd w:id="24"/>
      <w:r w:rsidRPr="00FD54EA">
        <w:t>S2.2.1 Demand</w:t>
      </w:r>
    </w:p>
    <w:p w14:paraId="0BEBCAA2"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732B1E18" wp14:editId="582E86B6">
            <wp:extent cx="5943600" cy="65405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6540500"/>
                    </a:xfrm>
                    <a:prstGeom prst="rect">
                      <a:avLst/>
                    </a:prstGeom>
                    <a:ln/>
                  </pic:spPr>
                </pic:pic>
              </a:graphicData>
            </a:graphic>
          </wp:inline>
        </w:drawing>
      </w:r>
    </w:p>
    <w:p w14:paraId="6FC96458" w14:textId="77777777" w:rsidR="00BE09F0" w:rsidRPr="00FD54EA" w:rsidRDefault="00FD54EA">
      <w:pPr>
        <w:pStyle w:val="Heading5"/>
        <w:rPr>
          <w:color w:val="000000" w:themeColor="text1"/>
        </w:rPr>
      </w:pPr>
      <w:bookmarkStart w:id="25" w:name="_f5bxwa36hz6v" w:colFirst="0" w:colLast="0"/>
      <w:bookmarkEnd w:id="25"/>
      <w:r w:rsidRPr="00FD54EA">
        <w:rPr>
          <w:color w:val="000000" w:themeColor="text1"/>
        </w:rPr>
        <w:lastRenderedPageBreak/>
        <w:t>Supplementary Figure 3: a) Per-capita food demand by product in kcal per capita per day and b) crop-based product demand by utilization category in t DM per capita per year. Grouped bars include, from left to right, the average values for current low-income, middle-income, and high-income world regions (see S1.1.1). Bar width indicates the population size of these groups. Grouped bars are arranged by scenario and year.</w:t>
      </w:r>
    </w:p>
    <w:p w14:paraId="1C1B665A" w14:textId="77777777" w:rsidR="00BE09F0" w:rsidRPr="00FD54EA" w:rsidRDefault="00BE09F0">
      <w:pPr>
        <w:rPr>
          <w:color w:val="000000" w:themeColor="text1"/>
        </w:rPr>
      </w:pPr>
    </w:p>
    <w:p w14:paraId="62325133" w14:textId="77777777" w:rsidR="00BE09F0" w:rsidRPr="00FD54EA" w:rsidRDefault="00FD54EA">
      <w:pPr>
        <w:pStyle w:val="Heading3"/>
        <w:rPr>
          <w:color w:val="000000" w:themeColor="text1"/>
        </w:rPr>
      </w:pPr>
      <w:bookmarkStart w:id="26" w:name="_1h8dtawrllos" w:colFirst="0" w:colLast="0"/>
      <w:bookmarkEnd w:id="26"/>
      <w:r w:rsidRPr="00FD54EA">
        <w:rPr>
          <w:color w:val="000000" w:themeColor="text1"/>
        </w:rPr>
        <w:br w:type="page"/>
      </w:r>
    </w:p>
    <w:p w14:paraId="3F620ECF" w14:textId="77777777" w:rsidR="00BE09F0" w:rsidRPr="00581575" w:rsidRDefault="00FD54EA" w:rsidP="00581575">
      <w:pPr>
        <w:pStyle w:val="Heading4"/>
      </w:pPr>
      <w:bookmarkStart w:id="27" w:name="_rgky42eyasq6" w:colFirst="0" w:colLast="0"/>
      <w:bookmarkEnd w:id="27"/>
      <w:r w:rsidRPr="00581575">
        <w:lastRenderedPageBreak/>
        <w:t>S2.2.2 Diets and Health</w:t>
      </w:r>
    </w:p>
    <w:p w14:paraId="15B665F7" w14:textId="47B7DBFF" w:rsidR="00BE09F0" w:rsidRPr="00FD54EA" w:rsidRDefault="00FD54EA" w:rsidP="00581575">
      <w:pPr>
        <w:rPr>
          <w:color w:val="000000" w:themeColor="text1"/>
        </w:rPr>
      </w:pPr>
      <w:r w:rsidRPr="00FD54EA">
        <w:rPr>
          <w:noProof/>
          <w:color w:val="000000" w:themeColor="text1"/>
        </w:rPr>
        <w:drawing>
          <wp:inline distT="114300" distB="114300" distL="114300" distR="114300" wp14:anchorId="0BF2E809" wp14:editId="00BC54AD">
            <wp:extent cx="5943600" cy="41529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4152900"/>
                    </a:xfrm>
                    <a:prstGeom prst="rect">
                      <a:avLst/>
                    </a:prstGeom>
                    <a:ln/>
                  </pic:spPr>
                </pic:pic>
              </a:graphicData>
            </a:graphic>
          </wp:inline>
        </w:drawing>
      </w:r>
      <w:r w:rsidRPr="00FD54EA">
        <w:rPr>
          <w:color w:val="000000" w:themeColor="text1"/>
        </w:rPr>
        <w:t xml:space="preserve">Supplementary Figure 4: Population in million people by weight class for current low-income regions, middle-income, and high-income regions (see S1.1.1). </w:t>
      </w:r>
      <w:bookmarkStart w:id="28" w:name="_1ncgr43uviyj" w:colFirst="0" w:colLast="0"/>
      <w:bookmarkEnd w:id="28"/>
    </w:p>
    <w:p w14:paraId="11727459" w14:textId="77777777" w:rsidR="00BE09F0" w:rsidRPr="00FD54EA" w:rsidRDefault="00BE09F0">
      <w:pPr>
        <w:rPr>
          <w:color w:val="000000" w:themeColor="text1"/>
        </w:rPr>
      </w:pPr>
    </w:p>
    <w:p w14:paraId="6EE635F9" w14:textId="77777777" w:rsidR="00BE09F0" w:rsidRPr="00FD54EA" w:rsidRDefault="00BE09F0">
      <w:pPr>
        <w:rPr>
          <w:color w:val="000000" w:themeColor="text1"/>
        </w:rPr>
      </w:pPr>
    </w:p>
    <w:p w14:paraId="10B181C7" w14:textId="77777777" w:rsidR="00BE09F0" w:rsidRPr="00FD54EA" w:rsidRDefault="00FD54EA">
      <w:pPr>
        <w:rPr>
          <w:color w:val="000000" w:themeColor="text1"/>
        </w:rPr>
      </w:pPr>
      <w:r w:rsidRPr="00FD54EA">
        <w:rPr>
          <w:noProof/>
          <w:color w:val="000000" w:themeColor="text1"/>
        </w:rPr>
        <w:lastRenderedPageBreak/>
        <w:drawing>
          <wp:inline distT="114300" distB="114300" distL="114300" distR="114300" wp14:anchorId="54091530" wp14:editId="7B7EAFF2">
            <wp:extent cx="5943600" cy="5943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5943600"/>
                    </a:xfrm>
                    <a:prstGeom prst="rect">
                      <a:avLst/>
                    </a:prstGeom>
                    <a:ln/>
                  </pic:spPr>
                </pic:pic>
              </a:graphicData>
            </a:graphic>
          </wp:inline>
        </w:drawing>
      </w:r>
    </w:p>
    <w:p w14:paraId="04CC6D90" w14:textId="77777777" w:rsidR="00BE09F0" w:rsidRPr="00FD54EA" w:rsidRDefault="00FD54EA">
      <w:pPr>
        <w:pStyle w:val="Heading5"/>
        <w:rPr>
          <w:color w:val="000000" w:themeColor="text1"/>
        </w:rPr>
      </w:pPr>
      <w:bookmarkStart w:id="29" w:name="_grqe53pcejjo" w:colFirst="0" w:colLast="0"/>
      <w:bookmarkEnd w:id="29"/>
      <w:r w:rsidRPr="00FD54EA">
        <w:rPr>
          <w:color w:val="000000" w:themeColor="text1"/>
        </w:rPr>
        <w:t xml:space="preserve">Supplementary Figure 5: a) Total years of life lost by scenario over time. b) Years of life lost by year and scenario for current low-income regions, middle-income, and high-income regions (see S1.1.1). </w:t>
      </w:r>
    </w:p>
    <w:p w14:paraId="3193DE9E" w14:textId="77777777" w:rsidR="00BE09F0" w:rsidRPr="00FD54EA" w:rsidRDefault="00BE09F0">
      <w:pPr>
        <w:rPr>
          <w:color w:val="000000" w:themeColor="text1"/>
        </w:rPr>
      </w:pPr>
    </w:p>
    <w:p w14:paraId="10D01ACF" w14:textId="77777777" w:rsidR="00BE09F0" w:rsidRPr="00FD54EA" w:rsidRDefault="00BE09F0">
      <w:pPr>
        <w:rPr>
          <w:color w:val="000000" w:themeColor="text1"/>
        </w:rPr>
      </w:pPr>
    </w:p>
    <w:p w14:paraId="1AA12EA6" w14:textId="77777777" w:rsidR="00BE09F0" w:rsidRPr="00FD54EA" w:rsidRDefault="00BE09F0">
      <w:pPr>
        <w:rPr>
          <w:color w:val="000000" w:themeColor="text1"/>
        </w:rPr>
      </w:pPr>
    </w:p>
    <w:p w14:paraId="348759AB" w14:textId="77777777" w:rsidR="00BE09F0" w:rsidRPr="00FD54EA" w:rsidRDefault="00BE09F0">
      <w:pPr>
        <w:rPr>
          <w:color w:val="000000" w:themeColor="text1"/>
        </w:rPr>
      </w:pPr>
    </w:p>
    <w:p w14:paraId="4787B3E9" w14:textId="77777777" w:rsidR="00BE09F0" w:rsidRPr="00FD54EA" w:rsidRDefault="00BE09F0">
      <w:pPr>
        <w:rPr>
          <w:color w:val="000000" w:themeColor="text1"/>
        </w:rPr>
      </w:pPr>
    </w:p>
    <w:p w14:paraId="3C0DD3BA" w14:textId="77777777" w:rsidR="00BE09F0" w:rsidRPr="00FD54EA" w:rsidRDefault="00BE09F0">
      <w:pPr>
        <w:rPr>
          <w:color w:val="000000" w:themeColor="text1"/>
        </w:rPr>
      </w:pPr>
    </w:p>
    <w:p w14:paraId="397DE6C3" w14:textId="6AE052C8" w:rsidR="00581575" w:rsidRDefault="00FD54EA" w:rsidP="00581575">
      <w:pPr>
        <w:pStyle w:val="Heading4"/>
        <w:rPr>
          <w:color w:val="000000" w:themeColor="text1"/>
        </w:rPr>
      </w:pPr>
      <w:bookmarkStart w:id="30" w:name="_lnzcqwq7lllq" w:colFirst="0" w:colLast="0"/>
      <w:bookmarkEnd w:id="30"/>
      <w:r w:rsidRPr="00FD54EA">
        <w:rPr>
          <w:color w:val="000000" w:themeColor="text1"/>
        </w:rPr>
        <w:lastRenderedPageBreak/>
        <w:t>S2.2.3 L</w:t>
      </w:r>
      <w:bookmarkStart w:id="31" w:name="_hajzg5kpb6a4" w:colFirst="0" w:colLast="0"/>
      <w:bookmarkEnd w:id="31"/>
      <w:r w:rsidR="009A3A9A">
        <w:rPr>
          <w:color w:val="000000" w:themeColor="text1"/>
        </w:rPr>
        <w:t>and-use change</w:t>
      </w:r>
    </w:p>
    <w:p w14:paraId="69E837B0" w14:textId="77777777" w:rsidR="00581575" w:rsidRDefault="00581575" w:rsidP="00581575"/>
    <w:p w14:paraId="4BA95D35" w14:textId="2E0AA853" w:rsidR="00BE09F0" w:rsidRPr="00FD54EA" w:rsidRDefault="00FD54EA" w:rsidP="00581575">
      <w:r w:rsidRPr="00FD54EA">
        <w:rPr>
          <w:noProof/>
        </w:rPr>
        <w:drawing>
          <wp:inline distT="114300" distB="114300" distL="114300" distR="114300" wp14:anchorId="4630D698" wp14:editId="5AA54C79">
            <wp:extent cx="5943600" cy="4622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4622800"/>
                    </a:xfrm>
                    <a:prstGeom prst="rect">
                      <a:avLst/>
                    </a:prstGeom>
                    <a:ln/>
                  </pic:spPr>
                </pic:pic>
              </a:graphicData>
            </a:graphic>
          </wp:inline>
        </w:drawing>
      </w:r>
    </w:p>
    <w:p w14:paraId="3B698B67" w14:textId="6290F2C5" w:rsidR="00BE09F0" w:rsidRPr="00FD54EA" w:rsidRDefault="00FD54EA">
      <w:pPr>
        <w:pStyle w:val="Heading5"/>
        <w:rPr>
          <w:color w:val="000000" w:themeColor="text1"/>
        </w:rPr>
      </w:pPr>
      <w:bookmarkStart w:id="32" w:name="_o9q7qd45toj1" w:colFirst="0" w:colLast="0"/>
      <w:bookmarkEnd w:id="32"/>
      <w:r w:rsidRPr="00FD54EA">
        <w:rPr>
          <w:color w:val="000000" w:themeColor="text1"/>
        </w:rPr>
        <w:t>Supplementary Figure 6: Land use change from 2020 to 2050 in million hectares divided into different land types and scenarios, divided by current low</w:t>
      </w:r>
      <w:proofErr w:type="gramStart"/>
      <w:r w:rsidRPr="00FD54EA">
        <w:rPr>
          <w:color w:val="000000" w:themeColor="text1"/>
        </w:rPr>
        <w:t>- ,</w:t>
      </w:r>
      <w:proofErr w:type="gramEnd"/>
      <w:r w:rsidRPr="00FD54EA">
        <w:rPr>
          <w:color w:val="000000" w:themeColor="text1"/>
        </w:rPr>
        <w:t xml:space="preserve"> middle and high-income regions (see S1.1.1).</w:t>
      </w:r>
      <w:r w:rsidRPr="00FD54EA">
        <w:rPr>
          <w:color w:val="000000" w:themeColor="text1"/>
        </w:rPr>
        <w:br w:type="page"/>
      </w:r>
    </w:p>
    <w:p w14:paraId="5B15BD64" w14:textId="77777777" w:rsidR="00BE09F0" w:rsidRPr="00581575" w:rsidRDefault="00FD54EA" w:rsidP="00581575">
      <w:pPr>
        <w:pStyle w:val="Heading4"/>
      </w:pPr>
      <w:bookmarkStart w:id="33" w:name="_k33t43fwq3hi" w:colFirst="0" w:colLast="0"/>
      <w:bookmarkEnd w:id="33"/>
      <w:r w:rsidRPr="00581575">
        <w:lastRenderedPageBreak/>
        <w:t xml:space="preserve">S2.2.4 </w:t>
      </w:r>
      <w:proofErr w:type="spellStart"/>
      <w:r w:rsidRPr="00581575">
        <w:t>Croparea</w:t>
      </w:r>
      <w:proofErr w:type="spellEnd"/>
    </w:p>
    <w:tbl>
      <w:tblPr>
        <w:tblStyle w:val="a2"/>
        <w:tblW w:w="9360" w:type="dxa"/>
        <w:tblLayout w:type="fixed"/>
        <w:tblLook w:val="0600" w:firstRow="0" w:lastRow="0" w:firstColumn="0" w:lastColumn="0" w:noHBand="1" w:noVBand="1"/>
      </w:tblPr>
      <w:tblGrid>
        <w:gridCol w:w="270"/>
        <w:gridCol w:w="9090"/>
      </w:tblGrid>
      <w:tr w:rsidR="00FD54EA" w:rsidRPr="00FD54EA" w14:paraId="6A3A477C" w14:textId="77777777">
        <w:tc>
          <w:tcPr>
            <w:tcW w:w="270" w:type="dxa"/>
            <w:shd w:val="clear" w:color="auto" w:fill="auto"/>
            <w:tcMar>
              <w:top w:w="100" w:type="dxa"/>
              <w:left w:w="100" w:type="dxa"/>
              <w:bottom w:w="100" w:type="dxa"/>
              <w:right w:w="100" w:type="dxa"/>
            </w:tcMar>
          </w:tcPr>
          <w:p w14:paraId="6C0F9066" w14:textId="77777777" w:rsidR="00BE09F0" w:rsidRPr="00FD54EA" w:rsidRDefault="00FD54EA">
            <w:pPr>
              <w:widowControl w:val="0"/>
              <w:pBdr>
                <w:top w:val="nil"/>
                <w:left w:val="nil"/>
                <w:bottom w:val="nil"/>
                <w:right w:val="nil"/>
                <w:between w:val="nil"/>
              </w:pBdr>
              <w:spacing w:line="240" w:lineRule="auto"/>
              <w:rPr>
                <w:color w:val="000000" w:themeColor="text1"/>
              </w:rPr>
            </w:pPr>
            <w:r w:rsidRPr="00FD54EA">
              <w:rPr>
                <w:color w:val="000000" w:themeColor="text1"/>
              </w:rPr>
              <w:t>a</w:t>
            </w:r>
          </w:p>
        </w:tc>
        <w:tc>
          <w:tcPr>
            <w:tcW w:w="9090" w:type="dxa"/>
            <w:shd w:val="clear" w:color="auto" w:fill="auto"/>
            <w:tcMar>
              <w:top w:w="100" w:type="dxa"/>
              <w:left w:w="100" w:type="dxa"/>
              <w:bottom w:w="100" w:type="dxa"/>
              <w:right w:w="100" w:type="dxa"/>
            </w:tcMar>
          </w:tcPr>
          <w:p w14:paraId="2C23888D"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1273B432" wp14:editId="7BD4ADC3">
                  <wp:extent cx="5638800" cy="1879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38800" cy="1879600"/>
                          </a:xfrm>
                          <a:prstGeom prst="rect">
                            <a:avLst/>
                          </a:prstGeom>
                          <a:ln/>
                        </pic:spPr>
                      </pic:pic>
                    </a:graphicData>
                  </a:graphic>
                </wp:inline>
              </w:drawing>
            </w:r>
          </w:p>
        </w:tc>
      </w:tr>
      <w:tr w:rsidR="00FD54EA" w:rsidRPr="00FD54EA" w14:paraId="2F32604C" w14:textId="77777777">
        <w:tc>
          <w:tcPr>
            <w:tcW w:w="270" w:type="dxa"/>
            <w:shd w:val="clear" w:color="auto" w:fill="auto"/>
            <w:tcMar>
              <w:top w:w="100" w:type="dxa"/>
              <w:left w:w="100" w:type="dxa"/>
              <w:bottom w:w="100" w:type="dxa"/>
              <w:right w:w="100" w:type="dxa"/>
            </w:tcMar>
          </w:tcPr>
          <w:p w14:paraId="58D55E13" w14:textId="77777777" w:rsidR="00BE09F0" w:rsidRPr="00FD54EA" w:rsidRDefault="00FD54EA">
            <w:pPr>
              <w:widowControl w:val="0"/>
              <w:pBdr>
                <w:top w:val="nil"/>
                <w:left w:val="nil"/>
                <w:bottom w:val="nil"/>
                <w:right w:val="nil"/>
                <w:between w:val="nil"/>
              </w:pBdr>
              <w:spacing w:line="240" w:lineRule="auto"/>
              <w:rPr>
                <w:color w:val="000000" w:themeColor="text1"/>
              </w:rPr>
            </w:pPr>
            <w:r w:rsidRPr="00FD54EA">
              <w:rPr>
                <w:color w:val="000000" w:themeColor="text1"/>
              </w:rPr>
              <w:t>b</w:t>
            </w:r>
          </w:p>
        </w:tc>
        <w:tc>
          <w:tcPr>
            <w:tcW w:w="9090" w:type="dxa"/>
            <w:shd w:val="clear" w:color="auto" w:fill="auto"/>
            <w:tcMar>
              <w:top w:w="100" w:type="dxa"/>
              <w:left w:w="100" w:type="dxa"/>
              <w:bottom w:w="100" w:type="dxa"/>
              <w:right w:w="100" w:type="dxa"/>
            </w:tcMar>
          </w:tcPr>
          <w:p w14:paraId="0C86ECAD"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291B1C9C" wp14:editId="10254F70">
                  <wp:extent cx="5638800" cy="18796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38800" cy="1879600"/>
                          </a:xfrm>
                          <a:prstGeom prst="rect">
                            <a:avLst/>
                          </a:prstGeom>
                          <a:ln/>
                        </pic:spPr>
                      </pic:pic>
                    </a:graphicData>
                  </a:graphic>
                </wp:inline>
              </w:drawing>
            </w:r>
          </w:p>
        </w:tc>
      </w:tr>
      <w:tr w:rsidR="00FD54EA" w:rsidRPr="00FD54EA" w14:paraId="46C3AA04" w14:textId="77777777">
        <w:tc>
          <w:tcPr>
            <w:tcW w:w="270" w:type="dxa"/>
            <w:shd w:val="clear" w:color="auto" w:fill="auto"/>
            <w:tcMar>
              <w:top w:w="100" w:type="dxa"/>
              <w:left w:w="100" w:type="dxa"/>
              <w:bottom w:w="100" w:type="dxa"/>
              <w:right w:w="100" w:type="dxa"/>
            </w:tcMar>
          </w:tcPr>
          <w:p w14:paraId="3AA506F8" w14:textId="77777777" w:rsidR="00BE09F0" w:rsidRPr="00FD54EA" w:rsidRDefault="00FD54EA">
            <w:pPr>
              <w:widowControl w:val="0"/>
              <w:pBdr>
                <w:top w:val="nil"/>
                <w:left w:val="nil"/>
                <w:bottom w:val="nil"/>
                <w:right w:val="nil"/>
                <w:between w:val="nil"/>
              </w:pBdr>
              <w:spacing w:line="240" w:lineRule="auto"/>
              <w:rPr>
                <w:color w:val="000000" w:themeColor="text1"/>
              </w:rPr>
            </w:pPr>
            <w:r w:rsidRPr="00FD54EA">
              <w:rPr>
                <w:color w:val="000000" w:themeColor="text1"/>
              </w:rPr>
              <w:t>c</w:t>
            </w:r>
          </w:p>
        </w:tc>
        <w:tc>
          <w:tcPr>
            <w:tcW w:w="9090" w:type="dxa"/>
            <w:shd w:val="clear" w:color="auto" w:fill="auto"/>
            <w:tcMar>
              <w:top w:w="100" w:type="dxa"/>
              <w:left w:w="100" w:type="dxa"/>
              <w:bottom w:w="100" w:type="dxa"/>
              <w:right w:w="100" w:type="dxa"/>
            </w:tcMar>
          </w:tcPr>
          <w:p w14:paraId="68093D3F"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02652919" wp14:editId="7DE65A67">
                  <wp:extent cx="5638800" cy="18796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638800" cy="1879600"/>
                          </a:xfrm>
                          <a:prstGeom prst="rect">
                            <a:avLst/>
                          </a:prstGeom>
                          <a:ln/>
                        </pic:spPr>
                      </pic:pic>
                    </a:graphicData>
                  </a:graphic>
                </wp:inline>
              </w:drawing>
            </w:r>
          </w:p>
          <w:p w14:paraId="457F7BF8" w14:textId="77777777" w:rsidR="00BE09F0" w:rsidRPr="00FD54EA" w:rsidRDefault="00BE09F0">
            <w:pPr>
              <w:rPr>
                <w:color w:val="000000" w:themeColor="text1"/>
              </w:rPr>
            </w:pPr>
          </w:p>
        </w:tc>
      </w:tr>
    </w:tbl>
    <w:p w14:paraId="5B5E3BE2" w14:textId="77777777" w:rsidR="00BE09F0" w:rsidRPr="00FD54EA" w:rsidRDefault="00FD54EA">
      <w:pPr>
        <w:pStyle w:val="Heading5"/>
        <w:rPr>
          <w:color w:val="000000" w:themeColor="text1"/>
        </w:rPr>
      </w:pPr>
      <w:bookmarkStart w:id="34" w:name="_wljeudwtzvxb" w:colFirst="0" w:colLast="0"/>
      <w:bookmarkEnd w:id="34"/>
      <w:r w:rsidRPr="00FD54EA">
        <w:rPr>
          <w:color w:val="000000" w:themeColor="text1"/>
        </w:rPr>
        <w:t xml:space="preserve">Supplementary Figure 7: </w:t>
      </w:r>
      <w:proofErr w:type="spellStart"/>
      <w:r w:rsidRPr="00FD54EA">
        <w:rPr>
          <w:color w:val="000000" w:themeColor="text1"/>
        </w:rPr>
        <w:t>Croparea</w:t>
      </w:r>
      <w:proofErr w:type="spellEnd"/>
      <w:r w:rsidRPr="00FD54EA">
        <w:rPr>
          <w:color w:val="000000" w:themeColor="text1"/>
        </w:rPr>
        <w:t xml:space="preserve"> composition for (a) the scenario BASE</w:t>
      </w:r>
      <w:r w:rsidRPr="00FD54EA">
        <w:rPr>
          <w:color w:val="000000" w:themeColor="text1"/>
          <w:vertAlign w:val="subscript"/>
        </w:rPr>
        <w:t>SSP2</w:t>
      </w:r>
      <w:r w:rsidRPr="00FD54EA">
        <w:rPr>
          <w:color w:val="000000" w:themeColor="text1"/>
        </w:rPr>
        <w:t xml:space="preserve"> in the year 2020, (b) in the year 2050, and (c) for the scenario FST</w:t>
      </w:r>
      <w:r w:rsidRPr="00FD54EA">
        <w:rPr>
          <w:color w:val="000000" w:themeColor="text1"/>
          <w:vertAlign w:val="subscript"/>
        </w:rPr>
        <w:t>SDP</w:t>
      </w:r>
      <w:r w:rsidRPr="00FD54EA">
        <w:rPr>
          <w:color w:val="000000" w:themeColor="text1"/>
        </w:rPr>
        <w:t xml:space="preserve"> in the year 2050. Y-axis shows the shares of major crop groups within the crop area of a cluster cell, and x-Axis shows the size of a cluster cell within major world regions (see section S1.1.1). Plantations include grassy and woody cellulosic bioenergy plants, </w:t>
      </w:r>
      <w:proofErr w:type="spellStart"/>
      <w:r w:rsidRPr="00FD54EA">
        <w:rPr>
          <w:color w:val="000000" w:themeColor="text1"/>
        </w:rPr>
        <w:t>oilpalms</w:t>
      </w:r>
      <w:proofErr w:type="spellEnd"/>
      <w:r w:rsidRPr="00FD54EA">
        <w:rPr>
          <w:color w:val="000000" w:themeColor="text1"/>
        </w:rPr>
        <w:t xml:space="preserve"> and sugar cane. Other crops include for example roots and forage crops.</w:t>
      </w:r>
      <w:r w:rsidRPr="00FD54EA">
        <w:rPr>
          <w:color w:val="000000" w:themeColor="text1"/>
        </w:rPr>
        <w:br w:type="page"/>
      </w:r>
    </w:p>
    <w:p w14:paraId="492C4489" w14:textId="77777777" w:rsidR="00BE09F0" w:rsidRPr="00FD54EA" w:rsidRDefault="00FD54EA">
      <w:pPr>
        <w:rPr>
          <w:color w:val="000000" w:themeColor="text1"/>
        </w:rPr>
      </w:pPr>
      <w:r w:rsidRPr="00FD54EA">
        <w:rPr>
          <w:noProof/>
          <w:color w:val="000000" w:themeColor="text1"/>
        </w:rPr>
        <w:lastRenderedPageBreak/>
        <w:drawing>
          <wp:inline distT="114300" distB="114300" distL="114300" distR="114300" wp14:anchorId="092715B6" wp14:editId="3B78AE13">
            <wp:extent cx="5943600" cy="445770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943600" cy="4457700"/>
                    </a:xfrm>
                    <a:prstGeom prst="rect">
                      <a:avLst/>
                    </a:prstGeom>
                    <a:ln/>
                  </pic:spPr>
                </pic:pic>
              </a:graphicData>
            </a:graphic>
          </wp:inline>
        </w:drawing>
      </w:r>
    </w:p>
    <w:p w14:paraId="4BB36FE8" w14:textId="77777777" w:rsidR="00BE09F0" w:rsidRPr="00FD54EA" w:rsidRDefault="00FD54EA">
      <w:pPr>
        <w:pStyle w:val="Heading5"/>
        <w:rPr>
          <w:color w:val="000000" w:themeColor="text1"/>
        </w:rPr>
      </w:pPr>
      <w:bookmarkStart w:id="35" w:name="_hwmyzodduoan" w:colFirst="0" w:colLast="0"/>
      <w:bookmarkStart w:id="36" w:name="_oixihouxg7fu" w:colFirst="0" w:colLast="0"/>
      <w:bookmarkEnd w:id="35"/>
      <w:bookmarkEnd w:id="36"/>
      <w:r w:rsidRPr="00FD54EA">
        <w:rPr>
          <w:color w:val="000000" w:themeColor="text1"/>
        </w:rPr>
        <w:t xml:space="preserve">Supplementary Figure 8: </w:t>
      </w:r>
      <w:proofErr w:type="spellStart"/>
      <w:r w:rsidRPr="00FD54EA">
        <w:rPr>
          <w:color w:val="000000" w:themeColor="text1"/>
        </w:rPr>
        <w:t>Croparea</w:t>
      </w:r>
      <w:proofErr w:type="spellEnd"/>
      <w:r w:rsidRPr="00FD54EA">
        <w:rPr>
          <w:color w:val="000000" w:themeColor="text1"/>
        </w:rPr>
        <w:t xml:space="preserve"> change for major crop groups.</w:t>
      </w:r>
    </w:p>
    <w:p w14:paraId="3DD90666" w14:textId="77777777" w:rsidR="00BE09F0" w:rsidRPr="00FD54EA" w:rsidRDefault="00BE09F0">
      <w:pPr>
        <w:rPr>
          <w:color w:val="000000" w:themeColor="text1"/>
        </w:rPr>
      </w:pPr>
    </w:p>
    <w:p w14:paraId="49D75F34" w14:textId="77777777" w:rsidR="00BE09F0" w:rsidRPr="00FD54EA" w:rsidRDefault="00BE09F0">
      <w:pPr>
        <w:rPr>
          <w:color w:val="000000" w:themeColor="text1"/>
        </w:rPr>
      </w:pPr>
    </w:p>
    <w:p w14:paraId="666C3A29" w14:textId="77777777" w:rsidR="00BE09F0" w:rsidRPr="00FD54EA" w:rsidRDefault="00BE09F0">
      <w:pPr>
        <w:rPr>
          <w:color w:val="000000" w:themeColor="text1"/>
        </w:rPr>
      </w:pPr>
    </w:p>
    <w:p w14:paraId="610022CA" w14:textId="77777777" w:rsidR="00BE09F0" w:rsidRPr="00FD54EA" w:rsidRDefault="00FD54EA">
      <w:pPr>
        <w:pStyle w:val="Heading4"/>
        <w:rPr>
          <w:color w:val="000000" w:themeColor="text1"/>
        </w:rPr>
      </w:pPr>
      <w:bookmarkStart w:id="37" w:name="_fong0ubul5jg" w:colFirst="0" w:colLast="0"/>
      <w:bookmarkEnd w:id="37"/>
      <w:r w:rsidRPr="00FD54EA">
        <w:rPr>
          <w:color w:val="000000" w:themeColor="text1"/>
        </w:rPr>
        <w:lastRenderedPageBreak/>
        <w:t>S2.2.5 Nitrogen</w:t>
      </w:r>
    </w:p>
    <w:p w14:paraId="5D438ECD"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1FBAE945" wp14:editId="6093B1CA">
            <wp:extent cx="5544414" cy="6930518"/>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544414" cy="6930518"/>
                    </a:xfrm>
                    <a:prstGeom prst="rect">
                      <a:avLst/>
                    </a:prstGeom>
                    <a:ln/>
                  </pic:spPr>
                </pic:pic>
              </a:graphicData>
            </a:graphic>
          </wp:inline>
        </w:drawing>
      </w:r>
    </w:p>
    <w:p w14:paraId="03CA2C23" w14:textId="77777777" w:rsidR="00BE09F0" w:rsidRPr="00FD54EA" w:rsidRDefault="00FD54EA">
      <w:pPr>
        <w:pStyle w:val="Heading5"/>
        <w:rPr>
          <w:color w:val="000000" w:themeColor="text1"/>
        </w:rPr>
      </w:pPr>
      <w:bookmarkStart w:id="38" w:name="_7hymot2lkjse" w:colFirst="0" w:colLast="0"/>
      <w:bookmarkEnd w:id="38"/>
      <w:r w:rsidRPr="00FD54EA">
        <w:rPr>
          <w:color w:val="000000" w:themeColor="text1"/>
        </w:rPr>
        <w:t>Supplementary Figure 9: Nitrogen surpluses in million tons of reactive nitrogen (Nr) per year by source for various scenarios. (a) Global over time; (b) For current low-, middle- and high-income regions (see S1.1.1) in the year 2050.</w:t>
      </w:r>
    </w:p>
    <w:p w14:paraId="7E0BF023" w14:textId="77777777" w:rsidR="00BE09F0" w:rsidRPr="00FD54EA" w:rsidRDefault="00BE09F0">
      <w:pPr>
        <w:rPr>
          <w:color w:val="000000" w:themeColor="text1"/>
        </w:rPr>
      </w:pPr>
    </w:p>
    <w:p w14:paraId="2B085C1D" w14:textId="77777777" w:rsidR="00BE09F0" w:rsidRPr="00FD54EA" w:rsidRDefault="00BE09F0">
      <w:pPr>
        <w:rPr>
          <w:color w:val="000000" w:themeColor="text1"/>
        </w:rPr>
      </w:pPr>
    </w:p>
    <w:p w14:paraId="7AC27F80" w14:textId="77777777" w:rsidR="00BE09F0" w:rsidRPr="00FD54EA" w:rsidRDefault="00FD54EA">
      <w:pPr>
        <w:pStyle w:val="Heading4"/>
        <w:rPr>
          <w:color w:val="000000" w:themeColor="text1"/>
        </w:rPr>
      </w:pPr>
      <w:bookmarkStart w:id="39" w:name="_620bxmoe8jus" w:colFirst="0" w:colLast="0"/>
      <w:bookmarkEnd w:id="39"/>
      <w:r w:rsidRPr="00FD54EA">
        <w:rPr>
          <w:color w:val="000000" w:themeColor="text1"/>
        </w:rPr>
        <w:t>S2.2.6 Water</w:t>
      </w:r>
    </w:p>
    <w:p w14:paraId="12A24FD5"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1D18754A" wp14:editId="4E5868BB">
            <wp:extent cx="5943600" cy="66040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943600" cy="6604000"/>
                    </a:xfrm>
                    <a:prstGeom prst="rect">
                      <a:avLst/>
                    </a:prstGeom>
                    <a:ln/>
                  </pic:spPr>
                </pic:pic>
              </a:graphicData>
            </a:graphic>
          </wp:inline>
        </w:drawing>
      </w:r>
    </w:p>
    <w:p w14:paraId="77DD5B71" w14:textId="77777777" w:rsidR="00BE09F0" w:rsidRPr="00FD54EA" w:rsidRDefault="00FD54EA">
      <w:pPr>
        <w:pStyle w:val="Heading5"/>
        <w:rPr>
          <w:color w:val="000000" w:themeColor="text1"/>
        </w:rPr>
      </w:pPr>
      <w:bookmarkStart w:id="40" w:name="_jc4apv8eb9si" w:colFirst="0" w:colLast="0"/>
      <w:bookmarkEnd w:id="40"/>
      <w:r w:rsidRPr="00FD54EA">
        <w:rPr>
          <w:color w:val="000000" w:themeColor="text1"/>
        </w:rPr>
        <w:t>Supplementary Figure 10: Agricultural water withdrawals in km³ per year for various scenarios over time (a) and in 2020 and 2050 for current low-income, middle-income, and high-income regions (see S1.1.1).</w:t>
      </w:r>
    </w:p>
    <w:p w14:paraId="0209FFAE" w14:textId="77777777" w:rsidR="00BE09F0" w:rsidRPr="00FD54EA" w:rsidRDefault="00BE09F0">
      <w:pPr>
        <w:rPr>
          <w:color w:val="000000" w:themeColor="text1"/>
        </w:rPr>
      </w:pPr>
    </w:p>
    <w:p w14:paraId="54A272FA" w14:textId="77777777" w:rsidR="00BE09F0" w:rsidRPr="00FD54EA" w:rsidRDefault="00BE09F0">
      <w:pPr>
        <w:rPr>
          <w:color w:val="000000" w:themeColor="text1"/>
        </w:rPr>
      </w:pPr>
    </w:p>
    <w:p w14:paraId="7721C692" w14:textId="77777777" w:rsidR="00BE09F0" w:rsidRPr="00FD54EA" w:rsidRDefault="00FD54EA">
      <w:pPr>
        <w:pStyle w:val="Heading4"/>
        <w:rPr>
          <w:color w:val="000000" w:themeColor="text1"/>
        </w:rPr>
      </w:pPr>
      <w:bookmarkStart w:id="41" w:name="_t500berq75pd" w:colFirst="0" w:colLast="0"/>
      <w:bookmarkEnd w:id="41"/>
      <w:r w:rsidRPr="00FD54EA">
        <w:rPr>
          <w:color w:val="000000" w:themeColor="text1"/>
        </w:rPr>
        <w:t>S2.2.7 Climate Change</w:t>
      </w:r>
    </w:p>
    <w:p w14:paraId="65CBD981"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30B6A766" wp14:editId="6A40C93F">
            <wp:extent cx="5943600" cy="22860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943600" cy="2286000"/>
                    </a:xfrm>
                    <a:prstGeom prst="rect">
                      <a:avLst/>
                    </a:prstGeom>
                    <a:ln/>
                  </pic:spPr>
                </pic:pic>
              </a:graphicData>
            </a:graphic>
          </wp:inline>
        </w:drawing>
      </w:r>
    </w:p>
    <w:p w14:paraId="13CBB594" w14:textId="5AD8D01E" w:rsidR="00BE09F0" w:rsidRPr="00FD54EA" w:rsidRDefault="00FD54EA" w:rsidP="00581575">
      <w:pPr>
        <w:pStyle w:val="Heading5"/>
        <w:rPr>
          <w:color w:val="000000" w:themeColor="text1"/>
        </w:rPr>
      </w:pPr>
      <w:bookmarkStart w:id="42" w:name="_qvknlguvufsi" w:colFirst="0" w:colLast="0"/>
      <w:bookmarkEnd w:id="42"/>
      <w:r w:rsidRPr="00FD54EA">
        <w:rPr>
          <w:color w:val="000000" w:themeColor="text1"/>
        </w:rPr>
        <w:t>Supplementary Figure 11: Global Surface Temperature warming relative to reference period (1850-1900). Boxplots are estimates by the MRI-ESM2 climate model for the Representative Concentration Pathways (RCPs). Some scenarios have only a single climate model run, others have an ensemble based on multiple random seeds for the model. Colored lines are estimates by the MAGICC climate emulator for the greenhouse gas emission trajectories of the scenarios simulated for this analysis. In the legend, our scenarios are mapped to the respective RCP with the lowest sum of temperature divergences in 2050 and 2100.</w:t>
      </w:r>
      <w:r w:rsidRPr="00FD54EA">
        <w:rPr>
          <w:color w:val="000000" w:themeColor="text1"/>
        </w:rPr>
        <w:br w:type="page"/>
      </w:r>
      <w:bookmarkStart w:id="43" w:name="_rynlneyu5w72" w:colFirst="0" w:colLast="0"/>
      <w:bookmarkEnd w:id="43"/>
    </w:p>
    <w:p w14:paraId="1EEDB3DF" w14:textId="71B442C2" w:rsidR="00BE09F0" w:rsidRPr="00FD54EA" w:rsidRDefault="00FD54EA" w:rsidP="00581575">
      <w:pPr>
        <w:rPr>
          <w:color w:val="000000" w:themeColor="text1"/>
        </w:rPr>
      </w:pPr>
      <w:r w:rsidRPr="00FD54EA">
        <w:rPr>
          <w:noProof/>
          <w:color w:val="000000" w:themeColor="text1"/>
        </w:rPr>
        <w:lastRenderedPageBreak/>
        <w:drawing>
          <wp:inline distT="114300" distB="114300" distL="114300" distR="114300" wp14:anchorId="527563E1" wp14:editId="7C85A173">
            <wp:extent cx="5943600" cy="79248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943600" cy="7924800"/>
                    </a:xfrm>
                    <a:prstGeom prst="rect">
                      <a:avLst/>
                    </a:prstGeom>
                    <a:ln/>
                  </pic:spPr>
                </pic:pic>
              </a:graphicData>
            </a:graphic>
          </wp:inline>
        </w:drawing>
      </w:r>
      <w:bookmarkStart w:id="44" w:name="_dhqabowkmseq" w:colFirst="0" w:colLast="0"/>
      <w:bookmarkEnd w:id="44"/>
      <w:r w:rsidRPr="00FD54EA">
        <w:rPr>
          <w:color w:val="000000" w:themeColor="text1"/>
        </w:rPr>
        <w:t>Supplementary Figure 12: Greenhouse gas emissions of N</w:t>
      </w:r>
      <w:r w:rsidRPr="00FD54EA">
        <w:rPr>
          <w:color w:val="000000" w:themeColor="text1"/>
          <w:vertAlign w:val="subscript"/>
        </w:rPr>
        <w:t>2</w:t>
      </w:r>
      <w:r w:rsidRPr="00FD54EA">
        <w:rPr>
          <w:color w:val="000000" w:themeColor="text1"/>
        </w:rPr>
        <w:t>O, CH</w:t>
      </w:r>
      <w:r w:rsidRPr="00FD54EA">
        <w:rPr>
          <w:color w:val="000000" w:themeColor="text1"/>
          <w:vertAlign w:val="subscript"/>
        </w:rPr>
        <w:t>4</w:t>
      </w:r>
      <w:r w:rsidRPr="00FD54EA">
        <w:rPr>
          <w:color w:val="000000" w:themeColor="text1"/>
        </w:rPr>
        <w:t xml:space="preserve"> and CO</w:t>
      </w:r>
      <w:r w:rsidRPr="00FD54EA">
        <w:rPr>
          <w:color w:val="000000" w:themeColor="text1"/>
          <w:vertAlign w:val="subscript"/>
        </w:rPr>
        <w:t>2</w:t>
      </w:r>
      <w:r w:rsidRPr="00FD54EA">
        <w:rPr>
          <w:color w:val="000000" w:themeColor="text1"/>
        </w:rPr>
        <w:t xml:space="preserve"> in CO</w:t>
      </w:r>
      <w:r w:rsidRPr="00FD54EA">
        <w:rPr>
          <w:color w:val="000000" w:themeColor="text1"/>
          <w:vertAlign w:val="subscript"/>
        </w:rPr>
        <w:t>2</w:t>
      </w:r>
      <w:r w:rsidRPr="00FD54EA">
        <w:rPr>
          <w:color w:val="000000" w:themeColor="text1"/>
        </w:rPr>
        <w:t xml:space="preserve">-equivalents </w:t>
      </w:r>
      <w:r w:rsidRPr="00FD54EA">
        <w:rPr>
          <w:color w:val="000000" w:themeColor="text1"/>
        </w:rPr>
        <w:lastRenderedPageBreak/>
        <w:t xml:space="preserve">over time (a) and cumulated for the period 2020-2050 for current low-, middle-and high-income world regions (see S1.1.1) (b). Dots indicate net value. </w:t>
      </w:r>
      <w:r w:rsidRPr="00FD54EA">
        <w:rPr>
          <w:color w:val="000000" w:themeColor="text1"/>
        </w:rPr>
        <w:br w:type="page"/>
      </w:r>
    </w:p>
    <w:p w14:paraId="266D7A76" w14:textId="13605547" w:rsidR="00BE09F0" w:rsidRPr="00FD54EA" w:rsidRDefault="00FD54EA">
      <w:pPr>
        <w:pStyle w:val="Heading5"/>
        <w:rPr>
          <w:color w:val="000000" w:themeColor="text1"/>
        </w:rPr>
      </w:pPr>
      <w:bookmarkStart w:id="45" w:name="_r8eruq89f19z" w:colFirst="0" w:colLast="0"/>
      <w:bookmarkEnd w:id="45"/>
      <w:r w:rsidRPr="00FD54EA">
        <w:rPr>
          <w:noProof/>
          <w:color w:val="000000" w:themeColor="text1"/>
        </w:rPr>
        <w:lastRenderedPageBreak/>
        <w:drawing>
          <wp:inline distT="114300" distB="114300" distL="114300" distR="114300" wp14:anchorId="2D8FBC81" wp14:editId="7E3F60EC">
            <wp:extent cx="5943600" cy="3352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943600" cy="3352800"/>
                    </a:xfrm>
                    <a:prstGeom prst="rect">
                      <a:avLst/>
                    </a:prstGeom>
                    <a:ln/>
                  </pic:spPr>
                </pic:pic>
              </a:graphicData>
            </a:graphic>
          </wp:inline>
        </w:drawing>
      </w:r>
      <w:bookmarkStart w:id="46" w:name="_jk7dowrvausa" w:colFirst="0" w:colLast="0"/>
      <w:bookmarkEnd w:id="46"/>
      <w:r w:rsidRPr="00FD54EA">
        <w:rPr>
          <w:color w:val="000000" w:themeColor="text1"/>
        </w:rPr>
        <w:t>Supplementary Figure 13: Global warming relative to 1850-1900 from MAGICC7.5.3 for key scenarios until 2100 (left panel); peak temperature during this period (middle panel); mean temperature in the later fifth of the 21st century (right panel). Lines represent median value across 600 runs of the MAGICC reduced-complexity climate model. Ribbons represent 5th-95th percentiles.</w:t>
      </w:r>
      <w:r w:rsidRPr="00FD54EA">
        <w:rPr>
          <w:color w:val="000000" w:themeColor="text1"/>
        </w:rPr>
        <w:br w:type="page"/>
      </w:r>
    </w:p>
    <w:p w14:paraId="025964B9" w14:textId="77777777" w:rsidR="00BE09F0" w:rsidRPr="00FD54EA" w:rsidRDefault="00FD54EA">
      <w:pPr>
        <w:pStyle w:val="Heading4"/>
        <w:rPr>
          <w:color w:val="000000" w:themeColor="text1"/>
        </w:rPr>
      </w:pPr>
      <w:bookmarkStart w:id="47" w:name="_h8g2gtcc1ngs" w:colFirst="0" w:colLast="0"/>
      <w:bookmarkStart w:id="48" w:name="_dmiqsa8ymcm5" w:colFirst="0" w:colLast="0"/>
      <w:bookmarkEnd w:id="47"/>
      <w:bookmarkEnd w:id="48"/>
      <w:r w:rsidRPr="00FD54EA">
        <w:rPr>
          <w:color w:val="000000" w:themeColor="text1"/>
        </w:rPr>
        <w:lastRenderedPageBreak/>
        <w:t>S2.2.8 Poverty</w:t>
      </w:r>
    </w:p>
    <w:p w14:paraId="6C3DC71C" w14:textId="66CE4CAC" w:rsidR="00BE09F0" w:rsidRPr="00FD54EA" w:rsidRDefault="00FD54EA" w:rsidP="00581575">
      <w:pPr>
        <w:pStyle w:val="Heading5"/>
      </w:pPr>
      <w:bookmarkStart w:id="49" w:name="_d28wra8zut8c" w:colFirst="0" w:colLast="0"/>
      <w:bookmarkEnd w:id="49"/>
      <w:r w:rsidRPr="00FD54EA">
        <w:rPr>
          <w:noProof/>
        </w:rPr>
        <w:drawing>
          <wp:inline distT="114300" distB="114300" distL="114300" distR="114300" wp14:anchorId="6076498D" wp14:editId="34F07DF7">
            <wp:extent cx="5943600" cy="66040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943600" cy="6604000"/>
                    </a:xfrm>
                    <a:prstGeom prst="rect">
                      <a:avLst/>
                    </a:prstGeom>
                    <a:ln/>
                  </pic:spPr>
                </pic:pic>
              </a:graphicData>
            </a:graphic>
          </wp:inline>
        </w:drawing>
      </w:r>
      <w:bookmarkStart w:id="50" w:name="_s6e0wgc536tp" w:colFirst="0" w:colLast="0"/>
      <w:bookmarkEnd w:id="50"/>
      <w:r w:rsidRPr="00FD54EA">
        <w:t>Supplementary Figure 14: Number of people living with less than 3.20 USD</w:t>
      </w:r>
      <w:r w:rsidRPr="00FD54EA">
        <w:rPr>
          <w:vertAlign w:val="subscript"/>
        </w:rPr>
        <w:t xml:space="preserve">2011PPP </w:t>
      </w:r>
      <w:r w:rsidRPr="00FD54EA">
        <w:t>as global total over time (a) and for current low- and middle-income regions (see S1.1.1) in the year 2050.</w:t>
      </w:r>
    </w:p>
    <w:p w14:paraId="190C5CC8" w14:textId="77777777" w:rsidR="00BE09F0" w:rsidRPr="00FD54EA" w:rsidRDefault="00FD54EA">
      <w:pPr>
        <w:pStyle w:val="Heading3"/>
        <w:rPr>
          <w:color w:val="000000" w:themeColor="text1"/>
        </w:rPr>
      </w:pPr>
      <w:bookmarkStart w:id="51" w:name="_wnr214e3qelc" w:colFirst="0" w:colLast="0"/>
      <w:bookmarkEnd w:id="51"/>
      <w:r w:rsidRPr="00FD54EA">
        <w:rPr>
          <w:color w:val="000000" w:themeColor="text1"/>
        </w:rPr>
        <w:br w:type="page"/>
      </w:r>
    </w:p>
    <w:p w14:paraId="0A5035CF" w14:textId="77777777" w:rsidR="00BE09F0" w:rsidRPr="00FD54EA" w:rsidRDefault="00FD54EA">
      <w:pPr>
        <w:pStyle w:val="Heading4"/>
        <w:rPr>
          <w:color w:val="000000" w:themeColor="text1"/>
        </w:rPr>
      </w:pPr>
      <w:bookmarkStart w:id="52" w:name="_9w8hjulwumej" w:colFirst="0" w:colLast="0"/>
      <w:bookmarkEnd w:id="52"/>
      <w:r w:rsidRPr="00FD54EA">
        <w:rPr>
          <w:color w:val="000000" w:themeColor="text1"/>
        </w:rPr>
        <w:lastRenderedPageBreak/>
        <w:t>S2.2.9 Employment and Wages</w:t>
      </w:r>
    </w:p>
    <w:p w14:paraId="422CEED0" w14:textId="77777777" w:rsidR="00BE09F0" w:rsidRPr="00FD54EA" w:rsidRDefault="00FD54EA">
      <w:pPr>
        <w:rPr>
          <w:color w:val="000000" w:themeColor="text1"/>
        </w:rPr>
      </w:pPr>
      <w:r w:rsidRPr="00FD54EA">
        <w:rPr>
          <w:noProof/>
          <w:color w:val="000000" w:themeColor="text1"/>
        </w:rPr>
        <w:drawing>
          <wp:inline distT="114300" distB="114300" distL="114300" distR="114300" wp14:anchorId="091D3B1C" wp14:editId="4171547F">
            <wp:extent cx="5943600" cy="6604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43600" cy="6604000"/>
                    </a:xfrm>
                    <a:prstGeom prst="rect">
                      <a:avLst/>
                    </a:prstGeom>
                    <a:ln/>
                  </pic:spPr>
                </pic:pic>
              </a:graphicData>
            </a:graphic>
          </wp:inline>
        </w:drawing>
      </w:r>
    </w:p>
    <w:p w14:paraId="50D26645" w14:textId="77777777" w:rsidR="00BE09F0" w:rsidRPr="00FD54EA" w:rsidRDefault="00BE09F0">
      <w:pPr>
        <w:rPr>
          <w:color w:val="000000" w:themeColor="text1"/>
        </w:rPr>
      </w:pPr>
    </w:p>
    <w:p w14:paraId="32AA5490" w14:textId="77777777" w:rsidR="00BE09F0" w:rsidRPr="00FD54EA" w:rsidRDefault="00FD54EA">
      <w:pPr>
        <w:pStyle w:val="Heading5"/>
        <w:rPr>
          <w:color w:val="000000" w:themeColor="text1"/>
        </w:rPr>
      </w:pPr>
      <w:bookmarkStart w:id="53" w:name="_277h2eef8bth" w:colFirst="0" w:colLast="0"/>
      <w:bookmarkEnd w:id="53"/>
      <w:r w:rsidRPr="00FD54EA">
        <w:rPr>
          <w:color w:val="000000" w:themeColor="text1"/>
        </w:rPr>
        <w:t>Supplementary Figure 15: Agricultural employment in million people for various scenarios, (a) over time and (b) in 2050 as change relative to 2020 in current low-, middle- and high-income world regions (see S1.1.1).</w:t>
      </w:r>
    </w:p>
    <w:p w14:paraId="4B7AD694" w14:textId="77777777" w:rsidR="00BE09F0" w:rsidRPr="00FD54EA" w:rsidRDefault="00BE09F0">
      <w:pPr>
        <w:rPr>
          <w:color w:val="000000" w:themeColor="text1"/>
        </w:rPr>
      </w:pPr>
    </w:p>
    <w:p w14:paraId="4286C36F" w14:textId="77777777" w:rsidR="00BE09F0" w:rsidRPr="00FD54EA" w:rsidRDefault="00FD54EA">
      <w:pPr>
        <w:rPr>
          <w:color w:val="000000" w:themeColor="text1"/>
        </w:rPr>
      </w:pPr>
      <w:r w:rsidRPr="00FD54EA">
        <w:rPr>
          <w:noProof/>
          <w:color w:val="000000" w:themeColor="text1"/>
        </w:rPr>
        <w:lastRenderedPageBreak/>
        <w:drawing>
          <wp:inline distT="114300" distB="114300" distL="114300" distR="114300" wp14:anchorId="33C3763C" wp14:editId="6C9BBD6D">
            <wp:extent cx="5943600" cy="39624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943600" cy="3962400"/>
                    </a:xfrm>
                    <a:prstGeom prst="rect">
                      <a:avLst/>
                    </a:prstGeom>
                    <a:ln/>
                  </pic:spPr>
                </pic:pic>
              </a:graphicData>
            </a:graphic>
          </wp:inline>
        </w:drawing>
      </w:r>
    </w:p>
    <w:p w14:paraId="470440BB" w14:textId="77777777" w:rsidR="00BE09F0" w:rsidRPr="00FD54EA" w:rsidRDefault="00FD54EA">
      <w:pPr>
        <w:pStyle w:val="Heading5"/>
        <w:rPr>
          <w:color w:val="000000" w:themeColor="text1"/>
        </w:rPr>
      </w:pPr>
      <w:bookmarkStart w:id="54" w:name="_22n2mihushky" w:colFirst="0" w:colLast="0"/>
      <w:bookmarkEnd w:id="54"/>
      <w:r w:rsidRPr="00FD54EA">
        <w:rPr>
          <w:color w:val="000000" w:themeColor="text1"/>
        </w:rPr>
        <w:t>Supplementary Figure 16: Hourly labor costs in USD</w:t>
      </w:r>
      <w:r w:rsidRPr="00FD54EA">
        <w:rPr>
          <w:color w:val="000000" w:themeColor="text1"/>
          <w:vertAlign w:val="subscript"/>
        </w:rPr>
        <w:t>2005MER</w:t>
      </w:r>
      <w:r w:rsidRPr="00FD54EA">
        <w:rPr>
          <w:color w:val="000000" w:themeColor="text1"/>
        </w:rPr>
        <w:t xml:space="preserve"> in current low-, middle- and high-income regions (see S1.1.1) over time for various scenarios.</w:t>
      </w:r>
    </w:p>
    <w:p w14:paraId="093423BF" w14:textId="77777777" w:rsidR="00BE09F0" w:rsidRPr="00FD54EA" w:rsidRDefault="00FD54EA">
      <w:pPr>
        <w:pStyle w:val="Heading3"/>
        <w:rPr>
          <w:color w:val="000000" w:themeColor="text1"/>
        </w:rPr>
      </w:pPr>
      <w:bookmarkStart w:id="55" w:name="_r21kdxjz6bvo" w:colFirst="0" w:colLast="0"/>
      <w:bookmarkEnd w:id="55"/>
      <w:r w:rsidRPr="00FD54EA">
        <w:rPr>
          <w:color w:val="000000" w:themeColor="text1"/>
        </w:rPr>
        <w:br w:type="page"/>
      </w:r>
    </w:p>
    <w:p w14:paraId="304C19C0" w14:textId="77777777" w:rsidR="00BE09F0" w:rsidRPr="00FD54EA" w:rsidRDefault="00FD54EA">
      <w:pPr>
        <w:pStyle w:val="Heading3"/>
        <w:rPr>
          <w:color w:val="000000" w:themeColor="text1"/>
        </w:rPr>
      </w:pPr>
      <w:bookmarkStart w:id="56" w:name="_bsvtfspq3n50" w:colFirst="0" w:colLast="0"/>
      <w:bookmarkEnd w:id="56"/>
      <w:r w:rsidRPr="00FD54EA">
        <w:rPr>
          <w:color w:val="000000" w:themeColor="text1"/>
        </w:rPr>
        <w:lastRenderedPageBreak/>
        <w:t>S2.3 Potential Intermediate Milestones</w:t>
      </w:r>
    </w:p>
    <w:p w14:paraId="7284998A" w14:textId="77777777" w:rsidR="00BE09F0" w:rsidRPr="00FD54EA" w:rsidRDefault="00BE09F0">
      <w:pPr>
        <w:rPr>
          <w:color w:val="000000" w:themeColor="text1"/>
        </w:rPr>
      </w:pPr>
    </w:p>
    <w:tbl>
      <w:tblPr>
        <w:tblStyle w:val="a3"/>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1290"/>
        <w:gridCol w:w="825"/>
        <w:gridCol w:w="855"/>
        <w:gridCol w:w="1110"/>
        <w:gridCol w:w="885"/>
      </w:tblGrid>
      <w:tr w:rsidR="00FD54EA" w:rsidRPr="00FD54EA" w14:paraId="1C590076" w14:textId="77777777">
        <w:tc>
          <w:tcPr>
            <w:tcW w:w="4410" w:type="dxa"/>
            <w:shd w:val="clear" w:color="auto" w:fill="auto"/>
            <w:tcMar>
              <w:top w:w="100" w:type="dxa"/>
              <w:left w:w="100" w:type="dxa"/>
              <w:bottom w:w="100" w:type="dxa"/>
              <w:right w:w="100" w:type="dxa"/>
            </w:tcMar>
          </w:tcPr>
          <w:p w14:paraId="64032536"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Milestone</w:t>
            </w:r>
          </w:p>
        </w:tc>
        <w:tc>
          <w:tcPr>
            <w:tcW w:w="1290" w:type="dxa"/>
            <w:shd w:val="clear" w:color="auto" w:fill="auto"/>
            <w:tcMar>
              <w:top w:w="100" w:type="dxa"/>
              <w:left w:w="100" w:type="dxa"/>
              <w:bottom w:w="100" w:type="dxa"/>
              <w:right w:w="100" w:type="dxa"/>
            </w:tcMar>
          </w:tcPr>
          <w:p w14:paraId="67B77FFA"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Indicator</w:t>
            </w:r>
          </w:p>
        </w:tc>
        <w:tc>
          <w:tcPr>
            <w:tcW w:w="825" w:type="dxa"/>
            <w:shd w:val="clear" w:color="auto" w:fill="auto"/>
            <w:tcMar>
              <w:top w:w="100" w:type="dxa"/>
              <w:left w:w="100" w:type="dxa"/>
              <w:bottom w:w="100" w:type="dxa"/>
              <w:right w:w="100" w:type="dxa"/>
            </w:tcMar>
          </w:tcPr>
          <w:p w14:paraId="05B5813A"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2020</w:t>
            </w:r>
          </w:p>
        </w:tc>
        <w:tc>
          <w:tcPr>
            <w:tcW w:w="855" w:type="dxa"/>
            <w:shd w:val="clear" w:color="auto" w:fill="auto"/>
            <w:tcMar>
              <w:top w:w="100" w:type="dxa"/>
              <w:left w:w="100" w:type="dxa"/>
              <w:bottom w:w="100" w:type="dxa"/>
              <w:right w:w="100" w:type="dxa"/>
            </w:tcMar>
          </w:tcPr>
          <w:p w14:paraId="1F2B34A9"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2030</w:t>
            </w:r>
          </w:p>
        </w:tc>
        <w:tc>
          <w:tcPr>
            <w:tcW w:w="1110" w:type="dxa"/>
            <w:shd w:val="clear" w:color="auto" w:fill="auto"/>
            <w:tcMar>
              <w:top w:w="100" w:type="dxa"/>
              <w:left w:w="100" w:type="dxa"/>
              <w:bottom w:w="100" w:type="dxa"/>
              <w:right w:w="100" w:type="dxa"/>
            </w:tcMar>
          </w:tcPr>
          <w:p w14:paraId="578FFFC6"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2040</w:t>
            </w:r>
          </w:p>
        </w:tc>
        <w:tc>
          <w:tcPr>
            <w:tcW w:w="885" w:type="dxa"/>
            <w:shd w:val="clear" w:color="auto" w:fill="auto"/>
            <w:tcMar>
              <w:top w:w="100" w:type="dxa"/>
              <w:left w:w="100" w:type="dxa"/>
              <w:bottom w:w="100" w:type="dxa"/>
              <w:right w:w="100" w:type="dxa"/>
            </w:tcMar>
          </w:tcPr>
          <w:p w14:paraId="4A543A9A"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2050</w:t>
            </w:r>
          </w:p>
        </w:tc>
      </w:tr>
      <w:tr w:rsidR="00FD54EA" w:rsidRPr="00FD54EA" w14:paraId="60859467" w14:textId="77777777">
        <w:tc>
          <w:tcPr>
            <w:tcW w:w="4410" w:type="dxa"/>
            <w:shd w:val="clear" w:color="auto" w:fill="auto"/>
            <w:tcMar>
              <w:top w:w="100" w:type="dxa"/>
              <w:left w:w="100" w:type="dxa"/>
              <w:bottom w:w="100" w:type="dxa"/>
              <w:right w:w="100" w:type="dxa"/>
            </w:tcMar>
          </w:tcPr>
          <w:p w14:paraId="1D737288"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Livestock product consumption per capita in current HIRs</w:t>
            </w:r>
          </w:p>
        </w:tc>
        <w:tc>
          <w:tcPr>
            <w:tcW w:w="1290" w:type="dxa"/>
            <w:shd w:val="clear" w:color="auto" w:fill="auto"/>
            <w:tcMar>
              <w:top w:w="100" w:type="dxa"/>
              <w:left w:w="100" w:type="dxa"/>
              <w:bottom w:w="100" w:type="dxa"/>
              <w:right w:w="100" w:type="dxa"/>
            </w:tcMar>
          </w:tcPr>
          <w:p w14:paraId="70FD7FB4"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4819145A"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1</w:t>
            </w:r>
          </w:p>
        </w:tc>
        <w:tc>
          <w:tcPr>
            <w:tcW w:w="855" w:type="dxa"/>
            <w:shd w:val="clear" w:color="auto" w:fill="auto"/>
            <w:tcMar>
              <w:top w:w="100" w:type="dxa"/>
              <w:left w:w="100" w:type="dxa"/>
              <w:bottom w:w="100" w:type="dxa"/>
              <w:right w:w="100" w:type="dxa"/>
            </w:tcMar>
          </w:tcPr>
          <w:p w14:paraId="052E9332"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0.61</w:t>
            </w:r>
          </w:p>
        </w:tc>
        <w:tc>
          <w:tcPr>
            <w:tcW w:w="1110" w:type="dxa"/>
            <w:shd w:val="clear" w:color="auto" w:fill="auto"/>
            <w:tcMar>
              <w:top w:w="100" w:type="dxa"/>
              <w:left w:w="100" w:type="dxa"/>
              <w:bottom w:w="100" w:type="dxa"/>
              <w:right w:w="100" w:type="dxa"/>
            </w:tcMar>
          </w:tcPr>
          <w:p w14:paraId="66D1981D"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0.42</w:t>
            </w:r>
          </w:p>
        </w:tc>
        <w:tc>
          <w:tcPr>
            <w:tcW w:w="885" w:type="dxa"/>
            <w:shd w:val="clear" w:color="auto" w:fill="auto"/>
            <w:tcMar>
              <w:top w:w="100" w:type="dxa"/>
              <w:left w:w="100" w:type="dxa"/>
              <w:bottom w:w="100" w:type="dxa"/>
              <w:right w:w="100" w:type="dxa"/>
            </w:tcMar>
          </w:tcPr>
          <w:p w14:paraId="11C57E29"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0.27</w:t>
            </w:r>
          </w:p>
        </w:tc>
      </w:tr>
      <w:tr w:rsidR="00FD54EA" w:rsidRPr="00FD54EA" w14:paraId="6B6CF5B4" w14:textId="77777777">
        <w:tc>
          <w:tcPr>
            <w:tcW w:w="4410" w:type="dxa"/>
            <w:shd w:val="clear" w:color="auto" w:fill="auto"/>
            <w:tcMar>
              <w:top w:w="100" w:type="dxa"/>
              <w:left w:w="100" w:type="dxa"/>
              <w:bottom w:w="100" w:type="dxa"/>
              <w:right w:w="100" w:type="dxa"/>
            </w:tcMar>
          </w:tcPr>
          <w:p w14:paraId="7F9B256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Livestock product consumption per capita in current MIRs</w:t>
            </w:r>
          </w:p>
        </w:tc>
        <w:tc>
          <w:tcPr>
            <w:tcW w:w="1290" w:type="dxa"/>
            <w:shd w:val="clear" w:color="auto" w:fill="auto"/>
            <w:tcMar>
              <w:top w:w="100" w:type="dxa"/>
              <w:left w:w="100" w:type="dxa"/>
              <w:bottom w:w="100" w:type="dxa"/>
              <w:right w:w="100" w:type="dxa"/>
            </w:tcMar>
          </w:tcPr>
          <w:p w14:paraId="7DF6050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622AE07C"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1</w:t>
            </w:r>
          </w:p>
        </w:tc>
        <w:tc>
          <w:tcPr>
            <w:tcW w:w="855" w:type="dxa"/>
            <w:shd w:val="clear" w:color="auto" w:fill="auto"/>
            <w:tcMar>
              <w:top w:w="100" w:type="dxa"/>
              <w:left w:w="100" w:type="dxa"/>
              <w:bottom w:w="100" w:type="dxa"/>
              <w:right w:w="100" w:type="dxa"/>
            </w:tcMar>
          </w:tcPr>
          <w:p w14:paraId="21F2EF42"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0.91</w:t>
            </w:r>
          </w:p>
        </w:tc>
        <w:tc>
          <w:tcPr>
            <w:tcW w:w="1110" w:type="dxa"/>
            <w:shd w:val="clear" w:color="auto" w:fill="auto"/>
            <w:tcMar>
              <w:top w:w="100" w:type="dxa"/>
              <w:left w:w="100" w:type="dxa"/>
              <w:bottom w:w="100" w:type="dxa"/>
              <w:right w:w="100" w:type="dxa"/>
            </w:tcMar>
          </w:tcPr>
          <w:p w14:paraId="7FD17444"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0.65</w:t>
            </w:r>
          </w:p>
        </w:tc>
        <w:tc>
          <w:tcPr>
            <w:tcW w:w="885" w:type="dxa"/>
            <w:shd w:val="clear" w:color="auto" w:fill="auto"/>
            <w:tcMar>
              <w:top w:w="100" w:type="dxa"/>
              <w:left w:w="100" w:type="dxa"/>
              <w:bottom w:w="100" w:type="dxa"/>
              <w:right w:w="100" w:type="dxa"/>
            </w:tcMar>
          </w:tcPr>
          <w:p w14:paraId="216644DF" w14:textId="77777777" w:rsidR="00BE09F0" w:rsidRPr="00FD54EA" w:rsidRDefault="00FD54EA">
            <w:pPr>
              <w:widowControl w:val="0"/>
              <w:pBdr>
                <w:top w:val="nil"/>
                <w:left w:val="nil"/>
                <w:bottom w:val="nil"/>
                <w:right w:val="nil"/>
                <w:between w:val="nil"/>
              </w:pBdr>
              <w:spacing w:line="240" w:lineRule="auto"/>
              <w:rPr>
                <w:color w:val="000000" w:themeColor="text1"/>
                <w:sz w:val="14"/>
                <w:szCs w:val="14"/>
              </w:rPr>
            </w:pPr>
            <w:r w:rsidRPr="00FD54EA">
              <w:rPr>
                <w:color w:val="000000" w:themeColor="text1"/>
                <w:sz w:val="14"/>
                <w:szCs w:val="14"/>
              </w:rPr>
              <w:t>0.38</w:t>
            </w:r>
          </w:p>
        </w:tc>
      </w:tr>
      <w:tr w:rsidR="00FD54EA" w:rsidRPr="00FD54EA" w14:paraId="57B21EFF" w14:textId="77777777">
        <w:tc>
          <w:tcPr>
            <w:tcW w:w="4410" w:type="dxa"/>
            <w:shd w:val="clear" w:color="auto" w:fill="auto"/>
            <w:tcMar>
              <w:top w:w="100" w:type="dxa"/>
              <w:left w:w="100" w:type="dxa"/>
              <w:bottom w:w="100" w:type="dxa"/>
              <w:right w:w="100" w:type="dxa"/>
            </w:tcMar>
          </w:tcPr>
          <w:p w14:paraId="4E1ADA4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Production of livestock products, global</w:t>
            </w:r>
          </w:p>
        </w:tc>
        <w:tc>
          <w:tcPr>
            <w:tcW w:w="1290" w:type="dxa"/>
            <w:shd w:val="clear" w:color="auto" w:fill="auto"/>
            <w:tcMar>
              <w:top w:w="100" w:type="dxa"/>
              <w:left w:w="100" w:type="dxa"/>
              <w:bottom w:w="100" w:type="dxa"/>
              <w:right w:w="100" w:type="dxa"/>
            </w:tcMar>
          </w:tcPr>
          <w:p w14:paraId="773582A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5AE13F57"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w:t>
            </w:r>
          </w:p>
        </w:tc>
        <w:tc>
          <w:tcPr>
            <w:tcW w:w="855" w:type="dxa"/>
            <w:shd w:val="clear" w:color="auto" w:fill="auto"/>
            <w:tcMar>
              <w:top w:w="100" w:type="dxa"/>
              <w:left w:w="100" w:type="dxa"/>
              <w:bottom w:w="100" w:type="dxa"/>
              <w:right w:w="100" w:type="dxa"/>
            </w:tcMar>
          </w:tcPr>
          <w:p w14:paraId="0E47D95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0.94</w:t>
            </w:r>
          </w:p>
        </w:tc>
        <w:tc>
          <w:tcPr>
            <w:tcW w:w="1110" w:type="dxa"/>
            <w:shd w:val="clear" w:color="auto" w:fill="auto"/>
            <w:tcMar>
              <w:top w:w="100" w:type="dxa"/>
              <w:left w:w="100" w:type="dxa"/>
              <w:bottom w:w="100" w:type="dxa"/>
              <w:right w:w="100" w:type="dxa"/>
            </w:tcMar>
          </w:tcPr>
          <w:p w14:paraId="7569347E"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0.75</w:t>
            </w:r>
          </w:p>
        </w:tc>
        <w:tc>
          <w:tcPr>
            <w:tcW w:w="885" w:type="dxa"/>
            <w:shd w:val="clear" w:color="auto" w:fill="auto"/>
            <w:tcMar>
              <w:top w:w="100" w:type="dxa"/>
              <w:left w:w="100" w:type="dxa"/>
              <w:bottom w:w="100" w:type="dxa"/>
              <w:right w:w="100" w:type="dxa"/>
            </w:tcMar>
          </w:tcPr>
          <w:p w14:paraId="600FC2D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0.47</w:t>
            </w:r>
          </w:p>
        </w:tc>
      </w:tr>
      <w:tr w:rsidR="00FD54EA" w:rsidRPr="00FD54EA" w14:paraId="7B0399F4" w14:textId="77777777">
        <w:tc>
          <w:tcPr>
            <w:tcW w:w="4410" w:type="dxa"/>
            <w:shd w:val="clear" w:color="auto" w:fill="auto"/>
            <w:tcMar>
              <w:top w:w="100" w:type="dxa"/>
              <w:left w:w="100" w:type="dxa"/>
              <w:bottom w:w="100" w:type="dxa"/>
              <w:right w:w="100" w:type="dxa"/>
            </w:tcMar>
          </w:tcPr>
          <w:p w14:paraId="675C10A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Production of fruits, vegetables and nuts, global</w:t>
            </w:r>
          </w:p>
        </w:tc>
        <w:tc>
          <w:tcPr>
            <w:tcW w:w="1290" w:type="dxa"/>
            <w:shd w:val="clear" w:color="auto" w:fill="auto"/>
            <w:tcMar>
              <w:top w:w="100" w:type="dxa"/>
              <w:left w:w="100" w:type="dxa"/>
              <w:bottom w:w="100" w:type="dxa"/>
              <w:right w:w="100" w:type="dxa"/>
            </w:tcMar>
          </w:tcPr>
          <w:p w14:paraId="51F6AADB"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7F05808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w:t>
            </w:r>
          </w:p>
        </w:tc>
        <w:tc>
          <w:tcPr>
            <w:tcW w:w="855" w:type="dxa"/>
            <w:shd w:val="clear" w:color="auto" w:fill="auto"/>
            <w:tcMar>
              <w:top w:w="100" w:type="dxa"/>
              <w:left w:w="100" w:type="dxa"/>
              <w:bottom w:w="100" w:type="dxa"/>
              <w:right w:w="100" w:type="dxa"/>
            </w:tcMar>
          </w:tcPr>
          <w:p w14:paraId="111FB2C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1.27</w:t>
            </w:r>
          </w:p>
        </w:tc>
        <w:tc>
          <w:tcPr>
            <w:tcW w:w="1110" w:type="dxa"/>
            <w:shd w:val="clear" w:color="auto" w:fill="auto"/>
            <w:tcMar>
              <w:top w:w="100" w:type="dxa"/>
              <w:left w:w="100" w:type="dxa"/>
              <w:bottom w:w="100" w:type="dxa"/>
              <w:right w:w="100" w:type="dxa"/>
            </w:tcMar>
          </w:tcPr>
          <w:p w14:paraId="08193A28"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1.52</w:t>
            </w:r>
          </w:p>
        </w:tc>
        <w:tc>
          <w:tcPr>
            <w:tcW w:w="885" w:type="dxa"/>
            <w:shd w:val="clear" w:color="auto" w:fill="auto"/>
            <w:tcMar>
              <w:top w:w="100" w:type="dxa"/>
              <w:left w:w="100" w:type="dxa"/>
              <w:bottom w:w="100" w:type="dxa"/>
              <w:right w:w="100" w:type="dxa"/>
            </w:tcMar>
          </w:tcPr>
          <w:p w14:paraId="4AD8D22B"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1.67</w:t>
            </w:r>
          </w:p>
        </w:tc>
      </w:tr>
      <w:tr w:rsidR="00FD54EA" w:rsidRPr="00FD54EA" w14:paraId="55D3E75C" w14:textId="77777777">
        <w:tc>
          <w:tcPr>
            <w:tcW w:w="4410" w:type="dxa"/>
            <w:shd w:val="clear" w:color="auto" w:fill="auto"/>
            <w:tcMar>
              <w:top w:w="100" w:type="dxa"/>
              <w:left w:w="100" w:type="dxa"/>
              <w:bottom w:w="100" w:type="dxa"/>
              <w:right w:w="100" w:type="dxa"/>
            </w:tcMar>
          </w:tcPr>
          <w:p w14:paraId="543619C7"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Food waste per capita in current HIRs</w:t>
            </w:r>
          </w:p>
        </w:tc>
        <w:tc>
          <w:tcPr>
            <w:tcW w:w="1290" w:type="dxa"/>
            <w:shd w:val="clear" w:color="auto" w:fill="auto"/>
            <w:tcMar>
              <w:top w:w="100" w:type="dxa"/>
              <w:left w:w="100" w:type="dxa"/>
              <w:bottom w:w="100" w:type="dxa"/>
              <w:right w:w="100" w:type="dxa"/>
            </w:tcMar>
          </w:tcPr>
          <w:p w14:paraId="3A87D61D"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082DE2D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w:t>
            </w:r>
          </w:p>
        </w:tc>
        <w:tc>
          <w:tcPr>
            <w:tcW w:w="855" w:type="dxa"/>
            <w:shd w:val="clear" w:color="auto" w:fill="auto"/>
            <w:tcMar>
              <w:top w:w="100" w:type="dxa"/>
              <w:left w:w="100" w:type="dxa"/>
              <w:bottom w:w="100" w:type="dxa"/>
              <w:right w:w="100" w:type="dxa"/>
            </w:tcMar>
          </w:tcPr>
          <w:p w14:paraId="63631BF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0.73</w:t>
            </w:r>
          </w:p>
        </w:tc>
        <w:tc>
          <w:tcPr>
            <w:tcW w:w="1110" w:type="dxa"/>
            <w:shd w:val="clear" w:color="auto" w:fill="auto"/>
            <w:tcMar>
              <w:top w:w="100" w:type="dxa"/>
              <w:left w:w="100" w:type="dxa"/>
              <w:bottom w:w="100" w:type="dxa"/>
              <w:right w:w="100" w:type="dxa"/>
            </w:tcMar>
          </w:tcPr>
          <w:p w14:paraId="6C344A09"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0.65</w:t>
            </w:r>
          </w:p>
        </w:tc>
        <w:tc>
          <w:tcPr>
            <w:tcW w:w="885" w:type="dxa"/>
            <w:shd w:val="clear" w:color="auto" w:fill="auto"/>
            <w:tcMar>
              <w:top w:w="100" w:type="dxa"/>
              <w:left w:w="100" w:type="dxa"/>
              <w:bottom w:w="100" w:type="dxa"/>
              <w:right w:w="100" w:type="dxa"/>
            </w:tcMar>
          </w:tcPr>
          <w:p w14:paraId="2D0938C7"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0.57</w:t>
            </w:r>
          </w:p>
        </w:tc>
      </w:tr>
      <w:tr w:rsidR="00FD54EA" w:rsidRPr="00FD54EA" w14:paraId="3D179FB9" w14:textId="77777777">
        <w:tc>
          <w:tcPr>
            <w:tcW w:w="4410" w:type="dxa"/>
            <w:shd w:val="clear" w:color="auto" w:fill="auto"/>
            <w:tcMar>
              <w:top w:w="100" w:type="dxa"/>
              <w:left w:w="100" w:type="dxa"/>
              <w:bottom w:w="100" w:type="dxa"/>
              <w:right w:w="100" w:type="dxa"/>
            </w:tcMar>
          </w:tcPr>
          <w:p w14:paraId="3D5F8FA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Food waste per capita in current MIRs</w:t>
            </w:r>
          </w:p>
        </w:tc>
        <w:tc>
          <w:tcPr>
            <w:tcW w:w="1290" w:type="dxa"/>
            <w:shd w:val="clear" w:color="auto" w:fill="auto"/>
            <w:tcMar>
              <w:top w:w="100" w:type="dxa"/>
              <w:left w:w="100" w:type="dxa"/>
              <w:bottom w:w="100" w:type="dxa"/>
              <w:right w:w="100" w:type="dxa"/>
            </w:tcMar>
          </w:tcPr>
          <w:p w14:paraId="16180F8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34199267"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w:t>
            </w:r>
          </w:p>
        </w:tc>
        <w:tc>
          <w:tcPr>
            <w:tcW w:w="855" w:type="dxa"/>
            <w:shd w:val="clear" w:color="auto" w:fill="auto"/>
            <w:tcMar>
              <w:top w:w="100" w:type="dxa"/>
              <w:left w:w="100" w:type="dxa"/>
              <w:bottom w:w="100" w:type="dxa"/>
              <w:right w:w="100" w:type="dxa"/>
            </w:tcMar>
          </w:tcPr>
          <w:p w14:paraId="54124EC3"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0.93</w:t>
            </w:r>
          </w:p>
        </w:tc>
        <w:tc>
          <w:tcPr>
            <w:tcW w:w="1110" w:type="dxa"/>
            <w:shd w:val="clear" w:color="auto" w:fill="auto"/>
            <w:tcMar>
              <w:top w:w="100" w:type="dxa"/>
              <w:left w:w="100" w:type="dxa"/>
              <w:bottom w:w="100" w:type="dxa"/>
              <w:right w:w="100" w:type="dxa"/>
            </w:tcMar>
          </w:tcPr>
          <w:p w14:paraId="5D646468"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0.82</w:t>
            </w:r>
          </w:p>
        </w:tc>
        <w:tc>
          <w:tcPr>
            <w:tcW w:w="885" w:type="dxa"/>
            <w:shd w:val="clear" w:color="auto" w:fill="auto"/>
            <w:tcMar>
              <w:top w:w="100" w:type="dxa"/>
              <w:left w:w="100" w:type="dxa"/>
              <w:bottom w:w="100" w:type="dxa"/>
              <w:right w:w="100" w:type="dxa"/>
            </w:tcMar>
          </w:tcPr>
          <w:p w14:paraId="6F6CD44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0.72</w:t>
            </w:r>
          </w:p>
        </w:tc>
      </w:tr>
      <w:tr w:rsidR="00FD54EA" w:rsidRPr="00FD54EA" w14:paraId="2A56519E" w14:textId="77777777">
        <w:tc>
          <w:tcPr>
            <w:tcW w:w="4410" w:type="dxa"/>
            <w:shd w:val="clear" w:color="auto" w:fill="auto"/>
            <w:tcMar>
              <w:top w:w="100" w:type="dxa"/>
              <w:left w:w="100" w:type="dxa"/>
              <w:bottom w:w="100" w:type="dxa"/>
              <w:right w:w="100" w:type="dxa"/>
            </w:tcMar>
          </w:tcPr>
          <w:p w14:paraId="4E575B7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Inorganic fertilizer, global</w:t>
            </w:r>
          </w:p>
        </w:tc>
        <w:tc>
          <w:tcPr>
            <w:tcW w:w="1290" w:type="dxa"/>
            <w:shd w:val="clear" w:color="auto" w:fill="auto"/>
            <w:tcMar>
              <w:top w:w="100" w:type="dxa"/>
              <w:left w:w="100" w:type="dxa"/>
              <w:bottom w:w="100" w:type="dxa"/>
              <w:right w:w="100" w:type="dxa"/>
            </w:tcMar>
          </w:tcPr>
          <w:p w14:paraId="085BD2B9"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Mt N/</w:t>
            </w:r>
            <w:proofErr w:type="spellStart"/>
            <w:r w:rsidRPr="00FD54EA">
              <w:rPr>
                <w:color w:val="000000" w:themeColor="text1"/>
                <w:sz w:val="14"/>
                <w:szCs w:val="14"/>
              </w:rPr>
              <w:t>yr</w:t>
            </w:r>
            <w:proofErr w:type="spellEnd"/>
          </w:p>
        </w:tc>
        <w:tc>
          <w:tcPr>
            <w:tcW w:w="825" w:type="dxa"/>
            <w:shd w:val="clear" w:color="auto" w:fill="auto"/>
            <w:tcMar>
              <w:top w:w="100" w:type="dxa"/>
              <w:left w:w="100" w:type="dxa"/>
              <w:bottom w:w="100" w:type="dxa"/>
              <w:right w:w="100" w:type="dxa"/>
            </w:tcMar>
          </w:tcPr>
          <w:p w14:paraId="45AFC06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118</w:t>
            </w:r>
          </w:p>
        </w:tc>
        <w:tc>
          <w:tcPr>
            <w:tcW w:w="855" w:type="dxa"/>
            <w:shd w:val="clear" w:color="auto" w:fill="auto"/>
            <w:tcMar>
              <w:top w:w="100" w:type="dxa"/>
              <w:left w:w="100" w:type="dxa"/>
              <w:bottom w:w="100" w:type="dxa"/>
              <w:right w:w="100" w:type="dxa"/>
            </w:tcMar>
          </w:tcPr>
          <w:p w14:paraId="0275D87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103</w:t>
            </w:r>
          </w:p>
        </w:tc>
        <w:tc>
          <w:tcPr>
            <w:tcW w:w="1110" w:type="dxa"/>
            <w:shd w:val="clear" w:color="auto" w:fill="auto"/>
            <w:tcMar>
              <w:top w:w="100" w:type="dxa"/>
              <w:left w:w="100" w:type="dxa"/>
              <w:bottom w:w="100" w:type="dxa"/>
              <w:right w:w="100" w:type="dxa"/>
            </w:tcMar>
          </w:tcPr>
          <w:p w14:paraId="7DFCF50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99</w:t>
            </w:r>
          </w:p>
        </w:tc>
        <w:tc>
          <w:tcPr>
            <w:tcW w:w="885" w:type="dxa"/>
            <w:shd w:val="clear" w:color="auto" w:fill="auto"/>
            <w:tcMar>
              <w:top w:w="100" w:type="dxa"/>
              <w:left w:w="100" w:type="dxa"/>
              <w:bottom w:w="100" w:type="dxa"/>
              <w:right w:w="100" w:type="dxa"/>
            </w:tcMar>
          </w:tcPr>
          <w:p w14:paraId="6C523F6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97</w:t>
            </w:r>
          </w:p>
        </w:tc>
      </w:tr>
      <w:tr w:rsidR="00FD54EA" w:rsidRPr="00FD54EA" w14:paraId="5326DF5C" w14:textId="77777777">
        <w:tc>
          <w:tcPr>
            <w:tcW w:w="4410" w:type="dxa"/>
            <w:shd w:val="clear" w:color="auto" w:fill="auto"/>
            <w:tcMar>
              <w:top w:w="100" w:type="dxa"/>
              <w:left w:w="100" w:type="dxa"/>
              <w:bottom w:w="100" w:type="dxa"/>
              <w:right w:w="100" w:type="dxa"/>
            </w:tcMar>
          </w:tcPr>
          <w:p w14:paraId="4C85EB19"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Soil Nitrogen Uptake Efficiency (</w:t>
            </w:r>
            <w:proofErr w:type="spellStart"/>
            <w:r w:rsidRPr="00FD54EA">
              <w:rPr>
                <w:color w:val="000000" w:themeColor="text1"/>
                <w:sz w:val="14"/>
                <w:szCs w:val="14"/>
              </w:rPr>
              <w:t>SNUpE</w:t>
            </w:r>
            <w:proofErr w:type="spellEnd"/>
            <w:r w:rsidRPr="00FD54EA">
              <w:rPr>
                <w:color w:val="000000" w:themeColor="text1"/>
                <w:sz w:val="14"/>
                <w:szCs w:val="14"/>
              </w:rPr>
              <w:t>), global</w:t>
            </w:r>
          </w:p>
        </w:tc>
        <w:tc>
          <w:tcPr>
            <w:tcW w:w="1290" w:type="dxa"/>
            <w:shd w:val="clear" w:color="auto" w:fill="auto"/>
            <w:tcMar>
              <w:top w:w="100" w:type="dxa"/>
              <w:left w:w="100" w:type="dxa"/>
              <w:bottom w:w="100" w:type="dxa"/>
              <w:right w:w="100" w:type="dxa"/>
            </w:tcMar>
          </w:tcPr>
          <w:p w14:paraId="4898E99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Percent</w:t>
            </w:r>
          </w:p>
        </w:tc>
        <w:tc>
          <w:tcPr>
            <w:tcW w:w="825" w:type="dxa"/>
            <w:shd w:val="clear" w:color="auto" w:fill="auto"/>
            <w:tcMar>
              <w:top w:w="100" w:type="dxa"/>
              <w:left w:w="100" w:type="dxa"/>
              <w:bottom w:w="100" w:type="dxa"/>
              <w:right w:w="100" w:type="dxa"/>
            </w:tcMar>
          </w:tcPr>
          <w:p w14:paraId="2D46E31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57</w:t>
            </w:r>
          </w:p>
        </w:tc>
        <w:tc>
          <w:tcPr>
            <w:tcW w:w="855" w:type="dxa"/>
            <w:shd w:val="clear" w:color="auto" w:fill="auto"/>
            <w:tcMar>
              <w:top w:w="100" w:type="dxa"/>
              <w:left w:w="100" w:type="dxa"/>
              <w:bottom w:w="100" w:type="dxa"/>
              <w:right w:w="100" w:type="dxa"/>
            </w:tcMar>
          </w:tcPr>
          <w:p w14:paraId="1383700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64</w:t>
            </w:r>
          </w:p>
        </w:tc>
        <w:tc>
          <w:tcPr>
            <w:tcW w:w="1110" w:type="dxa"/>
            <w:shd w:val="clear" w:color="auto" w:fill="auto"/>
            <w:tcMar>
              <w:top w:w="100" w:type="dxa"/>
              <w:left w:w="100" w:type="dxa"/>
              <w:bottom w:w="100" w:type="dxa"/>
              <w:right w:w="100" w:type="dxa"/>
            </w:tcMar>
          </w:tcPr>
          <w:p w14:paraId="346E9C7B"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69</w:t>
            </w:r>
          </w:p>
        </w:tc>
        <w:tc>
          <w:tcPr>
            <w:tcW w:w="885" w:type="dxa"/>
            <w:shd w:val="clear" w:color="auto" w:fill="auto"/>
            <w:tcMar>
              <w:top w:w="100" w:type="dxa"/>
              <w:left w:w="100" w:type="dxa"/>
              <w:bottom w:w="100" w:type="dxa"/>
              <w:right w:w="100" w:type="dxa"/>
            </w:tcMar>
          </w:tcPr>
          <w:p w14:paraId="1275FAE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74</w:t>
            </w:r>
          </w:p>
        </w:tc>
      </w:tr>
      <w:tr w:rsidR="00FD54EA" w:rsidRPr="00FD54EA" w14:paraId="63F8E996" w14:textId="77777777">
        <w:tc>
          <w:tcPr>
            <w:tcW w:w="4410" w:type="dxa"/>
            <w:shd w:val="clear" w:color="auto" w:fill="auto"/>
            <w:tcMar>
              <w:top w:w="100" w:type="dxa"/>
              <w:left w:w="100" w:type="dxa"/>
              <w:bottom w:w="100" w:type="dxa"/>
              <w:right w:w="100" w:type="dxa"/>
            </w:tcMar>
          </w:tcPr>
          <w:p w14:paraId="1553A0CB"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Manure recycling quota, excluding field losses, global</w:t>
            </w:r>
          </w:p>
        </w:tc>
        <w:tc>
          <w:tcPr>
            <w:tcW w:w="1290" w:type="dxa"/>
            <w:shd w:val="clear" w:color="auto" w:fill="auto"/>
            <w:tcMar>
              <w:top w:w="100" w:type="dxa"/>
              <w:left w:w="100" w:type="dxa"/>
              <w:bottom w:w="100" w:type="dxa"/>
              <w:right w:w="100" w:type="dxa"/>
            </w:tcMar>
          </w:tcPr>
          <w:p w14:paraId="444C537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Percent</w:t>
            </w:r>
          </w:p>
        </w:tc>
        <w:tc>
          <w:tcPr>
            <w:tcW w:w="825" w:type="dxa"/>
            <w:shd w:val="clear" w:color="auto" w:fill="auto"/>
            <w:tcMar>
              <w:top w:w="100" w:type="dxa"/>
              <w:left w:w="100" w:type="dxa"/>
              <w:bottom w:w="100" w:type="dxa"/>
              <w:right w:w="100" w:type="dxa"/>
            </w:tcMar>
          </w:tcPr>
          <w:p w14:paraId="3F2A5C76"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62</w:t>
            </w:r>
          </w:p>
        </w:tc>
        <w:tc>
          <w:tcPr>
            <w:tcW w:w="855" w:type="dxa"/>
            <w:shd w:val="clear" w:color="auto" w:fill="auto"/>
            <w:tcMar>
              <w:top w:w="100" w:type="dxa"/>
              <w:left w:w="100" w:type="dxa"/>
              <w:bottom w:w="100" w:type="dxa"/>
              <w:right w:w="100" w:type="dxa"/>
            </w:tcMar>
          </w:tcPr>
          <w:p w14:paraId="5729F41B"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67</w:t>
            </w:r>
          </w:p>
        </w:tc>
        <w:tc>
          <w:tcPr>
            <w:tcW w:w="1110" w:type="dxa"/>
            <w:shd w:val="clear" w:color="auto" w:fill="auto"/>
            <w:tcMar>
              <w:top w:w="100" w:type="dxa"/>
              <w:left w:w="100" w:type="dxa"/>
              <w:bottom w:w="100" w:type="dxa"/>
              <w:right w:w="100" w:type="dxa"/>
            </w:tcMar>
          </w:tcPr>
          <w:p w14:paraId="7F86967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71</w:t>
            </w:r>
          </w:p>
        </w:tc>
        <w:tc>
          <w:tcPr>
            <w:tcW w:w="885" w:type="dxa"/>
            <w:shd w:val="clear" w:color="auto" w:fill="auto"/>
            <w:tcMar>
              <w:top w:w="100" w:type="dxa"/>
              <w:left w:w="100" w:type="dxa"/>
              <w:bottom w:w="100" w:type="dxa"/>
              <w:right w:w="100" w:type="dxa"/>
            </w:tcMar>
          </w:tcPr>
          <w:p w14:paraId="694700D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74</w:t>
            </w:r>
          </w:p>
        </w:tc>
      </w:tr>
      <w:tr w:rsidR="00FD54EA" w:rsidRPr="00FD54EA" w14:paraId="300D5CF3" w14:textId="77777777">
        <w:tc>
          <w:tcPr>
            <w:tcW w:w="4410" w:type="dxa"/>
            <w:shd w:val="clear" w:color="auto" w:fill="auto"/>
            <w:tcMar>
              <w:top w:w="100" w:type="dxa"/>
              <w:left w:w="100" w:type="dxa"/>
              <w:bottom w:w="100" w:type="dxa"/>
              <w:right w:w="100" w:type="dxa"/>
            </w:tcMar>
          </w:tcPr>
          <w:p w14:paraId="5F260E62"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 xml:space="preserve">Rewetted formerly drained peatlands, global </w:t>
            </w:r>
          </w:p>
        </w:tc>
        <w:tc>
          <w:tcPr>
            <w:tcW w:w="1290" w:type="dxa"/>
            <w:shd w:val="clear" w:color="auto" w:fill="auto"/>
            <w:tcMar>
              <w:top w:w="100" w:type="dxa"/>
              <w:left w:w="100" w:type="dxa"/>
              <w:bottom w:w="100" w:type="dxa"/>
              <w:right w:w="100" w:type="dxa"/>
            </w:tcMar>
          </w:tcPr>
          <w:p w14:paraId="5202BF36" w14:textId="77777777" w:rsidR="00BE09F0" w:rsidRPr="00FD54EA" w:rsidRDefault="00FD54EA">
            <w:pPr>
              <w:widowControl w:val="0"/>
              <w:spacing w:line="240" w:lineRule="auto"/>
              <w:rPr>
                <w:color w:val="000000" w:themeColor="text1"/>
                <w:sz w:val="14"/>
                <w:szCs w:val="14"/>
              </w:rPr>
            </w:pPr>
            <w:proofErr w:type="spellStart"/>
            <w:r w:rsidRPr="00FD54EA">
              <w:rPr>
                <w:color w:val="000000" w:themeColor="text1"/>
                <w:sz w:val="14"/>
                <w:szCs w:val="14"/>
              </w:rPr>
              <w:t>Mha</w:t>
            </w:r>
            <w:proofErr w:type="spellEnd"/>
          </w:p>
        </w:tc>
        <w:tc>
          <w:tcPr>
            <w:tcW w:w="825" w:type="dxa"/>
            <w:shd w:val="clear" w:color="auto" w:fill="auto"/>
            <w:tcMar>
              <w:top w:w="100" w:type="dxa"/>
              <w:left w:w="100" w:type="dxa"/>
              <w:bottom w:w="100" w:type="dxa"/>
              <w:right w:w="100" w:type="dxa"/>
            </w:tcMar>
          </w:tcPr>
          <w:p w14:paraId="4E6E4CE3"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0.13</w:t>
            </w:r>
          </w:p>
        </w:tc>
        <w:tc>
          <w:tcPr>
            <w:tcW w:w="855" w:type="dxa"/>
            <w:shd w:val="clear" w:color="auto" w:fill="auto"/>
            <w:tcMar>
              <w:top w:w="100" w:type="dxa"/>
              <w:left w:w="100" w:type="dxa"/>
              <w:bottom w:w="100" w:type="dxa"/>
              <w:right w:w="100" w:type="dxa"/>
            </w:tcMar>
          </w:tcPr>
          <w:p w14:paraId="78888B3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0.20</w:t>
            </w:r>
          </w:p>
        </w:tc>
        <w:tc>
          <w:tcPr>
            <w:tcW w:w="1110" w:type="dxa"/>
            <w:shd w:val="clear" w:color="auto" w:fill="auto"/>
            <w:tcMar>
              <w:top w:w="100" w:type="dxa"/>
              <w:left w:w="100" w:type="dxa"/>
              <w:bottom w:w="100" w:type="dxa"/>
              <w:right w:w="100" w:type="dxa"/>
            </w:tcMar>
          </w:tcPr>
          <w:p w14:paraId="295276C8"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16.00</w:t>
            </w:r>
          </w:p>
        </w:tc>
        <w:tc>
          <w:tcPr>
            <w:tcW w:w="885" w:type="dxa"/>
            <w:shd w:val="clear" w:color="auto" w:fill="auto"/>
            <w:tcMar>
              <w:top w:w="100" w:type="dxa"/>
              <w:left w:w="100" w:type="dxa"/>
              <w:bottom w:w="100" w:type="dxa"/>
              <w:right w:w="100" w:type="dxa"/>
            </w:tcMar>
          </w:tcPr>
          <w:p w14:paraId="5BA3A568"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19.90</w:t>
            </w:r>
          </w:p>
        </w:tc>
      </w:tr>
      <w:tr w:rsidR="00FD54EA" w:rsidRPr="00FD54EA" w14:paraId="545A1237" w14:textId="77777777">
        <w:tc>
          <w:tcPr>
            <w:tcW w:w="4410" w:type="dxa"/>
            <w:shd w:val="clear" w:color="auto" w:fill="auto"/>
            <w:tcMar>
              <w:top w:w="100" w:type="dxa"/>
              <w:left w:w="100" w:type="dxa"/>
              <w:bottom w:w="100" w:type="dxa"/>
              <w:right w:w="100" w:type="dxa"/>
            </w:tcMar>
          </w:tcPr>
          <w:p w14:paraId="0BB3ABC6"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Anthropogenic LUC emissions, global</w:t>
            </w:r>
          </w:p>
        </w:tc>
        <w:tc>
          <w:tcPr>
            <w:tcW w:w="1290" w:type="dxa"/>
            <w:shd w:val="clear" w:color="auto" w:fill="auto"/>
            <w:tcMar>
              <w:top w:w="100" w:type="dxa"/>
              <w:left w:w="100" w:type="dxa"/>
              <w:bottom w:w="100" w:type="dxa"/>
              <w:right w:w="100" w:type="dxa"/>
            </w:tcMar>
          </w:tcPr>
          <w:p w14:paraId="06D18813"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Gt CO</w:t>
            </w:r>
            <w:r w:rsidRPr="00FD54EA">
              <w:rPr>
                <w:color w:val="000000" w:themeColor="text1"/>
                <w:sz w:val="14"/>
                <w:szCs w:val="14"/>
                <w:vertAlign w:val="subscript"/>
              </w:rPr>
              <w:t>2</w:t>
            </w:r>
            <w:r w:rsidRPr="00FD54EA">
              <w:rPr>
                <w:color w:val="000000" w:themeColor="text1"/>
                <w:sz w:val="14"/>
                <w:szCs w:val="14"/>
              </w:rPr>
              <w:t>/</w:t>
            </w:r>
            <w:proofErr w:type="spellStart"/>
            <w:r w:rsidRPr="00FD54EA">
              <w:rPr>
                <w:color w:val="000000" w:themeColor="text1"/>
                <w:sz w:val="14"/>
                <w:szCs w:val="14"/>
              </w:rPr>
              <w:t>yr</w:t>
            </w:r>
            <w:proofErr w:type="spellEnd"/>
          </w:p>
        </w:tc>
        <w:tc>
          <w:tcPr>
            <w:tcW w:w="825" w:type="dxa"/>
            <w:shd w:val="clear" w:color="auto" w:fill="auto"/>
            <w:tcMar>
              <w:top w:w="100" w:type="dxa"/>
              <w:left w:w="100" w:type="dxa"/>
              <w:bottom w:w="100" w:type="dxa"/>
              <w:right w:w="100" w:type="dxa"/>
            </w:tcMar>
          </w:tcPr>
          <w:p w14:paraId="2F5DFCC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2.79</w:t>
            </w:r>
          </w:p>
        </w:tc>
        <w:tc>
          <w:tcPr>
            <w:tcW w:w="855" w:type="dxa"/>
            <w:shd w:val="clear" w:color="auto" w:fill="auto"/>
            <w:tcMar>
              <w:top w:w="100" w:type="dxa"/>
              <w:left w:w="100" w:type="dxa"/>
              <w:bottom w:w="100" w:type="dxa"/>
              <w:right w:w="100" w:type="dxa"/>
            </w:tcMar>
          </w:tcPr>
          <w:p w14:paraId="43B6F06D"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-1.92</w:t>
            </w:r>
          </w:p>
        </w:tc>
        <w:tc>
          <w:tcPr>
            <w:tcW w:w="1110" w:type="dxa"/>
            <w:shd w:val="clear" w:color="auto" w:fill="auto"/>
            <w:tcMar>
              <w:top w:w="100" w:type="dxa"/>
              <w:left w:w="100" w:type="dxa"/>
              <w:bottom w:w="100" w:type="dxa"/>
              <w:right w:w="100" w:type="dxa"/>
            </w:tcMar>
          </w:tcPr>
          <w:p w14:paraId="5C325DC9"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-6.21</w:t>
            </w:r>
          </w:p>
        </w:tc>
        <w:tc>
          <w:tcPr>
            <w:tcW w:w="885" w:type="dxa"/>
            <w:shd w:val="clear" w:color="auto" w:fill="auto"/>
            <w:tcMar>
              <w:top w:w="100" w:type="dxa"/>
              <w:left w:w="100" w:type="dxa"/>
              <w:bottom w:w="100" w:type="dxa"/>
              <w:right w:w="100" w:type="dxa"/>
            </w:tcMar>
          </w:tcPr>
          <w:p w14:paraId="1344E03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-8.41</w:t>
            </w:r>
          </w:p>
        </w:tc>
      </w:tr>
      <w:tr w:rsidR="00FD54EA" w:rsidRPr="00FD54EA" w14:paraId="244DDBE8" w14:textId="77777777">
        <w:tc>
          <w:tcPr>
            <w:tcW w:w="4410" w:type="dxa"/>
            <w:shd w:val="clear" w:color="auto" w:fill="auto"/>
            <w:tcMar>
              <w:top w:w="100" w:type="dxa"/>
              <w:left w:w="100" w:type="dxa"/>
              <w:bottom w:w="100" w:type="dxa"/>
              <w:right w:w="100" w:type="dxa"/>
            </w:tcMar>
          </w:tcPr>
          <w:p w14:paraId="1E79B45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AFOLU emissions, global</w:t>
            </w:r>
          </w:p>
        </w:tc>
        <w:tc>
          <w:tcPr>
            <w:tcW w:w="1290" w:type="dxa"/>
            <w:shd w:val="clear" w:color="auto" w:fill="auto"/>
            <w:tcMar>
              <w:top w:w="100" w:type="dxa"/>
              <w:left w:w="100" w:type="dxa"/>
              <w:bottom w:w="100" w:type="dxa"/>
              <w:right w:w="100" w:type="dxa"/>
            </w:tcMar>
          </w:tcPr>
          <w:p w14:paraId="3E07C70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Gt CO</w:t>
            </w:r>
            <w:r w:rsidRPr="00FD54EA">
              <w:rPr>
                <w:color w:val="000000" w:themeColor="text1"/>
                <w:sz w:val="14"/>
                <w:szCs w:val="14"/>
                <w:vertAlign w:val="subscript"/>
              </w:rPr>
              <w:t>2</w:t>
            </w:r>
            <w:r w:rsidRPr="00FD54EA">
              <w:rPr>
                <w:color w:val="000000" w:themeColor="text1"/>
                <w:sz w:val="14"/>
                <w:szCs w:val="14"/>
              </w:rPr>
              <w:t>eq/</w:t>
            </w:r>
            <w:proofErr w:type="spellStart"/>
            <w:r w:rsidRPr="00FD54EA">
              <w:rPr>
                <w:color w:val="000000" w:themeColor="text1"/>
                <w:sz w:val="14"/>
                <w:szCs w:val="14"/>
              </w:rPr>
              <w:t>yr</w:t>
            </w:r>
            <w:proofErr w:type="spellEnd"/>
          </w:p>
        </w:tc>
        <w:tc>
          <w:tcPr>
            <w:tcW w:w="825" w:type="dxa"/>
            <w:shd w:val="clear" w:color="auto" w:fill="auto"/>
            <w:tcMar>
              <w:top w:w="100" w:type="dxa"/>
              <w:left w:w="100" w:type="dxa"/>
              <w:bottom w:w="100" w:type="dxa"/>
              <w:right w:w="100" w:type="dxa"/>
            </w:tcMar>
          </w:tcPr>
          <w:p w14:paraId="4B6ACFC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10.21</w:t>
            </w:r>
          </w:p>
        </w:tc>
        <w:tc>
          <w:tcPr>
            <w:tcW w:w="855" w:type="dxa"/>
            <w:shd w:val="clear" w:color="auto" w:fill="auto"/>
            <w:tcMar>
              <w:top w:w="100" w:type="dxa"/>
              <w:left w:w="100" w:type="dxa"/>
              <w:bottom w:w="100" w:type="dxa"/>
              <w:right w:w="100" w:type="dxa"/>
            </w:tcMar>
          </w:tcPr>
          <w:p w14:paraId="5BB0D6C9"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3.31</w:t>
            </w:r>
          </w:p>
        </w:tc>
        <w:tc>
          <w:tcPr>
            <w:tcW w:w="1110" w:type="dxa"/>
            <w:shd w:val="clear" w:color="auto" w:fill="auto"/>
            <w:tcMar>
              <w:top w:w="100" w:type="dxa"/>
              <w:left w:w="100" w:type="dxa"/>
              <w:bottom w:w="100" w:type="dxa"/>
              <w:right w:w="100" w:type="dxa"/>
            </w:tcMar>
          </w:tcPr>
          <w:p w14:paraId="2A2CB549"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-2.80</w:t>
            </w:r>
          </w:p>
        </w:tc>
        <w:tc>
          <w:tcPr>
            <w:tcW w:w="885" w:type="dxa"/>
            <w:shd w:val="clear" w:color="auto" w:fill="auto"/>
            <w:tcMar>
              <w:top w:w="100" w:type="dxa"/>
              <w:left w:w="100" w:type="dxa"/>
              <w:bottom w:w="100" w:type="dxa"/>
              <w:right w:w="100" w:type="dxa"/>
            </w:tcMar>
          </w:tcPr>
          <w:p w14:paraId="10338A5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-6.68</w:t>
            </w:r>
          </w:p>
        </w:tc>
      </w:tr>
      <w:tr w:rsidR="00FD54EA" w:rsidRPr="00FD54EA" w14:paraId="5DF2781D" w14:textId="77777777">
        <w:tc>
          <w:tcPr>
            <w:tcW w:w="4410" w:type="dxa"/>
            <w:shd w:val="clear" w:color="auto" w:fill="auto"/>
            <w:tcMar>
              <w:top w:w="100" w:type="dxa"/>
              <w:left w:w="100" w:type="dxa"/>
              <w:bottom w:w="100" w:type="dxa"/>
              <w:right w:w="100" w:type="dxa"/>
            </w:tcMar>
          </w:tcPr>
          <w:p w14:paraId="59FA19A3"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Afforestation compared to 2020, global</w:t>
            </w:r>
          </w:p>
        </w:tc>
        <w:tc>
          <w:tcPr>
            <w:tcW w:w="1290" w:type="dxa"/>
            <w:shd w:val="clear" w:color="auto" w:fill="auto"/>
            <w:tcMar>
              <w:top w:w="100" w:type="dxa"/>
              <w:left w:w="100" w:type="dxa"/>
              <w:bottom w:w="100" w:type="dxa"/>
              <w:right w:w="100" w:type="dxa"/>
            </w:tcMar>
          </w:tcPr>
          <w:p w14:paraId="6AB6718E" w14:textId="77777777" w:rsidR="00BE09F0" w:rsidRPr="00FD54EA" w:rsidRDefault="00FD54EA">
            <w:pPr>
              <w:widowControl w:val="0"/>
              <w:spacing w:line="240" w:lineRule="auto"/>
              <w:rPr>
                <w:color w:val="000000" w:themeColor="text1"/>
                <w:sz w:val="14"/>
                <w:szCs w:val="14"/>
              </w:rPr>
            </w:pPr>
            <w:proofErr w:type="spellStart"/>
            <w:r w:rsidRPr="00FD54EA">
              <w:rPr>
                <w:color w:val="000000" w:themeColor="text1"/>
                <w:sz w:val="14"/>
                <w:szCs w:val="14"/>
              </w:rPr>
              <w:t>Mha</w:t>
            </w:r>
            <w:proofErr w:type="spellEnd"/>
          </w:p>
        </w:tc>
        <w:tc>
          <w:tcPr>
            <w:tcW w:w="825" w:type="dxa"/>
            <w:shd w:val="clear" w:color="auto" w:fill="auto"/>
            <w:tcMar>
              <w:top w:w="100" w:type="dxa"/>
              <w:left w:w="100" w:type="dxa"/>
              <w:bottom w:w="100" w:type="dxa"/>
              <w:right w:w="100" w:type="dxa"/>
            </w:tcMar>
          </w:tcPr>
          <w:p w14:paraId="742F51A3"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w:t>
            </w:r>
          </w:p>
        </w:tc>
        <w:tc>
          <w:tcPr>
            <w:tcW w:w="855" w:type="dxa"/>
            <w:shd w:val="clear" w:color="auto" w:fill="auto"/>
            <w:tcMar>
              <w:top w:w="100" w:type="dxa"/>
              <w:left w:w="100" w:type="dxa"/>
              <w:bottom w:w="100" w:type="dxa"/>
              <w:right w:w="100" w:type="dxa"/>
            </w:tcMar>
          </w:tcPr>
          <w:p w14:paraId="565BE07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157</w:t>
            </w:r>
          </w:p>
        </w:tc>
        <w:tc>
          <w:tcPr>
            <w:tcW w:w="1110" w:type="dxa"/>
            <w:shd w:val="clear" w:color="auto" w:fill="auto"/>
            <w:tcMar>
              <w:top w:w="100" w:type="dxa"/>
              <w:left w:w="100" w:type="dxa"/>
              <w:bottom w:w="100" w:type="dxa"/>
              <w:right w:w="100" w:type="dxa"/>
            </w:tcMar>
          </w:tcPr>
          <w:p w14:paraId="1DBFE212"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256</w:t>
            </w:r>
          </w:p>
        </w:tc>
        <w:tc>
          <w:tcPr>
            <w:tcW w:w="885" w:type="dxa"/>
            <w:shd w:val="clear" w:color="auto" w:fill="auto"/>
            <w:tcMar>
              <w:top w:w="100" w:type="dxa"/>
              <w:left w:w="100" w:type="dxa"/>
              <w:bottom w:w="100" w:type="dxa"/>
              <w:right w:w="100" w:type="dxa"/>
            </w:tcMar>
          </w:tcPr>
          <w:p w14:paraId="65508B07"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405</w:t>
            </w:r>
          </w:p>
        </w:tc>
      </w:tr>
      <w:tr w:rsidR="00FD54EA" w:rsidRPr="00FD54EA" w14:paraId="7AB1051C" w14:textId="77777777">
        <w:trPr>
          <w:trHeight w:val="240"/>
        </w:trPr>
        <w:tc>
          <w:tcPr>
            <w:tcW w:w="4410" w:type="dxa"/>
            <w:shd w:val="clear" w:color="auto" w:fill="auto"/>
            <w:tcMar>
              <w:top w:w="100" w:type="dxa"/>
              <w:left w:w="100" w:type="dxa"/>
              <w:bottom w:w="100" w:type="dxa"/>
              <w:right w:w="100" w:type="dxa"/>
            </w:tcMar>
          </w:tcPr>
          <w:p w14:paraId="39F6D1F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Total forest area, global</w:t>
            </w:r>
          </w:p>
        </w:tc>
        <w:tc>
          <w:tcPr>
            <w:tcW w:w="1290" w:type="dxa"/>
            <w:shd w:val="clear" w:color="auto" w:fill="auto"/>
            <w:tcMar>
              <w:top w:w="100" w:type="dxa"/>
              <w:left w:w="100" w:type="dxa"/>
              <w:bottom w:w="100" w:type="dxa"/>
              <w:right w:w="100" w:type="dxa"/>
            </w:tcMar>
          </w:tcPr>
          <w:p w14:paraId="4CE0E97C" w14:textId="77777777" w:rsidR="00BE09F0" w:rsidRPr="00FD54EA" w:rsidRDefault="00FD54EA">
            <w:pPr>
              <w:widowControl w:val="0"/>
              <w:spacing w:line="240" w:lineRule="auto"/>
              <w:rPr>
                <w:color w:val="000000" w:themeColor="text1"/>
                <w:sz w:val="14"/>
                <w:szCs w:val="14"/>
              </w:rPr>
            </w:pPr>
            <w:proofErr w:type="spellStart"/>
            <w:r w:rsidRPr="00FD54EA">
              <w:rPr>
                <w:color w:val="000000" w:themeColor="text1"/>
                <w:sz w:val="14"/>
                <w:szCs w:val="14"/>
              </w:rPr>
              <w:t>Mha</w:t>
            </w:r>
            <w:proofErr w:type="spellEnd"/>
          </w:p>
        </w:tc>
        <w:tc>
          <w:tcPr>
            <w:tcW w:w="825" w:type="dxa"/>
            <w:shd w:val="clear" w:color="auto" w:fill="auto"/>
            <w:tcMar>
              <w:top w:w="100" w:type="dxa"/>
              <w:left w:w="100" w:type="dxa"/>
              <w:bottom w:w="100" w:type="dxa"/>
              <w:right w:w="100" w:type="dxa"/>
            </w:tcMar>
          </w:tcPr>
          <w:p w14:paraId="6B6A193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4005</w:t>
            </w:r>
          </w:p>
        </w:tc>
        <w:tc>
          <w:tcPr>
            <w:tcW w:w="855" w:type="dxa"/>
            <w:shd w:val="clear" w:color="auto" w:fill="auto"/>
            <w:tcMar>
              <w:top w:w="100" w:type="dxa"/>
              <w:left w:w="100" w:type="dxa"/>
              <w:bottom w:w="100" w:type="dxa"/>
              <w:right w:w="100" w:type="dxa"/>
            </w:tcMar>
          </w:tcPr>
          <w:p w14:paraId="6055D3F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4189</w:t>
            </w:r>
          </w:p>
        </w:tc>
        <w:tc>
          <w:tcPr>
            <w:tcW w:w="1110" w:type="dxa"/>
            <w:shd w:val="clear" w:color="auto" w:fill="auto"/>
            <w:tcMar>
              <w:top w:w="100" w:type="dxa"/>
              <w:left w:w="100" w:type="dxa"/>
              <w:bottom w:w="100" w:type="dxa"/>
              <w:right w:w="100" w:type="dxa"/>
            </w:tcMar>
          </w:tcPr>
          <w:p w14:paraId="57B11F6A"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4336</w:t>
            </w:r>
          </w:p>
        </w:tc>
        <w:tc>
          <w:tcPr>
            <w:tcW w:w="885" w:type="dxa"/>
            <w:shd w:val="clear" w:color="auto" w:fill="auto"/>
            <w:tcMar>
              <w:top w:w="100" w:type="dxa"/>
              <w:left w:w="100" w:type="dxa"/>
              <w:bottom w:w="100" w:type="dxa"/>
              <w:right w:w="100" w:type="dxa"/>
            </w:tcMar>
          </w:tcPr>
          <w:p w14:paraId="410F154D"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4546</w:t>
            </w:r>
          </w:p>
        </w:tc>
      </w:tr>
      <w:tr w:rsidR="00FD54EA" w:rsidRPr="00FD54EA" w14:paraId="06A0B338" w14:textId="77777777">
        <w:trPr>
          <w:trHeight w:val="240"/>
        </w:trPr>
        <w:tc>
          <w:tcPr>
            <w:tcW w:w="4410" w:type="dxa"/>
            <w:shd w:val="clear" w:color="auto" w:fill="auto"/>
            <w:tcMar>
              <w:top w:w="100" w:type="dxa"/>
              <w:left w:w="100" w:type="dxa"/>
              <w:bottom w:w="100" w:type="dxa"/>
              <w:right w:w="100" w:type="dxa"/>
            </w:tcMar>
          </w:tcPr>
          <w:p w14:paraId="741DF0B7"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Total other semi-natural vegetation, global</w:t>
            </w:r>
          </w:p>
        </w:tc>
        <w:tc>
          <w:tcPr>
            <w:tcW w:w="1290" w:type="dxa"/>
            <w:shd w:val="clear" w:color="auto" w:fill="auto"/>
            <w:tcMar>
              <w:top w:w="100" w:type="dxa"/>
              <w:left w:w="100" w:type="dxa"/>
              <w:bottom w:w="100" w:type="dxa"/>
              <w:right w:w="100" w:type="dxa"/>
            </w:tcMar>
          </w:tcPr>
          <w:p w14:paraId="3BA88BE6" w14:textId="77777777" w:rsidR="00BE09F0" w:rsidRPr="00FD54EA" w:rsidRDefault="00FD54EA">
            <w:pPr>
              <w:widowControl w:val="0"/>
              <w:spacing w:line="240" w:lineRule="auto"/>
              <w:rPr>
                <w:color w:val="000000" w:themeColor="text1"/>
                <w:sz w:val="14"/>
                <w:szCs w:val="14"/>
              </w:rPr>
            </w:pPr>
            <w:proofErr w:type="spellStart"/>
            <w:r w:rsidRPr="00FD54EA">
              <w:rPr>
                <w:color w:val="000000" w:themeColor="text1"/>
                <w:sz w:val="14"/>
                <w:szCs w:val="14"/>
              </w:rPr>
              <w:t>Mha</w:t>
            </w:r>
            <w:proofErr w:type="spellEnd"/>
          </w:p>
        </w:tc>
        <w:tc>
          <w:tcPr>
            <w:tcW w:w="825" w:type="dxa"/>
            <w:shd w:val="clear" w:color="auto" w:fill="auto"/>
            <w:tcMar>
              <w:top w:w="100" w:type="dxa"/>
              <w:left w:w="100" w:type="dxa"/>
              <w:bottom w:w="100" w:type="dxa"/>
              <w:right w:w="100" w:type="dxa"/>
            </w:tcMar>
          </w:tcPr>
          <w:p w14:paraId="4C0BD44A"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3910</w:t>
            </w:r>
          </w:p>
        </w:tc>
        <w:tc>
          <w:tcPr>
            <w:tcW w:w="855" w:type="dxa"/>
            <w:shd w:val="clear" w:color="auto" w:fill="auto"/>
            <w:tcMar>
              <w:top w:w="100" w:type="dxa"/>
              <w:left w:w="100" w:type="dxa"/>
              <w:bottom w:w="100" w:type="dxa"/>
              <w:right w:w="100" w:type="dxa"/>
            </w:tcMar>
          </w:tcPr>
          <w:p w14:paraId="7CDBFDA3"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3931</w:t>
            </w:r>
          </w:p>
        </w:tc>
        <w:tc>
          <w:tcPr>
            <w:tcW w:w="1110" w:type="dxa"/>
            <w:shd w:val="clear" w:color="auto" w:fill="auto"/>
            <w:tcMar>
              <w:top w:w="100" w:type="dxa"/>
              <w:left w:w="100" w:type="dxa"/>
              <w:bottom w:w="100" w:type="dxa"/>
              <w:right w:w="100" w:type="dxa"/>
            </w:tcMar>
          </w:tcPr>
          <w:p w14:paraId="1E9E3F7E"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4026</w:t>
            </w:r>
          </w:p>
        </w:tc>
        <w:tc>
          <w:tcPr>
            <w:tcW w:w="885" w:type="dxa"/>
            <w:shd w:val="clear" w:color="auto" w:fill="auto"/>
            <w:tcMar>
              <w:top w:w="100" w:type="dxa"/>
              <w:left w:w="100" w:type="dxa"/>
              <w:bottom w:w="100" w:type="dxa"/>
              <w:right w:w="100" w:type="dxa"/>
            </w:tcMar>
          </w:tcPr>
          <w:p w14:paraId="37F6803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4065</w:t>
            </w:r>
          </w:p>
        </w:tc>
      </w:tr>
      <w:tr w:rsidR="00FD54EA" w:rsidRPr="00FD54EA" w14:paraId="3D85DB73" w14:textId="77777777">
        <w:trPr>
          <w:trHeight w:val="240"/>
        </w:trPr>
        <w:tc>
          <w:tcPr>
            <w:tcW w:w="4410" w:type="dxa"/>
            <w:shd w:val="clear" w:color="auto" w:fill="auto"/>
            <w:tcMar>
              <w:top w:w="100" w:type="dxa"/>
              <w:left w:w="100" w:type="dxa"/>
              <w:bottom w:w="100" w:type="dxa"/>
              <w:right w:w="100" w:type="dxa"/>
            </w:tcMar>
          </w:tcPr>
          <w:p w14:paraId="5E080F88"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 xml:space="preserve">Timber plantations, global </w:t>
            </w:r>
          </w:p>
        </w:tc>
        <w:tc>
          <w:tcPr>
            <w:tcW w:w="1290" w:type="dxa"/>
            <w:shd w:val="clear" w:color="auto" w:fill="auto"/>
            <w:tcMar>
              <w:top w:w="100" w:type="dxa"/>
              <w:left w:w="100" w:type="dxa"/>
              <w:bottom w:w="100" w:type="dxa"/>
              <w:right w:w="100" w:type="dxa"/>
            </w:tcMar>
          </w:tcPr>
          <w:p w14:paraId="7648CA57" w14:textId="77777777" w:rsidR="00BE09F0" w:rsidRPr="00FD54EA" w:rsidRDefault="00FD54EA">
            <w:pPr>
              <w:widowControl w:val="0"/>
              <w:spacing w:line="240" w:lineRule="auto"/>
              <w:rPr>
                <w:color w:val="000000" w:themeColor="text1"/>
                <w:sz w:val="14"/>
                <w:szCs w:val="14"/>
              </w:rPr>
            </w:pPr>
            <w:proofErr w:type="spellStart"/>
            <w:r w:rsidRPr="00FD54EA">
              <w:rPr>
                <w:color w:val="000000" w:themeColor="text1"/>
                <w:sz w:val="14"/>
                <w:szCs w:val="14"/>
              </w:rPr>
              <w:t>Mha</w:t>
            </w:r>
            <w:proofErr w:type="spellEnd"/>
          </w:p>
        </w:tc>
        <w:tc>
          <w:tcPr>
            <w:tcW w:w="825" w:type="dxa"/>
            <w:shd w:val="clear" w:color="auto" w:fill="auto"/>
            <w:tcMar>
              <w:top w:w="100" w:type="dxa"/>
              <w:left w:w="100" w:type="dxa"/>
              <w:bottom w:w="100" w:type="dxa"/>
              <w:right w:w="100" w:type="dxa"/>
            </w:tcMar>
          </w:tcPr>
          <w:p w14:paraId="6187680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149</w:t>
            </w:r>
          </w:p>
        </w:tc>
        <w:tc>
          <w:tcPr>
            <w:tcW w:w="855" w:type="dxa"/>
            <w:shd w:val="clear" w:color="auto" w:fill="auto"/>
            <w:tcMar>
              <w:top w:w="100" w:type="dxa"/>
              <w:left w:w="100" w:type="dxa"/>
              <w:bottom w:w="100" w:type="dxa"/>
              <w:right w:w="100" w:type="dxa"/>
            </w:tcMar>
          </w:tcPr>
          <w:p w14:paraId="22AFFC6A"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183</w:t>
            </w:r>
          </w:p>
        </w:tc>
        <w:tc>
          <w:tcPr>
            <w:tcW w:w="1110" w:type="dxa"/>
            <w:shd w:val="clear" w:color="auto" w:fill="auto"/>
            <w:tcMar>
              <w:top w:w="100" w:type="dxa"/>
              <w:left w:w="100" w:type="dxa"/>
              <w:bottom w:w="100" w:type="dxa"/>
              <w:right w:w="100" w:type="dxa"/>
            </w:tcMar>
          </w:tcPr>
          <w:p w14:paraId="547336BD"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227</w:t>
            </w:r>
          </w:p>
        </w:tc>
        <w:tc>
          <w:tcPr>
            <w:tcW w:w="885" w:type="dxa"/>
            <w:shd w:val="clear" w:color="auto" w:fill="auto"/>
            <w:tcMar>
              <w:top w:w="100" w:type="dxa"/>
              <w:left w:w="100" w:type="dxa"/>
              <w:bottom w:w="100" w:type="dxa"/>
              <w:right w:w="100" w:type="dxa"/>
            </w:tcMar>
          </w:tcPr>
          <w:p w14:paraId="6307CE6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278</w:t>
            </w:r>
          </w:p>
        </w:tc>
      </w:tr>
      <w:tr w:rsidR="00FD54EA" w:rsidRPr="00FD54EA" w14:paraId="25781C9E" w14:textId="77777777">
        <w:trPr>
          <w:trHeight w:val="240"/>
        </w:trPr>
        <w:tc>
          <w:tcPr>
            <w:tcW w:w="4410" w:type="dxa"/>
            <w:shd w:val="clear" w:color="auto" w:fill="auto"/>
            <w:tcMar>
              <w:top w:w="100" w:type="dxa"/>
              <w:left w:w="100" w:type="dxa"/>
              <w:bottom w:w="100" w:type="dxa"/>
              <w:right w:w="100" w:type="dxa"/>
            </w:tcMar>
          </w:tcPr>
          <w:p w14:paraId="53408DB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Alternative livelihoods needed for people formerly working in agriculture, starting in 2020, global</w:t>
            </w:r>
          </w:p>
        </w:tc>
        <w:tc>
          <w:tcPr>
            <w:tcW w:w="1290" w:type="dxa"/>
            <w:shd w:val="clear" w:color="auto" w:fill="auto"/>
            <w:tcMar>
              <w:top w:w="100" w:type="dxa"/>
              <w:left w:w="100" w:type="dxa"/>
              <w:bottom w:w="100" w:type="dxa"/>
              <w:right w:w="100" w:type="dxa"/>
            </w:tcMar>
          </w:tcPr>
          <w:p w14:paraId="6E887AA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Mio people</w:t>
            </w:r>
          </w:p>
        </w:tc>
        <w:tc>
          <w:tcPr>
            <w:tcW w:w="825" w:type="dxa"/>
            <w:shd w:val="clear" w:color="auto" w:fill="auto"/>
            <w:tcMar>
              <w:top w:w="100" w:type="dxa"/>
              <w:left w:w="100" w:type="dxa"/>
              <w:bottom w:w="100" w:type="dxa"/>
              <w:right w:w="100" w:type="dxa"/>
            </w:tcMar>
          </w:tcPr>
          <w:p w14:paraId="04D5E06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w:t>
            </w:r>
          </w:p>
        </w:tc>
        <w:tc>
          <w:tcPr>
            <w:tcW w:w="855" w:type="dxa"/>
            <w:shd w:val="clear" w:color="auto" w:fill="auto"/>
            <w:tcMar>
              <w:top w:w="100" w:type="dxa"/>
              <w:left w:w="100" w:type="dxa"/>
              <w:bottom w:w="100" w:type="dxa"/>
              <w:right w:w="100" w:type="dxa"/>
            </w:tcMar>
          </w:tcPr>
          <w:p w14:paraId="1C0E04B8"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87</w:t>
            </w:r>
          </w:p>
        </w:tc>
        <w:tc>
          <w:tcPr>
            <w:tcW w:w="1110" w:type="dxa"/>
            <w:shd w:val="clear" w:color="auto" w:fill="auto"/>
            <w:tcMar>
              <w:top w:w="100" w:type="dxa"/>
              <w:left w:w="100" w:type="dxa"/>
              <w:bottom w:w="100" w:type="dxa"/>
              <w:right w:w="100" w:type="dxa"/>
            </w:tcMar>
          </w:tcPr>
          <w:p w14:paraId="60D7B6A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312</w:t>
            </w:r>
          </w:p>
        </w:tc>
        <w:tc>
          <w:tcPr>
            <w:tcW w:w="885" w:type="dxa"/>
            <w:shd w:val="clear" w:color="auto" w:fill="auto"/>
            <w:tcMar>
              <w:top w:w="100" w:type="dxa"/>
              <w:left w:w="100" w:type="dxa"/>
              <w:bottom w:w="100" w:type="dxa"/>
              <w:right w:w="100" w:type="dxa"/>
            </w:tcMar>
          </w:tcPr>
          <w:p w14:paraId="4E86D3C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466</w:t>
            </w:r>
          </w:p>
        </w:tc>
      </w:tr>
      <w:tr w:rsidR="00FD54EA" w:rsidRPr="00FD54EA" w14:paraId="320BBB4B" w14:textId="77777777">
        <w:trPr>
          <w:trHeight w:val="240"/>
        </w:trPr>
        <w:tc>
          <w:tcPr>
            <w:tcW w:w="4410" w:type="dxa"/>
            <w:shd w:val="clear" w:color="auto" w:fill="auto"/>
            <w:tcMar>
              <w:top w:w="100" w:type="dxa"/>
              <w:left w:w="100" w:type="dxa"/>
              <w:bottom w:w="100" w:type="dxa"/>
              <w:right w:w="100" w:type="dxa"/>
            </w:tcMar>
          </w:tcPr>
          <w:p w14:paraId="0BEE954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Gini, global</w:t>
            </w:r>
          </w:p>
        </w:tc>
        <w:tc>
          <w:tcPr>
            <w:tcW w:w="1290" w:type="dxa"/>
            <w:shd w:val="clear" w:color="auto" w:fill="auto"/>
            <w:tcMar>
              <w:top w:w="100" w:type="dxa"/>
              <w:left w:w="100" w:type="dxa"/>
              <w:bottom w:w="100" w:type="dxa"/>
              <w:right w:w="100" w:type="dxa"/>
            </w:tcMar>
          </w:tcPr>
          <w:p w14:paraId="5AE1309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0C10DC82"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0.42</w:t>
            </w:r>
          </w:p>
        </w:tc>
        <w:tc>
          <w:tcPr>
            <w:tcW w:w="855" w:type="dxa"/>
            <w:shd w:val="clear" w:color="auto" w:fill="auto"/>
            <w:tcMar>
              <w:top w:w="100" w:type="dxa"/>
              <w:left w:w="100" w:type="dxa"/>
              <w:bottom w:w="100" w:type="dxa"/>
              <w:right w:w="100" w:type="dxa"/>
            </w:tcMar>
          </w:tcPr>
          <w:p w14:paraId="7DE812AE"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0.42</w:t>
            </w:r>
          </w:p>
        </w:tc>
        <w:tc>
          <w:tcPr>
            <w:tcW w:w="1110" w:type="dxa"/>
            <w:shd w:val="clear" w:color="auto" w:fill="auto"/>
            <w:tcMar>
              <w:top w:w="100" w:type="dxa"/>
              <w:left w:w="100" w:type="dxa"/>
              <w:bottom w:w="100" w:type="dxa"/>
              <w:right w:w="100" w:type="dxa"/>
            </w:tcMar>
          </w:tcPr>
          <w:p w14:paraId="4B21AAE6"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0.4</w:t>
            </w:r>
          </w:p>
        </w:tc>
        <w:tc>
          <w:tcPr>
            <w:tcW w:w="885" w:type="dxa"/>
            <w:shd w:val="clear" w:color="auto" w:fill="auto"/>
            <w:tcMar>
              <w:top w:w="100" w:type="dxa"/>
              <w:left w:w="100" w:type="dxa"/>
              <w:bottom w:w="100" w:type="dxa"/>
              <w:right w:w="100" w:type="dxa"/>
            </w:tcMar>
          </w:tcPr>
          <w:p w14:paraId="65A625F9"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0.38</w:t>
            </w:r>
          </w:p>
        </w:tc>
      </w:tr>
      <w:tr w:rsidR="00FD54EA" w:rsidRPr="00FD54EA" w14:paraId="008886E7" w14:textId="77777777">
        <w:trPr>
          <w:trHeight w:val="240"/>
        </w:trPr>
        <w:tc>
          <w:tcPr>
            <w:tcW w:w="4410" w:type="dxa"/>
            <w:shd w:val="clear" w:color="auto" w:fill="auto"/>
            <w:tcMar>
              <w:top w:w="100" w:type="dxa"/>
              <w:left w:w="100" w:type="dxa"/>
              <w:bottom w:w="100" w:type="dxa"/>
              <w:right w:w="100" w:type="dxa"/>
            </w:tcMar>
          </w:tcPr>
          <w:p w14:paraId="071CED10"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Labor productivity in current LIRs</w:t>
            </w:r>
          </w:p>
        </w:tc>
        <w:tc>
          <w:tcPr>
            <w:tcW w:w="1290" w:type="dxa"/>
            <w:shd w:val="clear" w:color="auto" w:fill="auto"/>
            <w:tcMar>
              <w:top w:w="100" w:type="dxa"/>
              <w:left w:w="100" w:type="dxa"/>
              <w:bottom w:w="100" w:type="dxa"/>
              <w:right w:w="100" w:type="dxa"/>
            </w:tcMar>
          </w:tcPr>
          <w:p w14:paraId="7BBF36DB"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USD</w:t>
            </w:r>
            <w:r w:rsidRPr="00FD54EA">
              <w:rPr>
                <w:color w:val="000000" w:themeColor="text1"/>
                <w:sz w:val="14"/>
                <w:szCs w:val="14"/>
                <w:vertAlign w:val="subscript"/>
              </w:rPr>
              <w:t>05MER</w:t>
            </w:r>
            <w:r w:rsidRPr="00FD54EA">
              <w:rPr>
                <w:color w:val="000000" w:themeColor="text1"/>
                <w:sz w:val="14"/>
                <w:szCs w:val="14"/>
              </w:rPr>
              <w:t>/worker</w:t>
            </w:r>
          </w:p>
        </w:tc>
        <w:tc>
          <w:tcPr>
            <w:tcW w:w="825" w:type="dxa"/>
            <w:shd w:val="clear" w:color="auto" w:fill="auto"/>
            <w:tcMar>
              <w:top w:w="100" w:type="dxa"/>
              <w:left w:w="100" w:type="dxa"/>
              <w:bottom w:w="100" w:type="dxa"/>
              <w:right w:w="100" w:type="dxa"/>
            </w:tcMar>
          </w:tcPr>
          <w:p w14:paraId="71A86AAA"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1765</w:t>
            </w:r>
          </w:p>
        </w:tc>
        <w:tc>
          <w:tcPr>
            <w:tcW w:w="855" w:type="dxa"/>
            <w:shd w:val="clear" w:color="auto" w:fill="auto"/>
            <w:tcMar>
              <w:top w:w="100" w:type="dxa"/>
              <w:left w:w="100" w:type="dxa"/>
              <w:bottom w:w="100" w:type="dxa"/>
              <w:right w:w="100" w:type="dxa"/>
            </w:tcMar>
          </w:tcPr>
          <w:p w14:paraId="6510E66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2531</w:t>
            </w:r>
          </w:p>
        </w:tc>
        <w:tc>
          <w:tcPr>
            <w:tcW w:w="1110" w:type="dxa"/>
            <w:shd w:val="clear" w:color="auto" w:fill="auto"/>
            <w:tcMar>
              <w:top w:w="100" w:type="dxa"/>
              <w:left w:w="100" w:type="dxa"/>
              <w:bottom w:w="100" w:type="dxa"/>
              <w:right w:w="100" w:type="dxa"/>
            </w:tcMar>
          </w:tcPr>
          <w:p w14:paraId="5463035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4702</w:t>
            </w:r>
          </w:p>
        </w:tc>
        <w:tc>
          <w:tcPr>
            <w:tcW w:w="885" w:type="dxa"/>
            <w:shd w:val="clear" w:color="auto" w:fill="auto"/>
            <w:tcMar>
              <w:top w:w="100" w:type="dxa"/>
              <w:left w:w="100" w:type="dxa"/>
              <w:bottom w:w="100" w:type="dxa"/>
              <w:right w:w="100" w:type="dxa"/>
            </w:tcMar>
          </w:tcPr>
          <w:p w14:paraId="7584BE6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8596</w:t>
            </w:r>
          </w:p>
        </w:tc>
      </w:tr>
      <w:tr w:rsidR="00FD54EA" w:rsidRPr="00FD54EA" w14:paraId="627422AC" w14:textId="77777777">
        <w:trPr>
          <w:trHeight w:val="240"/>
        </w:trPr>
        <w:tc>
          <w:tcPr>
            <w:tcW w:w="4410" w:type="dxa"/>
            <w:shd w:val="clear" w:color="auto" w:fill="auto"/>
            <w:tcMar>
              <w:top w:w="100" w:type="dxa"/>
              <w:left w:w="100" w:type="dxa"/>
              <w:bottom w:w="100" w:type="dxa"/>
              <w:right w:w="100" w:type="dxa"/>
            </w:tcMar>
          </w:tcPr>
          <w:p w14:paraId="10AC028B"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Labor productivity in current MIRs</w:t>
            </w:r>
          </w:p>
        </w:tc>
        <w:tc>
          <w:tcPr>
            <w:tcW w:w="1290" w:type="dxa"/>
            <w:shd w:val="clear" w:color="auto" w:fill="auto"/>
            <w:tcMar>
              <w:top w:w="100" w:type="dxa"/>
              <w:left w:w="100" w:type="dxa"/>
              <w:bottom w:w="100" w:type="dxa"/>
              <w:right w:w="100" w:type="dxa"/>
            </w:tcMar>
          </w:tcPr>
          <w:p w14:paraId="31EA51E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USD</w:t>
            </w:r>
            <w:r w:rsidRPr="00FD54EA">
              <w:rPr>
                <w:color w:val="000000" w:themeColor="text1"/>
                <w:sz w:val="14"/>
                <w:szCs w:val="14"/>
                <w:vertAlign w:val="subscript"/>
              </w:rPr>
              <w:t>05MER</w:t>
            </w:r>
            <w:r w:rsidRPr="00FD54EA">
              <w:rPr>
                <w:color w:val="000000" w:themeColor="text1"/>
                <w:sz w:val="14"/>
                <w:szCs w:val="14"/>
              </w:rPr>
              <w:t>/worker</w:t>
            </w:r>
          </w:p>
        </w:tc>
        <w:tc>
          <w:tcPr>
            <w:tcW w:w="825" w:type="dxa"/>
            <w:shd w:val="clear" w:color="auto" w:fill="auto"/>
            <w:tcMar>
              <w:top w:w="100" w:type="dxa"/>
              <w:left w:w="100" w:type="dxa"/>
              <w:bottom w:w="100" w:type="dxa"/>
              <w:right w:w="100" w:type="dxa"/>
            </w:tcMar>
          </w:tcPr>
          <w:p w14:paraId="05560F16"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5525</w:t>
            </w:r>
          </w:p>
        </w:tc>
        <w:tc>
          <w:tcPr>
            <w:tcW w:w="855" w:type="dxa"/>
            <w:shd w:val="clear" w:color="auto" w:fill="auto"/>
            <w:tcMar>
              <w:top w:w="100" w:type="dxa"/>
              <w:left w:w="100" w:type="dxa"/>
              <w:bottom w:w="100" w:type="dxa"/>
              <w:right w:w="100" w:type="dxa"/>
            </w:tcMar>
          </w:tcPr>
          <w:p w14:paraId="518D853D"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7255</w:t>
            </w:r>
          </w:p>
        </w:tc>
        <w:tc>
          <w:tcPr>
            <w:tcW w:w="1110" w:type="dxa"/>
            <w:shd w:val="clear" w:color="auto" w:fill="auto"/>
            <w:tcMar>
              <w:top w:w="100" w:type="dxa"/>
              <w:left w:w="100" w:type="dxa"/>
              <w:bottom w:w="100" w:type="dxa"/>
              <w:right w:w="100" w:type="dxa"/>
            </w:tcMar>
          </w:tcPr>
          <w:p w14:paraId="3D3D46D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10404</w:t>
            </w:r>
          </w:p>
        </w:tc>
        <w:tc>
          <w:tcPr>
            <w:tcW w:w="885" w:type="dxa"/>
            <w:shd w:val="clear" w:color="auto" w:fill="auto"/>
            <w:tcMar>
              <w:top w:w="100" w:type="dxa"/>
              <w:left w:w="100" w:type="dxa"/>
              <w:bottom w:w="100" w:type="dxa"/>
              <w:right w:w="100" w:type="dxa"/>
            </w:tcMar>
          </w:tcPr>
          <w:p w14:paraId="72D4A2BD"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13339</w:t>
            </w:r>
          </w:p>
        </w:tc>
      </w:tr>
      <w:tr w:rsidR="00FD54EA" w:rsidRPr="00FD54EA" w14:paraId="3593D118" w14:textId="77777777">
        <w:trPr>
          <w:trHeight w:val="240"/>
        </w:trPr>
        <w:tc>
          <w:tcPr>
            <w:tcW w:w="4410" w:type="dxa"/>
            <w:shd w:val="clear" w:color="auto" w:fill="auto"/>
            <w:tcMar>
              <w:top w:w="100" w:type="dxa"/>
              <w:left w:w="100" w:type="dxa"/>
              <w:bottom w:w="100" w:type="dxa"/>
              <w:right w:w="100" w:type="dxa"/>
            </w:tcMar>
          </w:tcPr>
          <w:p w14:paraId="1C62FD9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Labor productivity in current HIRs</w:t>
            </w:r>
          </w:p>
        </w:tc>
        <w:tc>
          <w:tcPr>
            <w:tcW w:w="1290" w:type="dxa"/>
            <w:shd w:val="clear" w:color="auto" w:fill="auto"/>
            <w:tcMar>
              <w:top w:w="100" w:type="dxa"/>
              <w:left w:w="100" w:type="dxa"/>
              <w:bottom w:w="100" w:type="dxa"/>
              <w:right w:w="100" w:type="dxa"/>
            </w:tcMar>
          </w:tcPr>
          <w:p w14:paraId="1CA88E23"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USD</w:t>
            </w:r>
            <w:r w:rsidRPr="00FD54EA">
              <w:rPr>
                <w:color w:val="000000" w:themeColor="text1"/>
                <w:sz w:val="14"/>
                <w:szCs w:val="14"/>
                <w:vertAlign w:val="subscript"/>
              </w:rPr>
              <w:t>05MER</w:t>
            </w:r>
            <w:r w:rsidRPr="00FD54EA">
              <w:rPr>
                <w:color w:val="000000" w:themeColor="text1"/>
                <w:sz w:val="14"/>
                <w:szCs w:val="14"/>
              </w:rPr>
              <w:t>/worker</w:t>
            </w:r>
          </w:p>
        </w:tc>
        <w:tc>
          <w:tcPr>
            <w:tcW w:w="825" w:type="dxa"/>
            <w:shd w:val="clear" w:color="auto" w:fill="auto"/>
            <w:tcMar>
              <w:top w:w="100" w:type="dxa"/>
              <w:left w:w="100" w:type="dxa"/>
              <w:bottom w:w="100" w:type="dxa"/>
              <w:right w:w="100" w:type="dxa"/>
            </w:tcMar>
          </w:tcPr>
          <w:p w14:paraId="0961923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53401</w:t>
            </w:r>
          </w:p>
        </w:tc>
        <w:tc>
          <w:tcPr>
            <w:tcW w:w="855" w:type="dxa"/>
            <w:shd w:val="clear" w:color="auto" w:fill="auto"/>
            <w:tcMar>
              <w:top w:w="100" w:type="dxa"/>
              <w:left w:w="100" w:type="dxa"/>
              <w:bottom w:w="100" w:type="dxa"/>
              <w:right w:w="100" w:type="dxa"/>
            </w:tcMar>
          </w:tcPr>
          <w:p w14:paraId="7F33C024"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62455</w:t>
            </w:r>
          </w:p>
        </w:tc>
        <w:tc>
          <w:tcPr>
            <w:tcW w:w="1110" w:type="dxa"/>
            <w:shd w:val="clear" w:color="auto" w:fill="auto"/>
            <w:tcMar>
              <w:top w:w="100" w:type="dxa"/>
              <w:left w:w="100" w:type="dxa"/>
              <w:bottom w:w="100" w:type="dxa"/>
              <w:right w:w="100" w:type="dxa"/>
            </w:tcMar>
          </w:tcPr>
          <w:p w14:paraId="7F5F15B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70934</w:t>
            </w:r>
          </w:p>
        </w:tc>
        <w:tc>
          <w:tcPr>
            <w:tcW w:w="885" w:type="dxa"/>
            <w:shd w:val="clear" w:color="auto" w:fill="auto"/>
            <w:tcMar>
              <w:top w:w="100" w:type="dxa"/>
              <w:left w:w="100" w:type="dxa"/>
              <w:bottom w:w="100" w:type="dxa"/>
              <w:right w:w="100" w:type="dxa"/>
            </w:tcMar>
          </w:tcPr>
          <w:p w14:paraId="7DD027CD"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72558</w:t>
            </w:r>
          </w:p>
        </w:tc>
      </w:tr>
      <w:tr w:rsidR="00FD54EA" w:rsidRPr="00FD54EA" w14:paraId="414944CE" w14:textId="77777777">
        <w:trPr>
          <w:trHeight w:val="240"/>
        </w:trPr>
        <w:tc>
          <w:tcPr>
            <w:tcW w:w="4410" w:type="dxa"/>
            <w:shd w:val="clear" w:color="auto" w:fill="auto"/>
            <w:tcMar>
              <w:top w:w="100" w:type="dxa"/>
              <w:left w:w="100" w:type="dxa"/>
              <w:bottom w:w="100" w:type="dxa"/>
              <w:right w:w="100" w:type="dxa"/>
            </w:tcMar>
          </w:tcPr>
          <w:p w14:paraId="02C955AC"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Mortality from dietary and metabolic risks compared to 2020, global</w:t>
            </w:r>
          </w:p>
        </w:tc>
        <w:tc>
          <w:tcPr>
            <w:tcW w:w="1290" w:type="dxa"/>
            <w:shd w:val="clear" w:color="auto" w:fill="auto"/>
            <w:tcMar>
              <w:top w:w="100" w:type="dxa"/>
              <w:left w:w="100" w:type="dxa"/>
              <w:bottom w:w="100" w:type="dxa"/>
              <w:right w:w="100" w:type="dxa"/>
            </w:tcMar>
          </w:tcPr>
          <w:p w14:paraId="00E853B2"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Index</w:t>
            </w:r>
          </w:p>
        </w:tc>
        <w:tc>
          <w:tcPr>
            <w:tcW w:w="825" w:type="dxa"/>
            <w:shd w:val="clear" w:color="auto" w:fill="auto"/>
            <w:tcMar>
              <w:top w:w="100" w:type="dxa"/>
              <w:left w:w="100" w:type="dxa"/>
              <w:bottom w:w="100" w:type="dxa"/>
              <w:right w:w="100" w:type="dxa"/>
            </w:tcMar>
          </w:tcPr>
          <w:p w14:paraId="6BDF8D95"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1</w:t>
            </w:r>
          </w:p>
        </w:tc>
        <w:tc>
          <w:tcPr>
            <w:tcW w:w="855" w:type="dxa"/>
            <w:shd w:val="clear" w:color="auto" w:fill="auto"/>
            <w:tcMar>
              <w:top w:w="100" w:type="dxa"/>
              <w:left w:w="100" w:type="dxa"/>
              <w:bottom w:w="100" w:type="dxa"/>
              <w:right w:w="100" w:type="dxa"/>
            </w:tcMar>
          </w:tcPr>
          <w:p w14:paraId="7A478D9F"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0.67</w:t>
            </w:r>
          </w:p>
        </w:tc>
        <w:tc>
          <w:tcPr>
            <w:tcW w:w="1110" w:type="dxa"/>
            <w:shd w:val="clear" w:color="auto" w:fill="auto"/>
            <w:tcMar>
              <w:top w:w="100" w:type="dxa"/>
              <w:left w:w="100" w:type="dxa"/>
              <w:bottom w:w="100" w:type="dxa"/>
              <w:right w:w="100" w:type="dxa"/>
            </w:tcMar>
          </w:tcPr>
          <w:p w14:paraId="26110D9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0.48</w:t>
            </w:r>
          </w:p>
        </w:tc>
        <w:tc>
          <w:tcPr>
            <w:tcW w:w="885" w:type="dxa"/>
            <w:shd w:val="clear" w:color="auto" w:fill="auto"/>
            <w:tcMar>
              <w:top w:w="100" w:type="dxa"/>
              <w:left w:w="100" w:type="dxa"/>
              <w:bottom w:w="100" w:type="dxa"/>
              <w:right w:w="100" w:type="dxa"/>
            </w:tcMar>
          </w:tcPr>
          <w:p w14:paraId="77423071" w14:textId="77777777" w:rsidR="00BE09F0" w:rsidRPr="00FD54EA" w:rsidRDefault="00FD54EA">
            <w:pPr>
              <w:widowControl w:val="0"/>
              <w:spacing w:line="240" w:lineRule="auto"/>
              <w:rPr>
                <w:color w:val="000000" w:themeColor="text1"/>
                <w:sz w:val="14"/>
                <w:szCs w:val="14"/>
              </w:rPr>
            </w:pPr>
            <w:r w:rsidRPr="00FD54EA">
              <w:rPr>
                <w:color w:val="000000" w:themeColor="text1"/>
                <w:sz w:val="14"/>
                <w:szCs w:val="14"/>
              </w:rPr>
              <w:t>0.37</w:t>
            </w:r>
          </w:p>
        </w:tc>
      </w:tr>
    </w:tbl>
    <w:p w14:paraId="32E16017" w14:textId="77777777" w:rsidR="00BE09F0" w:rsidRPr="00FD54EA" w:rsidRDefault="00BE09F0">
      <w:pPr>
        <w:rPr>
          <w:color w:val="000000" w:themeColor="text1"/>
        </w:rPr>
      </w:pPr>
    </w:p>
    <w:p w14:paraId="0B301040" w14:textId="77777777" w:rsidR="00BE09F0" w:rsidRPr="00FD54EA" w:rsidRDefault="00BE09F0">
      <w:pPr>
        <w:rPr>
          <w:color w:val="000000" w:themeColor="text1"/>
        </w:rPr>
      </w:pPr>
    </w:p>
    <w:p w14:paraId="2F791309" w14:textId="16AC0000" w:rsidR="006A3FE1" w:rsidRDefault="00FD54EA" w:rsidP="0089184C">
      <w:pPr>
        <w:pStyle w:val="Heading2"/>
      </w:pPr>
      <w:bookmarkStart w:id="57" w:name="_gvtrshqk7oe1" w:colFirst="0" w:colLast="0"/>
      <w:bookmarkEnd w:id="57"/>
      <w:r w:rsidRPr="00FD54EA">
        <w:br w:type="page"/>
      </w:r>
      <w:bookmarkStart w:id="58" w:name="_xuadwrcg8x9k" w:colFirst="0" w:colLast="0"/>
      <w:bookmarkStart w:id="59" w:name="_e1ye367vr5qx" w:colFirst="0" w:colLast="0"/>
      <w:bookmarkEnd w:id="58"/>
      <w:bookmarkEnd w:id="59"/>
      <w:r w:rsidR="006A3FE1">
        <w:lastRenderedPageBreak/>
        <w:t>References Supplementary Information</w:t>
      </w:r>
    </w:p>
    <w:p w14:paraId="5F88C190" w14:textId="77777777" w:rsidR="006A3FE1" w:rsidRPr="006A3FE1" w:rsidRDefault="006A3FE1" w:rsidP="006A3FE1"/>
    <w:p w14:paraId="74A17A3D" w14:textId="77777777" w:rsidR="0089184C" w:rsidRPr="0089184C" w:rsidRDefault="0089184C" w:rsidP="0089184C">
      <w:pPr>
        <w:pStyle w:val="Bibliography"/>
      </w:pPr>
      <w:r w:rsidRPr="0089184C">
        <w:t>112.</w:t>
      </w:r>
      <w:r w:rsidRPr="0089184C">
        <w:tab/>
        <w:t xml:space="preserve">Dietrich, J. P., Popp, A. &amp; </w:t>
      </w:r>
      <w:proofErr w:type="spellStart"/>
      <w:r w:rsidRPr="0089184C">
        <w:t>Lotze-Campen</w:t>
      </w:r>
      <w:proofErr w:type="spellEnd"/>
      <w:r w:rsidRPr="0089184C">
        <w:t xml:space="preserve">, H. Reducing the loss of information and gaining accuracy with clustering methods in a global land-use model. </w:t>
      </w:r>
      <w:r w:rsidRPr="0089184C">
        <w:rPr>
          <w:i/>
          <w:iCs/>
        </w:rPr>
        <w:t>Ecol. Model.</w:t>
      </w:r>
      <w:r w:rsidRPr="0089184C">
        <w:t xml:space="preserve"> </w:t>
      </w:r>
      <w:r w:rsidRPr="0089184C">
        <w:rPr>
          <w:b/>
          <w:bCs/>
        </w:rPr>
        <w:t>263</w:t>
      </w:r>
      <w:r w:rsidRPr="0089184C">
        <w:t>, 233–243 (2013).</w:t>
      </w:r>
    </w:p>
    <w:p w14:paraId="71DB607B" w14:textId="77777777" w:rsidR="0089184C" w:rsidRPr="0089184C" w:rsidRDefault="0089184C" w:rsidP="0089184C">
      <w:pPr>
        <w:pStyle w:val="Bibliography"/>
      </w:pPr>
      <w:r w:rsidRPr="0089184C">
        <w:t>113.</w:t>
      </w:r>
      <w:r w:rsidRPr="0089184C">
        <w:tab/>
        <w:t>FAOSTAT. Database collection of the Food and Agriculture Organization of the United Nations. www.fao.org/faostat (2016).</w:t>
      </w:r>
    </w:p>
    <w:p w14:paraId="0811454C" w14:textId="77777777" w:rsidR="0089184C" w:rsidRPr="0089184C" w:rsidRDefault="0089184C" w:rsidP="0089184C">
      <w:pPr>
        <w:pStyle w:val="Bibliography"/>
      </w:pPr>
      <w:r w:rsidRPr="0089184C">
        <w:t>114.</w:t>
      </w:r>
      <w:r w:rsidRPr="0089184C">
        <w:tab/>
        <w:t>IEA. World Energy Balances 2022. https://www.iea.org/data-and-statistics/data-product/world-energy-balances (2022).</w:t>
      </w:r>
    </w:p>
    <w:p w14:paraId="199C3CC5" w14:textId="77777777" w:rsidR="0089184C" w:rsidRPr="0089184C" w:rsidRDefault="0089184C" w:rsidP="0089184C">
      <w:pPr>
        <w:pStyle w:val="Bibliography"/>
      </w:pPr>
      <w:r w:rsidRPr="0089184C">
        <w:t>115.</w:t>
      </w:r>
      <w:r w:rsidRPr="0089184C">
        <w:tab/>
        <w:t xml:space="preserve">Institute for Bioplastics and </w:t>
      </w:r>
      <w:proofErr w:type="spellStart"/>
      <w:r w:rsidRPr="0089184C">
        <w:t>Biocomposites</w:t>
      </w:r>
      <w:proofErr w:type="spellEnd"/>
      <w:r w:rsidRPr="0089184C">
        <w:t xml:space="preserve">. </w:t>
      </w:r>
      <w:r w:rsidRPr="0089184C">
        <w:rPr>
          <w:i/>
          <w:iCs/>
        </w:rPr>
        <w:t>Biopolymers-Facts-Statistics-einseitig-2021.pdf</w:t>
      </w:r>
      <w:r w:rsidRPr="0089184C">
        <w:t>. https://www.ifbb-hannover.de/files/IfBB/downloads/faltblaetter_broschueren/f+s/Biopolymers-Facts-Statistics-einseitig-2021.pdf (2021).</w:t>
      </w:r>
    </w:p>
    <w:p w14:paraId="19D401F9" w14:textId="77777777" w:rsidR="0089184C" w:rsidRPr="0089184C" w:rsidRDefault="0089184C" w:rsidP="0089184C">
      <w:pPr>
        <w:pStyle w:val="Bibliography"/>
      </w:pPr>
      <w:r w:rsidRPr="0089184C">
        <w:t>116.</w:t>
      </w:r>
      <w:r w:rsidRPr="0089184C">
        <w:tab/>
      </w:r>
      <w:proofErr w:type="spellStart"/>
      <w:r w:rsidRPr="0089184C">
        <w:t>Skoczinski</w:t>
      </w:r>
      <w:proofErr w:type="spellEnd"/>
      <w:r w:rsidRPr="0089184C">
        <w:t xml:space="preserve">, P. </w:t>
      </w:r>
      <w:r w:rsidRPr="0089184C">
        <w:rPr>
          <w:i/>
          <w:iCs/>
        </w:rPr>
        <w:t>et al.</w:t>
      </w:r>
      <w:r w:rsidRPr="0089184C">
        <w:t xml:space="preserve"> Bio-Based Building Blocks and Polymers – Global Capacities, Production and Trends 2020 – 2025 (Short Version). (2021).</w:t>
      </w:r>
    </w:p>
    <w:p w14:paraId="755C6DF8" w14:textId="77777777" w:rsidR="0089184C" w:rsidRPr="0089184C" w:rsidRDefault="0089184C" w:rsidP="0089184C">
      <w:pPr>
        <w:pStyle w:val="Bibliography"/>
      </w:pPr>
      <w:r w:rsidRPr="0089184C">
        <w:t>117.</w:t>
      </w:r>
      <w:r w:rsidRPr="0089184C">
        <w:tab/>
      </w:r>
      <w:proofErr w:type="spellStart"/>
      <w:r w:rsidRPr="0089184C">
        <w:t>Sannigrahi</w:t>
      </w:r>
      <w:proofErr w:type="spellEnd"/>
      <w:r w:rsidRPr="0089184C">
        <w:t xml:space="preserve">, P., </w:t>
      </w:r>
      <w:proofErr w:type="spellStart"/>
      <w:r w:rsidRPr="0089184C">
        <w:t>Ragauskas</w:t>
      </w:r>
      <w:proofErr w:type="spellEnd"/>
      <w:r w:rsidRPr="0089184C">
        <w:t xml:space="preserve">, A. J. &amp; </w:t>
      </w:r>
      <w:proofErr w:type="spellStart"/>
      <w:r w:rsidRPr="0089184C">
        <w:t>Tuskan</w:t>
      </w:r>
      <w:proofErr w:type="spellEnd"/>
      <w:r w:rsidRPr="0089184C">
        <w:t xml:space="preserve">, G. A. Poplar as a Feedstock for Biofuels: A Review of Compositional Characteristics. </w:t>
      </w:r>
      <w:r w:rsidRPr="0089184C">
        <w:rPr>
          <w:i/>
          <w:iCs/>
        </w:rPr>
        <w:t xml:space="preserve">Biofuels </w:t>
      </w:r>
      <w:proofErr w:type="spellStart"/>
      <w:r w:rsidRPr="0089184C">
        <w:rPr>
          <w:i/>
          <w:iCs/>
        </w:rPr>
        <w:t>Bioprod</w:t>
      </w:r>
      <w:proofErr w:type="spellEnd"/>
      <w:r w:rsidRPr="0089184C">
        <w:rPr>
          <w:i/>
          <w:iCs/>
        </w:rPr>
        <w:t>. Biorefining</w:t>
      </w:r>
      <w:r w:rsidRPr="0089184C">
        <w:t xml:space="preserve"> </w:t>
      </w:r>
      <w:r w:rsidRPr="0089184C">
        <w:rPr>
          <w:b/>
          <w:bCs/>
        </w:rPr>
        <w:t>4</w:t>
      </w:r>
      <w:r w:rsidRPr="0089184C">
        <w:t>, 209–226 (2010).</w:t>
      </w:r>
    </w:p>
    <w:p w14:paraId="75F3ABFE" w14:textId="77777777" w:rsidR="0089184C" w:rsidRPr="0089184C" w:rsidRDefault="0089184C" w:rsidP="0089184C">
      <w:pPr>
        <w:pStyle w:val="Bibliography"/>
      </w:pPr>
      <w:r w:rsidRPr="0089184C">
        <w:t>118.</w:t>
      </w:r>
      <w:r w:rsidRPr="0089184C">
        <w:tab/>
      </w:r>
      <w:proofErr w:type="spellStart"/>
      <w:r w:rsidRPr="0089184C">
        <w:t>Amarasekara</w:t>
      </w:r>
      <w:proofErr w:type="spellEnd"/>
      <w:r w:rsidRPr="0089184C">
        <w:t xml:space="preserve">, A. S. </w:t>
      </w:r>
      <w:r w:rsidRPr="0089184C">
        <w:rPr>
          <w:i/>
          <w:iCs/>
        </w:rPr>
        <w:t>Handbook of Cellulosic Ethanol</w:t>
      </w:r>
      <w:r w:rsidRPr="0089184C">
        <w:t>. (John Wiley &amp; Sons, 2013).</w:t>
      </w:r>
    </w:p>
    <w:p w14:paraId="201A1481" w14:textId="77777777" w:rsidR="0089184C" w:rsidRPr="0089184C" w:rsidRDefault="0089184C" w:rsidP="0089184C">
      <w:pPr>
        <w:pStyle w:val="Bibliography"/>
      </w:pPr>
      <w:r w:rsidRPr="0089184C">
        <w:t>119.</w:t>
      </w:r>
      <w:r w:rsidRPr="0089184C">
        <w:tab/>
        <w:t xml:space="preserve">Ribeiro, R. A., </w:t>
      </w:r>
      <w:proofErr w:type="spellStart"/>
      <w:r w:rsidRPr="0089184C">
        <w:t>Colodette</w:t>
      </w:r>
      <w:proofErr w:type="spellEnd"/>
      <w:r w:rsidRPr="0089184C">
        <w:t xml:space="preserve">, J. L. &amp; Júnior, S. V. Effect of residual effective alkali on eucalyptus </w:t>
      </w:r>
      <w:proofErr w:type="spellStart"/>
      <w:r w:rsidRPr="0089184C">
        <w:t>kraft</w:t>
      </w:r>
      <w:proofErr w:type="spellEnd"/>
      <w:r w:rsidRPr="0089184C">
        <w:t xml:space="preserve"> pulp yield and chemistry. </w:t>
      </w:r>
      <w:r w:rsidRPr="0089184C">
        <w:rPr>
          <w:i/>
          <w:iCs/>
        </w:rPr>
        <w:t>CERNE</w:t>
      </w:r>
      <w:r w:rsidRPr="0089184C">
        <w:t xml:space="preserve"> </w:t>
      </w:r>
      <w:r w:rsidRPr="0089184C">
        <w:rPr>
          <w:b/>
          <w:bCs/>
        </w:rPr>
        <w:t>24</w:t>
      </w:r>
      <w:r w:rsidRPr="0089184C">
        <w:t>, 408–419 (2018).</w:t>
      </w:r>
    </w:p>
    <w:p w14:paraId="23915BA0" w14:textId="77777777" w:rsidR="0089184C" w:rsidRPr="0089184C" w:rsidRDefault="0089184C" w:rsidP="0089184C">
      <w:pPr>
        <w:pStyle w:val="Bibliography"/>
      </w:pPr>
      <w:r w:rsidRPr="0089184C">
        <w:t>120.</w:t>
      </w:r>
      <w:r w:rsidRPr="0089184C">
        <w:tab/>
        <w:t xml:space="preserve">OECD. </w:t>
      </w:r>
      <w:r w:rsidRPr="0089184C">
        <w:rPr>
          <w:i/>
          <w:iCs/>
        </w:rPr>
        <w:t>Global Plastics Outlook: Policy Scenarios to 2060</w:t>
      </w:r>
      <w:r w:rsidRPr="0089184C">
        <w:t>. (</w:t>
      </w:r>
      <w:proofErr w:type="spellStart"/>
      <w:r w:rsidRPr="0089184C">
        <w:t>Organisation</w:t>
      </w:r>
      <w:proofErr w:type="spellEnd"/>
      <w:r w:rsidRPr="0089184C">
        <w:t xml:space="preserve"> for Economic Co-operation and Development, 2022).</w:t>
      </w:r>
    </w:p>
    <w:p w14:paraId="1A74DCE6" w14:textId="77777777" w:rsidR="0089184C" w:rsidRPr="0089184C" w:rsidRDefault="0089184C" w:rsidP="0089184C">
      <w:pPr>
        <w:pStyle w:val="Bibliography"/>
      </w:pPr>
      <w:r w:rsidRPr="0089184C">
        <w:t>121.</w:t>
      </w:r>
      <w:r w:rsidRPr="0089184C">
        <w:tab/>
      </w:r>
      <w:proofErr w:type="spellStart"/>
      <w:r w:rsidRPr="0089184C">
        <w:t>Wirsenius</w:t>
      </w:r>
      <w:proofErr w:type="spellEnd"/>
      <w:r w:rsidRPr="0089184C">
        <w:t xml:space="preserve">, S. </w:t>
      </w:r>
      <w:r w:rsidRPr="0089184C">
        <w:rPr>
          <w:i/>
          <w:iCs/>
        </w:rPr>
        <w:t>Human Use of Land and Organic Materials</w:t>
      </w:r>
      <w:r w:rsidRPr="0089184C">
        <w:t xml:space="preserve">. (Chalmers University of Technology and </w:t>
      </w:r>
      <w:proofErr w:type="spellStart"/>
      <w:r w:rsidRPr="0089184C">
        <w:t>Gäteborg</w:t>
      </w:r>
      <w:proofErr w:type="spellEnd"/>
      <w:r w:rsidRPr="0089184C">
        <w:t xml:space="preserve"> University, 2000).</w:t>
      </w:r>
    </w:p>
    <w:p w14:paraId="104B19E2" w14:textId="77777777" w:rsidR="0089184C" w:rsidRPr="0089184C" w:rsidRDefault="0089184C" w:rsidP="0089184C">
      <w:pPr>
        <w:pStyle w:val="Bibliography"/>
      </w:pPr>
      <w:r w:rsidRPr="0089184C">
        <w:t>122.</w:t>
      </w:r>
      <w:r w:rsidRPr="0089184C">
        <w:tab/>
      </w:r>
      <w:r w:rsidRPr="0089184C">
        <w:rPr>
          <w:i/>
          <w:iCs/>
        </w:rPr>
        <w:t>Global Trade, Assistance, and Production: The GTAP 7 Data Base</w:t>
      </w:r>
      <w:r w:rsidRPr="0089184C">
        <w:t>. (2008).</w:t>
      </w:r>
    </w:p>
    <w:p w14:paraId="2C2C9AAA" w14:textId="77777777" w:rsidR="0089184C" w:rsidRPr="0089184C" w:rsidRDefault="0089184C" w:rsidP="0089184C">
      <w:pPr>
        <w:pStyle w:val="Bibliography"/>
      </w:pPr>
      <w:r w:rsidRPr="0089184C">
        <w:lastRenderedPageBreak/>
        <w:t>123.</w:t>
      </w:r>
      <w:r w:rsidRPr="0089184C">
        <w:tab/>
      </w:r>
      <w:proofErr w:type="spellStart"/>
      <w:r w:rsidRPr="0089184C">
        <w:t>Fuglie</w:t>
      </w:r>
      <w:proofErr w:type="spellEnd"/>
      <w:r w:rsidRPr="0089184C">
        <w:t xml:space="preserve">, K. Accounting for growth in global agriculture. </w:t>
      </w:r>
      <w:r w:rsidRPr="0089184C">
        <w:rPr>
          <w:i/>
          <w:iCs/>
        </w:rPr>
        <w:t>Bio-Based Appl. Econ.</w:t>
      </w:r>
      <w:r w:rsidRPr="0089184C">
        <w:t xml:space="preserve"> </w:t>
      </w:r>
      <w:r w:rsidRPr="0089184C">
        <w:rPr>
          <w:b/>
          <w:bCs/>
        </w:rPr>
        <w:t>Vol 4 No 3</w:t>
      </w:r>
      <w:r w:rsidRPr="0089184C">
        <w:t>, 201-234 Pages (2015).</w:t>
      </w:r>
    </w:p>
    <w:p w14:paraId="46364200" w14:textId="77777777" w:rsidR="0089184C" w:rsidRPr="0089184C" w:rsidRDefault="0089184C" w:rsidP="0089184C">
      <w:pPr>
        <w:pStyle w:val="Bibliography"/>
      </w:pPr>
      <w:r w:rsidRPr="0089184C">
        <w:t>124.</w:t>
      </w:r>
      <w:r w:rsidRPr="0089184C">
        <w:tab/>
        <w:t>USDA. International Agricultural Productivity -- Machine-Readable and Long Format File of TFP Indices and Components for Countries, Regions, Countries Grouped by Income Level, and the World, 1961–2016. https://www.ers.usda.gov/data-products/international-agricultural-productivity/ (2021).</w:t>
      </w:r>
    </w:p>
    <w:p w14:paraId="2A8ED677" w14:textId="77777777" w:rsidR="0089184C" w:rsidRPr="0089184C" w:rsidRDefault="0089184C" w:rsidP="0089184C">
      <w:pPr>
        <w:pStyle w:val="Bibliography"/>
      </w:pPr>
      <w:r w:rsidRPr="0089184C">
        <w:t>125.</w:t>
      </w:r>
      <w:r w:rsidRPr="0089184C">
        <w:tab/>
        <w:t xml:space="preserve">International </w:t>
      </w:r>
      <w:proofErr w:type="spellStart"/>
      <w:r w:rsidRPr="0089184C">
        <w:t>Labour</w:t>
      </w:r>
      <w:proofErr w:type="spellEnd"/>
      <w:r w:rsidRPr="0089184C">
        <w:t xml:space="preserve"> Organization. ILOSTAT. </w:t>
      </w:r>
      <w:r w:rsidRPr="0089184C">
        <w:rPr>
          <w:i/>
          <w:iCs/>
        </w:rPr>
        <w:t>ILOSTAT</w:t>
      </w:r>
      <w:r w:rsidRPr="0089184C">
        <w:t xml:space="preserve"> https://ilostat.ilo.org/data/ (2021).</w:t>
      </w:r>
    </w:p>
    <w:p w14:paraId="44C64C40" w14:textId="77777777" w:rsidR="0089184C" w:rsidRPr="0089184C" w:rsidRDefault="0089184C" w:rsidP="0089184C">
      <w:pPr>
        <w:pStyle w:val="Bibliography"/>
      </w:pPr>
      <w:r w:rsidRPr="0089184C">
        <w:t>126.</w:t>
      </w:r>
      <w:r w:rsidRPr="0089184C">
        <w:tab/>
      </w:r>
      <w:proofErr w:type="spellStart"/>
      <w:r w:rsidRPr="0089184C">
        <w:t>Rockström</w:t>
      </w:r>
      <w:proofErr w:type="spellEnd"/>
      <w:r w:rsidRPr="0089184C">
        <w:t xml:space="preserve">, J. </w:t>
      </w:r>
      <w:r w:rsidRPr="0089184C">
        <w:rPr>
          <w:i/>
          <w:iCs/>
        </w:rPr>
        <w:t>et al.</w:t>
      </w:r>
      <w:r w:rsidRPr="0089184C">
        <w:t xml:space="preserve"> A safe operating space for humanity. </w:t>
      </w:r>
      <w:r w:rsidRPr="0089184C">
        <w:rPr>
          <w:i/>
          <w:iCs/>
        </w:rPr>
        <w:t>Nature</w:t>
      </w:r>
      <w:r w:rsidRPr="0089184C">
        <w:t xml:space="preserve"> </w:t>
      </w:r>
      <w:r w:rsidRPr="0089184C">
        <w:rPr>
          <w:b/>
          <w:bCs/>
        </w:rPr>
        <w:t>461</w:t>
      </w:r>
      <w:r w:rsidRPr="0089184C">
        <w:t>, 472--475 (2009).</w:t>
      </w:r>
    </w:p>
    <w:p w14:paraId="066815DC" w14:textId="77777777" w:rsidR="0089184C" w:rsidRPr="0089184C" w:rsidRDefault="0089184C" w:rsidP="0089184C">
      <w:pPr>
        <w:pStyle w:val="Bibliography"/>
      </w:pPr>
      <w:r w:rsidRPr="0089184C">
        <w:t>127.</w:t>
      </w:r>
      <w:r w:rsidRPr="0089184C">
        <w:tab/>
        <w:t xml:space="preserve">de Vries, W., </w:t>
      </w:r>
      <w:proofErr w:type="spellStart"/>
      <w:r w:rsidRPr="0089184C">
        <w:t>Kros</w:t>
      </w:r>
      <w:proofErr w:type="spellEnd"/>
      <w:r w:rsidRPr="0089184C">
        <w:t xml:space="preserve">, J., </w:t>
      </w:r>
      <w:proofErr w:type="spellStart"/>
      <w:r w:rsidRPr="0089184C">
        <w:t>Kroeze</w:t>
      </w:r>
      <w:proofErr w:type="spellEnd"/>
      <w:r w:rsidRPr="0089184C">
        <w:t xml:space="preserve">, C. &amp; </w:t>
      </w:r>
      <w:proofErr w:type="spellStart"/>
      <w:r w:rsidRPr="0089184C">
        <w:t>Seitzinger</w:t>
      </w:r>
      <w:proofErr w:type="spellEnd"/>
      <w:r w:rsidRPr="0089184C">
        <w:t xml:space="preserve">, S. P. Assessing planetary and regional nitrogen boundaries related to food security and adverse environmental impacts. </w:t>
      </w:r>
      <w:proofErr w:type="spellStart"/>
      <w:r w:rsidRPr="0089184C">
        <w:rPr>
          <w:i/>
          <w:iCs/>
        </w:rPr>
        <w:t>Curr</w:t>
      </w:r>
      <w:proofErr w:type="spellEnd"/>
      <w:r w:rsidRPr="0089184C">
        <w:rPr>
          <w:i/>
          <w:iCs/>
        </w:rPr>
        <w:t xml:space="preserve">. </w:t>
      </w:r>
      <w:proofErr w:type="spellStart"/>
      <w:r w:rsidRPr="0089184C">
        <w:rPr>
          <w:i/>
          <w:iCs/>
        </w:rPr>
        <w:t>Opin</w:t>
      </w:r>
      <w:proofErr w:type="spellEnd"/>
      <w:r w:rsidRPr="0089184C">
        <w:rPr>
          <w:i/>
          <w:iCs/>
        </w:rPr>
        <w:t>. Environ. Sustain.</w:t>
      </w:r>
      <w:r w:rsidRPr="0089184C">
        <w:t xml:space="preserve"> </w:t>
      </w:r>
      <w:r w:rsidRPr="0089184C">
        <w:rPr>
          <w:b/>
          <w:bCs/>
        </w:rPr>
        <w:t>5</w:t>
      </w:r>
      <w:r w:rsidRPr="0089184C">
        <w:t>, 392–402 (2013).</w:t>
      </w:r>
    </w:p>
    <w:p w14:paraId="621B4DE5" w14:textId="77777777" w:rsidR="0089184C" w:rsidRPr="0089184C" w:rsidRDefault="0089184C" w:rsidP="0089184C">
      <w:pPr>
        <w:pStyle w:val="Bibliography"/>
      </w:pPr>
      <w:r w:rsidRPr="0089184C">
        <w:t>128.</w:t>
      </w:r>
      <w:r w:rsidRPr="0089184C">
        <w:tab/>
      </w:r>
      <w:proofErr w:type="spellStart"/>
      <w:r w:rsidRPr="0089184C">
        <w:t>Klasen</w:t>
      </w:r>
      <w:proofErr w:type="spellEnd"/>
      <w:r w:rsidRPr="0089184C">
        <w:t xml:space="preserve">, S. </w:t>
      </w:r>
      <w:r w:rsidRPr="0089184C">
        <w:rPr>
          <w:i/>
          <w:iCs/>
        </w:rPr>
        <w:t>et al.</w:t>
      </w:r>
      <w:r w:rsidRPr="0089184C">
        <w:t xml:space="preserve"> Economic and ecological trade-offs of agricultural specialization at different spatial scales. </w:t>
      </w:r>
      <w:r w:rsidRPr="0089184C">
        <w:rPr>
          <w:i/>
          <w:iCs/>
        </w:rPr>
        <w:t>Ecol. Econ.</w:t>
      </w:r>
      <w:r w:rsidRPr="0089184C">
        <w:t xml:space="preserve"> </w:t>
      </w:r>
      <w:r w:rsidRPr="0089184C">
        <w:rPr>
          <w:b/>
          <w:bCs/>
        </w:rPr>
        <w:t>122</w:t>
      </w:r>
      <w:r w:rsidRPr="0089184C">
        <w:t>, 111–120 (2016).</w:t>
      </w:r>
    </w:p>
    <w:p w14:paraId="4C883424" w14:textId="77777777" w:rsidR="0089184C" w:rsidRPr="0089184C" w:rsidRDefault="0089184C" w:rsidP="0089184C">
      <w:pPr>
        <w:pStyle w:val="Bibliography"/>
      </w:pPr>
      <w:r w:rsidRPr="0089184C">
        <w:t>129.</w:t>
      </w:r>
      <w:r w:rsidRPr="0089184C">
        <w:tab/>
        <w:t xml:space="preserve">Seifert, C. A., Roberts, M. J. &amp; Lobell, D. B. Continuous Corn and Soybean Yield Penalties across Hundreds of Thousands of Fields. </w:t>
      </w:r>
      <w:proofErr w:type="spellStart"/>
      <w:r w:rsidRPr="0089184C">
        <w:rPr>
          <w:i/>
          <w:iCs/>
        </w:rPr>
        <w:t>Agron</w:t>
      </w:r>
      <w:proofErr w:type="spellEnd"/>
      <w:r w:rsidRPr="0089184C">
        <w:rPr>
          <w:i/>
          <w:iCs/>
        </w:rPr>
        <w:t>. J.</w:t>
      </w:r>
      <w:r w:rsidRPr="0089184C">
        <w:t xml:space="preserve"> </w:t>
      </w:r>
      <w:r w:rsidRPr="0089184C">
        <w:rPr>
          <w:b/>
          <w:bCs/>
        </w:rPr>
        <w:t>109</w:t>
      </w:r>
      <w:r w:rsidRPr="0089184C">
        <w:t>, 541–548 (2017).</w:t>
      </w:r>
    </w:p>
    <w:p w14:paraId="20451CC6" w14:textId="77777777" w:rsidR="0089184C" w:rsidRPr="0089184C" w:rsidRDefault="0089184C" w:rsidP="0089184C">
      <w:pPr>
        <w:pStyle w:val="Bibliography"/>
      </w:pPr>
      <w:r w:rsidRPr="0089184C">
        <w:t>130.</w:t>
      </w:r>
      <w:r w:rsidRPr="0089184C">
        <w:tab/>
      </w:r>
      <w:proofErr w:type="spellStart"/>
      <w:r w:rsidRPr="0089184C">
        <w:t>Landwirtschaftskammer</w:t>
      </w:r>
      <w:proofErr w:type="spellEnd"/>
      <w:r w:rsidRPr="0089184C">
        <w:t xml:space="preserve"> NRW. </w:t>
      </w:r>
      <w:proofErr w:type="spellStart"/>
      <w:r w:rsidRPr="0089184C">
        <w:t>Maximale</w:t>
      </w:r>
      <w:proofErr w:type="spellEnd"/>
      <w:r w:rsidRPr="0089184C">
        <w:t xml:space="preserve"> </w:t>
      </w:r>
      <w:proofErr w:type="spellStart"/>
      <w:r w:rsidRPr="0089184C">
        <w:t>Anbaukonzentration</w:t>
      </w:r>
      <w:proofErr w:type="spellEnd"/>
      <w:r w:rsidRPr="0089184C">
        <w:t xml:space="preserve"> von </w:t>
      </w:r>
      <w:proofErr w:type="spellStart"/>
      <w:r w:rsidRPr="0089184C">
        <w:t>Feldfruchtarten</w:t>
      </w:r>
      <w:proofErr w:type="spellEnd"/>
      <w:r w:rsidRPr="0089184C">
        <w:t xml:space="preserve"> </w:t>
      </w:r>
      <w:proofErr w:type="spellStart"/>
      <w:r w:rsidRPr="0089184C">
        <w:t>bzw</w:t>
      </w:r>
      <w:proofErr w:type="spellEnd"/>
      <w:r w:rsidRPr="0089184C">
        <w:t>. -</w:t>
      </w:r>
      <w:proofErr w:type="spellStart"/>
      <w:r w:rsidRPr="0089184C">
        <w:t>gruppen</w:t>
      </w:r>
      <w:proofErr w:type="spellEnd"/>
      <w:r w:rsidRPr="0089184C">
        <w:t xml:space="preserve">, </w:t>
      </w:r>
      <w:proofErr w:type="spellStart"/>
      <w:r w:rsidRPr="0089184C">
        <w:t>nach</w:t>
      </w:r>
      <w:proofErr w:type="spellEnd"/>
      <w:r w:rsidRPr="0089184C">
        <w:t xml:space="preserve"> </w:t>
      </w:r>
      <w:proofErr w:type="spellStart"/>
      <w:r w:rsidRPr="0089184C">
        <w:t>Zielen</w:t>
      </w:r>
      <w:proofErr w:type="spellEnd"/>
      <w:r w:rsidRPr="0089184C">
        <w:t xml:space="preserve"> der </w:t>
      </w:r>
      <w:proofErr w:type="spellStart"/>
      <w:r w:rsidRPr="0089184C">
        <w:t>nachhaltigen</w:t>
      </w:r>
      <w:proofErr w:type="spellEnd"/>
      <w:r w:rsidRPr="0089184C">
        <w:t xml:space="preserve"> </w:t>
      </w:r>
      <w:proofErr w:type="spellStart"/>
      <w:r w:rsidRPr="0089184C">
        <w:t>Pflanzenproduktion</w:t>
      </w:r>
      <w:proofErr w:type="spellEnd"/>
      <w:r w:rsidRPr="0089184C">
        <w:t xml:space="preserve"> in %. (</w:t>
      </w:r>
      <w:proofErr w:type="spellStart"/>
      <w:r w:rsidRPr="0089184C">
        <w:t>nach</w:t>
      </w:r>
      <w:proofErr w:type="spellEnd"/>
      <w:r w:rsidRPr="0089184C">
        <w:t xml:space="preserve"> </w:t>
      </w:r>
      <w:proofErr w:type="spellStart"/>
      <w:r w:rsidRPr="0089184C">
        <w:t>Baeumer</w:t>
      </w:r>
      <w:proofErr w:type="spellEnd"/>
      <w:r w:rsidRPr="0089184C">
        <w:t xml:space="preserve"> 1990). (2015).</w:t>
      </w:r>
    </w:p>
    <w:p w14:paraId="166DADA7" w14:textId="77777777" w:rsidR="0089184C" w:rsidRPr="0089184C" w:rsidRDefault="0089184C" w:rsidP="0089184C">
      <w:pPr>
        <w:pStyle w:val="Bibliography"/>
      </w:pPr>
      <w:r w:rsidRPr="0089184C">
        <w:t>131.</w:t>
      </w:r>
      <w:r w:rsidRPr="0089184C">
        <w:tab/>
      </w:r>
      <w:proofErr w:type="spellStart"/>
      <w:r w:rsidRPr="0089184C">
        <w:t>Schönhart</w:t>
      </w:r>
      <w:proofErr w:type="spellEnd"/>
      <w:r w:rsidRPr="0089184C">
        <w:t xml:space="preserve">, M., Schmid, E. &amp; Schneider, U. A. </w:t>
      </w:r>
      <w:proofErr w:type="spellStart"/>
      <w:r w:rsidRPr="0089184C">
        <w:t>CropRota</w:t>
      </w:r>
      <w:proofErr w:type="spellEnd"/>
      <w:r w:rsidRPr="0089184C">
        <w:t xml:space="preserve"> – A crop rotation model to support integrated land use assessments. </w:t>
      </w:r>
      <w:r w:rsidRPr="0089184C">
        <w:rPr>
          <w:i/>
          <w:iCs/>
        </w:rPr>
        <w:t xml:space="preserve">Eur. J. </w:t>
      </w:r>
      <w:proofErr w:type="spellStart"/>
      <w:r w:rsidRPr="0089184C">
        <w:rPr>
          <w:i/>
          <w:iCs/>
        </w:rPr>
        <w:t>Agron</w:t>
      </w:r>
      <w:proofErr w:type="spellEnd"/>
      <w:r w:rsidRPr="0089184C">
        <w:rPr>
          <w:i/>
          <w:iCs/>
        </w:rPr>
        <w:t>.</w:t>
      </w:r>
      <w:r w:rsidRPr="0089184C">
        <w:t xml:space="preserve"> </w:t>
      </w:r>
      <w:r w:rsidRPr="0089184C">
        <w:rPr>
          <w:b/>
          <w:bCs/>
        </w:rPr>
        <w:t>34</w:t>
      </w:r>
      <w:r w:rsidRPr="0089184C">
        <w:t>, 263–277 (2011).</w:t>
      </w:r>
    </w:p>
    <w:p w14:paraId="08AB8B5B" w14:textId="77777777" w:rsidR="0089184C" w:rsidRPr="0089184C" w:rsidRDefault="0089184C" w:rsidP="0089184C">
      <w:pPr>
        <w:pStyle w:val="Bibliography"/>
      </w:pPr>
      <w:r w:rsidRPr="0089184C">
        <w:t>132.</w:t>
      </w:r>
      <w:r w:rsidRPr="0089184C">
        <w:tab/>
        <w:t xml:space="preserve">Alfredo B. </w:t>
      </w:r>
      <w:proofErr w:type="spellStart"/>
      <w:r w:rsidRPr="0089184C">
        <w:t>Escasinas</w:t>
      </w:r>
      <w:proofErr w:type="spellEnd"/>
      <w:r w:rsidRPr="0089184C">
        <w:t xml:space="preserve"> and Rodolfo G. </w:t>
      </w:r>
      <w:proofErr w:type="spellStart"/>
      <w:r w:rsidRPr="0089184C">
        <w:t>Escalada</w:t>
      </w:r>
      <w:proofErr w:type="spellEnd"/>
      <w:r w:rsidRPr="0089184C">
        <w:t xml:space="preserve">. Crop Rotation of Sweet Potato, Cassava, and Gabi with Legumes as a Cultural Management System. </w:t>
      </w:r>
      <w:r w:rsidRPr="0089184C">
        <w:rPr>
          <w:i/>
          <w:iCs/>
        </w:rPr>
        <w:t>Ann. Trop. Res.</w:t>
      </w:r>
      <w:r w:rsidRPr="0089184C">
        <w:t xml:space="preserve"> </w:t>
      </w:r>
      <w:r w:rsidRPr="0089184C">
        <w:rPr>
          <w:b/>
          <w:bCs/>
        </w:rPr>
        <w:t>6</w:t>
      </w:r>
      <w:r w:rsidRPr="0089184C">
        <w:t>, (1984).</w:t>
      </w:r>
    </w:p>
    <w:p w14:paraId="380DD190" w14:textId="77777777" w:rsidR="0089184C" w:rsidRPr="0089184C" w:rsidRDefault="0089184C" w:rsidP="0089184C">
      <w:pPr>
        <w:pStyle w:val="Bibliography"/>
      </w:pPr>
      <w:r w:rsidRPr="0089184C">
        <w:t>133.</w:t>
      </w:r>
      <w:r w:rsidRPr="0089184C">
        <w:tab/>
        <w:t xml:space="preserve">IPCC. </w:t>
      </w:r>
      <w:r w:rsidRPr="0089184C">
        <w:rPr>
          <w:i/>
          <w:iCs/>
        </w:rPr>
        <w:t>2019 Refinement to the 2006 IPCC Guidelines for National Greenhouse Gas Inventories</w:t>
      </w:r>
      <w:r w:rsidRPr="0089184C">
        <w:t>. https://www.ipcc.ch/report/2019-refinement-to-the-2006-ipcc-guidelines-for-national-greenhouse-gas-inventories/ (2019).</w:t>
      </w:r>
    </w:p>
    <w:p w14:paraId="052D614D" w14:textId="77777777" w:rsidR="0089184C" w:rsidRPr="0089184C" w:rsidRDefault="0089184C" w:rsidP="0089184C">
      <w:pPr>
        <w:pStyle w:val="Bibliography"/>
      </w:pPr>
      <w:r w:rsidRPr="0089184C">
        <w:lastRenderedPageBreak/>
        <w:t>134.</w:t>
      </w:r>
      <w:r w:rsidRPr="0089184C">
        <w:tab/>
        <w:t xml:space="preserve">Scholes, R. J. &amp; Biggs, R. A biodiversity intactness index. </w:t>
      </w:r>
      <w:r w:rsidRPr="0089184C">
        <w:rPr>
          <w:i/>
          <w:iCs/>
        </w:rPr>
        <w:t>Nature</w:t>
      </w:r>
      <w:r w:rsidRPr="0089184C">
        <w:t xml:space="preserve"> </w:t>
      </w:r>
      <w:r w:rsidRPr="0089184C">
        <w:rPr>
          <w:b/>
          <w:bCs/>
        </w:rPr>
        <w:t>434</w:t>
      </w:r>
      <w:r w:rsidRPr="0089184C">
        <w:t>, 45–49 (2005).</w:t>
      </w:r>
    </w:p>
    <w:p w14:paraId="38FA6E3C" w14:textId="77777777" w:rsidR="0089184C" w:rsidRPr="0089184C" w:rsidRDefault="0089184C" w:rsidP="0089184C">
      <w:pPr>
        <w:pStyle w:val="Bibliography"/>
      </w:pPr>
      <w:r w:rsidRPr="0089184C">
        <w:t>135.</w:t>
      </w:r>
      <w:r w:rsidRPr="0089184C">
        <w:tab/>
        <w:t xml:space="preserve">Purvis, A. </w:t>
      </w:r>
      <w:r w:rsidRPr="0089184C">
        <w:rPr>
          <w:i/>
          <w:iCs/>
        </w:rPr>
        <w:t>et al.</w:t>
      </w:r>
      <w:r w:rsidRPr="0089184C">
        <w:t xml:space="preserve"> Chapter Five - Modelling and Projecting the Response of Local Terrestrial Biodiversity Worldwide to Land Use and Related Pressures: The PREDICTS Project. in </w:t>
      </w:r>
      <w:r w:rsidRPr="0089184C">
        <w:rPr>
          <w:i/>
          <w:iCs/>
        </w:rPr>
        <w:t>Advances in Ecological Research</w:t>
      </w:r>
      <w:r w:rsidRPr="0089184C">
        <w:t xml:space="preserve"> (eds. </w:t>
      </w:r>
      <w:proofErr w:type="spellStart"/>
      <w:r w:rsidRPr="0089184C">
        <w:t>Bohan</w:t>
      </w:r>
      <w:proofErr w:type="spellEnd"/>
      <w:r w:rsidRPr="0089184C">
        <w:t xml:space="preserve">, D. A., </w:t>
      </w:r>
      <w:proofErr w:type="spellStart"/>
      <w:r w:rsidRPr="0089184C">
        <w:t>Dumbrell</w:t>
      </w:r>
      <w:proofErr w:type="spellEnd"/>
      <w:r w:rsidRPr="0089184C">
        <w:t>, A. J., Woodward, G. &amp; Jackson, M.) vol. 58 201–241 (Academic Press, 2018).</w:t>
      </w:r>
    </w:p>
    <w:p w14:paraId="7A63D487" w14:textId="77777777" w:rsidR="0089184C" w:rsidRPr="0089184C" w:rsidRDefault="0089184C" w:rsidP="0089184C">
      <w:pPr>
        <w:pStyle w:val="Bibliography"/>
      </w:pPr>
      <w:r w:rsidRPr="0089184C">
        <w:t>136.</w:t>
      </w:r>
      <w:r w:rsidRPr="0089184C">
        <w:tab/>
      </w:r>
      <w:proofErr w:type="spellStart"/>
      <w:r w:rsidRPr="0089184C">
        <w:t>Jeetze</w:t>
      </w:r>
      <w:proofErr w:type="spellEnd"/>
      <w:r w:rsidRPr="0089184C">
        <w:t xml:space="preserve">, P. von </w:t>
      </w:r>
      <w:r w:rsidRPr="0089184C">
        <w:rPr>
          <w:i/>
          <w:iCs/>
        </w:rPr>
        <w:t>et al.</w:t>
      </w:r>
      <w:r w:rsidRPr="0089184C">
        <w:t xml:space="preserve"> </w:t>
      </w:r>
      <w:r w:rsidRPr="0089184C">
        <w:rPr>
          <w:i/>
          <w:iCs/>
        </w:rPr>
        <w:t>Landscape-scale repercussions of global action for climate and biodiversity protection</w:t>
      </w:r>
      <w:r w:rsidRPr="0089184C">
        <w:t>. https://www.researchsquare.com/article/rs-1478082/v1 (2022) doi:10.21203/rs.3.rs-1478082/v1.</w:t>
      </w:r>
    </w:p>
    <w:p w14:paraId="62DD2BFD" w14:textId="77777777" w:rsidR="0089184C" w:rsidRPr="0089184C" w:rsidRDefault="0089184C" w:rsidP="0089184C">
      <w:pPr>
        <w:pStyle w:val="Bibliography"/>
      </w:pPr>
      <w:r w:rsidRPr="0089184C">
        <w:t>137.</w:t>
      </w:r>
      <w:r w:rsidRPr="0089184C">
        <w:tab/>
        <w:t xml:space="preserve">Garibaldi, L. A. </w:t>
      </w:r>
      <w:r w:rsidRPr="0089184C">
        <w:rPr>
          <w:i/>
          <w:iCs/>
        </w:rPr>
        <w:t>et al.</w:t>
      </w:r>
      <w:r w:rsidRPr="0089184C">
        <w:t xml:space="preserve"> Working landscapes need at least 20% native habitat. </w:t>
      </w:r>
      <w:proofErr w:type="spellStart"/>
      <w:r w:rsidRPr="0089184C">
        <w:rPr>
          <w:i/>
          <w:iCs/>
        </w:rPr>
        <w:t>Conserv</w:t>
      </w:r>
      <w:proofErr w:type="spellEnd"/>
      <w:r w:rsidRPr="0089184C">
        <w:rPr>
          <w:i/>
          <w:iCs/>
        </w:rPr>
        <w:t>. Lett.</w:t>
      </w:r>
      <w:r w:rsidRPr="0089184C">
        <w:t xml:space="preserve"> </w:t>
      </w:r>
      <w:r w:rsidRPr="0089184C">
        <w:rPr>
          <w:b/>
          <w:bCs/>
        </w:rPr>
        <w:t>14</w:t>
      </w:r>
      <w:r w:rsidRPr="0089184C">
        <w:t>, e12773 (2021).</w:t>
      </w:r>
    </w:p>
    <w:p w14:paraId="59ED66F2" w14:textId="77777777" w:rsidR="0089184C" w:rsidRPr="0089184C" w:rsidRDefault="0089184C" w:rsidP="0089184C">
      <w:pPr>
        <w:pStyle w:val="Bibliography"/>
      </w:pPr>
      <w:r w:rsidRPr="0089184C">
        <w:t>138.</w:t>
      </w:r>
      <w:r w:rsidRPr="0089184C">
        <w:tab/>
        <w:t xml:space="preserve">Olson, D. M. </w:t>
      </w:r>
      <w:r w:rsidRPr="0089184C">
        <w:rPr>
          <w:i/>
          <w:iCs/>
        </w:rPr>
        <w:t>et al.</w:t>
      </w:r>
      <w:r w:rsidRPr="0089184C">
        <w:t xml:space="preserve"> Terrestrial Ecoregions of the World: A New Map of Life on Earth: A new global map of terrestrial ecoregions provides an innovative tool for conserving biodiversity. </w:t>
      </w:r>
      <w:proofErr w:type="spellStart"/>
      <w:r w:rsidRPr="0089184C">
        <w:rPr>
          <w:i/>
          <w:iCs/>
        </w:rPr>
        <w:t>BioScience</w:t>
      </w:r>
      <w:proofErr w:type="spellEnd"/>
      <w:r w:rsidRPr="0089184C">
        <w:t xml:space="preserve"> </w:t>
      </w:r>
      <w:r w:rsidRPr="0089184C">
        <w:rPr>
          <w:b/>
          <w:bCs/>
        </w:rPr>
        <w:t>51</w:t>
      </w:r>
      <w:r w:rsidRPr="0089184C">
        <w:t>, 933–938 (2001).</w:t>
      </w:r>
    </w:p>
    <w:p w14:paraId="03932A2F" w14:textId="77777777" w:rsidR="0089184C" w:rsidRPr="0089184C" w:rsidRDefault="0089184C" w:rsidP="0089184C">
      <w:pPr>
        <w:pStyle w:val="Bibliography"/>
      </w:pPr>
      <w:r w:rsidRPr="0089184C">
        <w:t>139.</w:t>
      </w:r>
      <w:r w:rsidRPr="0089184C">
        <w:tab/>
        <w:t xml:space="preserve">McDuffie, E. E. </w:t>
      </w:r>
      <w:r w:rsidRPr="0089184C">
        <w:rPr>
          <w:i/>
          <w:iCs/>
        </w:rPr>
        <w:t>et al.</w:t>
      </w:r>
      <w:r w:rsidRPr="0089184C">
        <w:t xml:space="preserve"> </w:t>
      </w:r>
      <w:r w:rsidRPr="0089184C">
        <w:rPr>
          <w:i/>
          <w:iCs/>
        </w:rPr>
        <w:t>A global anthropogenic emission inventory of atmospheric pollutants from sector- and fuel-specific sources (1970–2017): An application of the Community Emissions Data System (CEDS)</w:t>
      </w:r>
      <w:r w:rsidRPr="0089184C">
        <w:t>. https://essd.copernicus.org/preprints/essd-2020-103/essd-2020-103.pdf (2020) doi:10.5194/essd-2020-103.</w:t>
      </w:r>
    </w:p>
    <w:p w14:paraId="3FC5FF80" w14:textId="77777777" w:rsidR="0089184C" w:rsidRPr="0089184C" w:rsidRDefault="0089184C" w:rsidP="0089184C">
      <w:pPr>
        <w:pStyle w:val="Bibliography"/>
      </w:pPr>
      <w:r w:rsidRPr="0089184C">
        <w:t>140.</w:t>
      </w:r>
      <w:r w:rsidRPr="0089184C">
        <w:tab/>
        <w:t xml:space="preserve">Günther, A. </w:t>
      </w:r>
      <w:r w:rsidRPr="0089184C">
        <w:rPr>
          <w:i/>
          <w:iCs/>
        </w:rPr>
        <w:t>et al.</w:t>
      </w:r>
      <w:r w:rsidRPr="0089184C">
        <w:t xml:space="preserve"> Prompt rewetting of drained peatlands reduces climate warming despite methane emissions. </w:t>
      </w:r>
      <w:r w:rsidRPr="0089184C">
        <w:rPr>
          <w:i/>
          <w:iCs/>
        </w:rPr>
        <w:t xml:space="preserve">Nat. </w:t>
      </w:r>
      <w:proofErr w:type="spellStart"/>
      <w:r w:rsidRPr="0089184C">
        <w:rPr>
          <w:i/>
          <w:iCs/>
        </w:rPr>
        <w:t>Commun</w:t>
      </w:r>
      <w:proofErr w:type="spellEnd"/>
      <w:r w:rsidRPr="0089184C">
        <w:rPr>
          <w:i/>
          <w:iCs/>
        </w:rPr>
        <w:t>.</w:t>
      </w:r>
      <w:r w:rsidRPr="0089184C">
        <w:t xml:space="preserve"> </w:t>
      </w:r>
      <w:r w:rsidRPr="0089184C">
        <w:rPr>
          <w:b/>
          <w:bCs/>
        </w:rPr>
        <w:t>11</w:t>
      </w:r>
      <w:r w:rsidRPr="0089184C">
        <w:t>, 1644 (2020).</w:t>
      </w:r>
    </w:p>
    <w:p w14:paraId="29E7B4B5" w14:textId="77777777" w:rsidR="0089184C" w:rsidRPr="0089184C" w:rsidRDefault="0089184C" w:rsidP="0089184C">
      <w:pPr>
        <w:pStyle w:val="Bibliography"/>
      </w:pPr>
      <w:r w:rsidRPr="0089184C">
        <w:t>141.</w:t>
      </w:r>
      <w:r w:rsidRPr="0089184C">
        <w:tab/>
        <w:t xml:space="preserve">IPCC. </w:t>
      </w:r>
      <w:r w:rsidRPr="0089184C">
        <w:rPr>
          <w:i/>
          <w:iCs/>
        </w:rPr>
        <w:t xml:space="preserve">2006 IPCC Guidelines for National Greenhouse Gas Inventories, Prepared by the National Greenhouse Gas Inventories </w:t>
      </w:r>
      <w:proofErr w:type="spellStart"/>
      <w:r w:rsidRPr="0089184C">
        <w:rPr>
          <w:i/>
          <w:iCs/>
        </w:rPr>
        <w:t>Programme</w:t>
      </w:r>
      <w:proofErr w:type="spellEnd"/>
      <w:r w:rsidRPr="0089184C">
        <w:t>. (2006).</w:t>
      </w:r>
    </w:p>
    <w:p w14:paraId="390C4A1D" w14:textId="77777777" w:rsidR="0089184C" w:rsidRPr="0089184C" w:rsidRDefault="0089184C" w:rsidP="0089184C">
      <w:pPr>
        <w:pStyle w:val="Bibliography"/>
      </w:pPr>
      <w:r w:rsidRPr="0089184C">
        <w:t>142.</w:t>
      </w:r>
      <w:r w:rsidRPr="0089184C">
        <w:tab/>
      </w:r>
      <w:proofErr w:type="spellStart"/>
      <w:r w:rsidRPr="0089184C">
        <w:t>Strefler</w:t>
      </w:r>
      <w:proofErr w:type="spellEnd"/>
      <w:r w:rsidRPr="0089184C">
        <w:t xml:space="preserve">, J. </w:t>
      </w:r>
      <w:r w:rsidRPr="0089184C">
        <w:rPr>
          <w:i/>
          <w:iCs/>
        </w:rPr>
        <w:t>et al.</w:t>
      </w:r>
      <w:r w:rsidRPr="0089184C">
        <w:t xml:space="preserve"> Alternative carbon price trajectories can avoid excessive carbon removal. </w:t>
      </w:r>
      <w:r w:rsidRPr="0089184C">
        <w:rPr>
          <w:i/>
          <w:iCs/>
        </w:rPr>
        <w:t xml:space="preserve">Nat. </w:t>
      </w:r>
      <w:proofErr w:type="spellStart"/>
      <w:r w:rsidRPr="0089184C">
        <w:rPr>
          <w:i/>
          <w:iCs/>
        </w:rPr>
        <w:t>Commun</w:t>
      </w:r>
      <w:proofErr w:type="spellEnd"/>
      <w:r w:rsidRPr="0089184C">
        <w:rPr>
          <w:i/>
          <w:iCs/>
        </w:rPr>
        <w:t>.</w:t>
      </w:r>
      <w:r w:rsidRPr="0089184C">
        <w:t xml:space="preserve"> </w:t>
      </w:r>
      <w:r w:rsidRPr="0089184C">
        <w:rPr>
          <w:b/>
          <w:bCs/>
        </w:rPr>
        <w:t>12</w:t>
      </w:r>
      <w:r w:rsidRPr="0089184C">
        <w:t>, 2264 (2021).</w:t>
      </w:r>
    </w:p>
    <w:p w14:paraId="27840384" w14:textId="77777777" w:rsidR="0089184C" w:rsidRPr="0089184C" w:rsidRDefault="0089184C" w:rsidP="0089184C">
      <w:pPr>
        <w:pStyle w:val="Bibliography"/>
      </w:pPr>
      <w:r w:rsidRPr="0089184C">
        <w:t>143.</w:t>
      </w:r>
      <w:r w:rsidRPr="0089184C">
        <w:tab/>
      </w:r>
      <w:proofErr w:type="spellStart"/>
      <w:r w:rsidRPr="0089184C">
        <w:t>Strefler</w:t>
      </w:r>
      <w:proofErr w:type="spellEnd"/>
      <w:r w:rsidRPr="0089184C">
        <w:t xml:space="preserve">, J. </w:t>
      </w:r>
      <w:r w:rsidRPr="0089184C">
        <w:rPr>
          <w:i/>
          <w:iCs/>
        </w:rPr>
        <w:t>et al.</w:t>
      </w:r>
      <w:r w:rsidRPr="0089184C">
        <w:t xml:space="preserve"> Carbon dioxide removal technologies are not born equal. </w:t>
      </w:r>
      <w:r w:rsidRPr="0089184C">
        <w:rPr>
          <w:i/>
          <w:iCs/>
        </w:rPr>
        <w:t>Environ. Res. Lett.</w:t>
      </w:r>
      <w:r w:rsidRPr="0089184C">
        <w:t xml:space="preserve"> </w:t>
      </w:r>
      <w:r w:rsidRPr="0089184C">
        <w:rPr>
          <w:b/>
          <w:bCs/>
        </w:rPr>
        <w:t>16</w:t>
      </w:r>
      <w:r w:rsidRPr="0089184C">
        <w:t>, 074021 (2021).</w:t>
      </w:r>
    </w:p>
    <w:p w14:paraId="0E87B5A6" w14:textId="77777777" w:rsidR="0089184C" w:rsidRPr="0089184C" w:rsidRDefault="0089184C" w:rsidP="0089184C">
      <w:pPr>
        <w:pStyle w:val="Bibliography"/>
      </w:pPr>
      <w:r w:rsidRPr="0089184C">
        <w:lastRenderedPageBreak/>
        <w:t>144.</w:t>
      </w:r>
      <w:r w:rsidRPr="0089184C">
        <w:tab/>
        <w:t xml:space="preserve">van Vuuren, D. P. </w:t>
      </w:r>
      <w:r w:rsidRPr="0089184C">
        <w:rPr>
          <w:i/>
          <w:iCs/>
        </w:rPr>
        <w:t>et al.</w:t>
      </w:r>
      <w:r w:rsidRPr="0089184C">
        <w:t xml:space="preserve"> Energy, land-use and greenhouse gas emissions trajectories under a green growth paradigm. </w:t>
      </w:r>
      <w:r w:rsidRPr="0089184C">
        <w:rPr>
          <w:i/>
          <w:iCs/>
        </w:rPr>
        <w:t>Glob. Environ. Change</w:t>
      </w:r>
      <w:r w:rsidRPr="0089184C">
        <w:t xml:space="preserve"> </w:t>
      </w:r>
      <w:r w:rsidRPr="0089184C">
        <w:rPr>
          <w:b/>
          <w:bCs/>
        </w:rPr>
        <w:t>42</w:t>
      </w:r>
      <w:r w:rsidRPr="0089184C">
        <w:t>, 237–250 (2017).</w:t>
      </w:r>
    </w:p>
    <w:p w14:paraId="07505ADA" w14:textId="77777777" w:rsidR="0089184C" w:rsidRPr="0089184C" w:rsidRDefault="0089184C" w:rsidP="0089184C">
      <w:pPr>
        <w:pStyle w:val="Bibliography"/>
      </w:pPr>
      <w:r w:rsidRPr="0089184C">
        <w:t>145.</w:t>
      </w:r>
      <w:r w:rsidRPr="0089184C">
        <w:tab/>
      </w:r>
      <w:proofErr w:type="spellStart"/>
      <w:r w:rsidRPr="0089184C">
        <w:t>Rafaj</w:t>
      </w:r>
      <w:proofErr w:type="spellEnd"/>
      <w:r w:rsidRPr="0089184C">
        <w:t xml:space="preserve">, P. </w:t>
      </w:r>
      <w:r w:rsidRPr="0089184C">
        <w:rPr>
          <w:i/>
          <w:iCs/>
        </w:rPr>
        <w:t>et al.</w:t>
      </w:r>
      <w:r w:rsidRPr="0089184C">
        <w:t xml:space="preserve"> Air quality and health implications of 1.5 °C–2 °C climate pathways under considerations of ageing population: a multi-model scenario analysis. </w:t>
      </w:r>
      <w:r w:rsidRPr="0089184C">
        <w:rPr>
          <w:i/>
          <w:iCs/>
        </w:rPr>
        <w:t>Environ. Res. Lett.</w:t>
      </w:r>
      <w:r w:rsidRPr="0089184C">
        <w:t xml:space="preserve"> </w:t>
      </w:r>
      <w:r w:rsidRPr="0089184C">
        <w:rPr>
          <w:b/>
          <w:bCs/>
        </w:rPr>
        <w:t>16</w:t>
      </w:r>
      <w:r w:rsidRPr="0089184C">
        <w:t>, 045005 (2021).</w:t>
      </w:r>
    </w:p>
    <w:p w14:paraId="30BA23DB" w14:textId="77777777" w:rsidR="0089184C" w:rsidRPr="0089184C" w:rsidRDefault="0089184C" w:rsidP="0089184C">
      <w:pPr>
        <w:pStyle w:val="Bibliography"/>
      </w:pPr>
      <w:r w:rsidRPr="0089184C">
        <w:t>146.</w:t>
      </w:r>
      <w:r w:rsidRPr="0089184C">
        <w:tab/>
      </w:r>
      <w:proofErr w:type="spellStart"/>
      <w:r w:rsidRPr="0089184C">
        <w:t>Rauner</w:t>
      </w:r>
      <w:proofErr w:type="spellEnd"/>
      <w:r w:rsidRPr="0089184C">
        <w:t xml:space="preserve">, S., Hilaire, J., Klein, D., </w:t>
      </w:r>
      <w:proofErr w:type="spellStart"/>
      <w:r w:rsidRPr="0089184C">
        <w:t>Strefler</w:t>
      </w:r>
      <w:proofErr w:type="spellEnd"/>
      <w:r w:rsidRPr="0089184C">
        <w:t xml:space="preserve">, J. &amp; </w:t>
      </w:r>
      <w:proofErr w:type="spellStart"/>
      <w:r w:rsidRPr="0089184C">
        <w:t>Luderer</w:t>
      </w:r>
      <w:proofErr w:type="spellEnd"/>
      <w:r w:rsidRPr="0089184C">
        <w:t xml:space="preserve">, G. Air quality co-benefits of ratcheting up the NDCs. </w:t>
      </w:r>
      <w:proofErr w:type="spellStart"/>
      <w:r w:rsidRPr="0089184C">
        <w:rPr>
          <w:i/>
          <w:iCs/>
        </w:rPr>
        <w:t>Clim</w:t>
      </w:r>
      <w:proofErr w:type="spellEnd"/>
      <w:r w:rsidRPr="0089184C">
        <w:rPr>
          <w:i/>
          <w:iCs/>
        </w:rPr>
        <w:t>. Change</w:t>
      </w:r>
      <w:r w:rsidRPr="0089184C">
        <w:t xml:space="preserve"> </w:t>
      </w:r>
      <w:r w:rsidRPr="0089184C">
        <w:rPr>
          <w:b/>
          <w:bCs/>
        </w:rPr>
        <w:t>163</w:t>
      </w:r>
      <w:r w:rsidRPr="0089184C">
        <w:t>, 1481–1500 (2020).</w:t>
      </w:r>
    </w:p>
    <w:p w14:paraId="6FFE470C" w14:textId="77777777" w:rsidR="0089184C" w:rsidRPr="0089184C" w:rsidRDefault="0089184C" w:rsidP="0089184C">
      <w:pPr>
        <w:pStyle w:val="Bibliography"/>
      </w:pPr>
      <w:r w:rsidRPr="0089184C">
        <w:t>147.</w:t>
      </w:r>
      <w:r w:rsidRPr="0089184C">
        <w:tab/>
      </w:r>
      <w:proofErr w:type="spellStart"/>
      <w:r w:rsidRPr="0089184C">
        <w:t>Fujino</w:t>
      </w:r>
      <w:proofErr w:type="spellEnd"/>
      <w:r w:rsidRPr="0089184C">
        <w:t xml:space="preserve">, J., Nair, R., </w:t>
      </w:r>
      <w:proofErr w:type="spellStart"/>
      <w:r w:rsidRPr="0089184C">
        <w:t>Kainuma</w:t>
      </w:r>
      <w:proofErr w:type="spellEnd"/>
      <w:r w:rsidRPr="0089184C">
        <w:t xml:space="preserve">, M., Masui, T. &amp; Matsuoka, Y. Multi-gas Mitigation Analysis on Stabilization Scenarios Using Aim Global Model. </w:t>
      </w:r>
      <w:r w:rsidRPr="0089184C">
        <w:rPr>
          <w:i/>
          <w:iCs/>
        </w:rPr>
        <w:t>Energy J.</w:t>
      </w:r>
      <w:r w:rsidRPr="0089184C">
        <w:t xml:space="preserve"> </w:t>
      </w:r>
      <w:r w:rsidRPr="0089184C">
        <w:rPr>
          <w:b/>
          <w:bCs/>
        </w:rPr>
        <w:t>27</w:t>
      </w:r>
      <w:r w:rsidRPr="0089184C">
        <w:t>, 343–353 (2006).</w:t>
      </w:r>
    </w:p>
    <w:p w14:paraId="08F883EF" w14:textId="77777777" w:rsidR="0089184C" w:rsidRPr="0089184C" w:rsidRDefault="0089184C" w:rsidP="0089184C">
      <w:pPr>
        <w:pStyle w:val="Bibliography"/>
      </w:pPr>
      <w:r w:rsidRPr="0089184C">
        <w:t>148.</w:t>
      </w:r>
      <w:r w:rsidRPr="0089184C">
        <w:tab/>
        <w:t xml:space="preserve">Lucas, P. L., Van Vuuren, D. P., Olivier, J. G. J. &amp; Den </w:t>
      </w:r>
      <w:proofErr w:type="spellStart"/>
      <w:r w:rsidRPr="0089184C">
        <w:t>Elzen</w:t>
      </w:r>
      <w:proofErr w:type="spellEnd"/>
      <w:r w:rsidRPr="0089184C">
        <w:t xml:space="preserve">, M. Long-term reduction potential of non-CO2 greenhouse gases. </w:t>
      </w:r>
      <w:r w:rsidRPr="0089184C">
        <w:rPr>
          <w:i/>
          <w:iCs/>
        </w:rPr>
        <w:t>Environ. Sci. Policy</w:t>
      </w:r>
      <w:r w:rsidRPr="0089184C">
        <w:t xml:space="preserve"> </w:t>
      </w:r>
      <w:r w:rsidRPr="0089184C">
        <w:rPr>
          <w:b/>
          <w:bCs/>
        </w:rPr>
        <w:t>10</w:t>
      </w:r>
      <w:r w:rsidRPr="0089184C">
        <w:t>, 85–103 (2007).</w:t>
      </w:r>
    </w:p>
    <w:p w14:paraId="40EA22F1" w14:textId="77777777" w:rsidR="0089184C" w:rsidRPr="0089184C" w:rsidRDefault="0089184C" w:rsidP="0089184C">
      <w:pPr>
        <w:pStyle w:val="Bibliography"/>
      </w:pPr>
      <w:r w:rsidRPr="0089184C">
        <w:t>149.</w:t>
      </w:r>
      <w:r w:rsidRPr="0089184C">
        <w:tab/>
        <w:t xml:space="preserve">IPCC. Mitigation Pathways Compatible with 1.5°C in the Context of Sustainable Development. in </w:t>
      </w:r>
      <w:r w:rsidRPr="0089184C">
        <w:rPr>
          <w:i/>
          <w:iCs/>
        </w:rPr>
        <w:t>Global Warming of 1.5°C: IPCC Special Report on Impacts of Global Warming of 1.5°C above Pre-industrial Levels in Context of Strengthening Response to Climate Change, Sustainable Development, and Efforts to Eradicate Poverty</w:t>
      </w:r>
      <w:r w:rsidRPr="0089184C">
        <w:t xml:space="preserve"> (Cambridge University Press, 2018). doi:10.1017/9781009157940.</w:t>
      </w:r>
    </w:p>
    <w:p w14:paraId="714B5D73" w14:textId="77777777" w:rsidR="0089184C" w:rsidRPr="0089184C" w:rsidRDefault="0089184C" w:rsidP="0089184C">
      <w:pPr>
        <w:pStyle w:val="Bibliography"/>
      </w:pPr>
      <w:r w:rsidRPr="0089184C">
        <w:t>150.</w:t>
      </w:r>
      <w:r w:rsidRPr="0089184C">
        <w:tab/>
        <w:t xml:space="preserve">O’Neill, B. C. </w:t>
      </w:r>
      <w:r w:rsidRPr="0089184C">
        <w:rPr>
          <w:i/>
          <w:iCs/>
        </w:rPr>
        <w:t>et al.</w:t>
      </w:r>
      <w:r w:rsidRPr="0089184C">
        <w:t xml:space="preserve"> The roads ahead: Narratives for shared socioeconomic pathways describing world futures in the 21st century. </w:t>
      </w:r>
      <w:r w:rsidRPr="0089184C">
        <w:rPr>
          <w:i/>
          <w:iCs/>
        </w:rPr>
        <w:t>Glob. Environ. Change</w:t>
      </w:r>
      <w:r w:rsidRPr="0089184C">
        <w:t xml:space="preserve"> (2015) </w:t>
      </w:r>
      <w:proofErr w:type="gramStart"/>
      <w:r w:rsidRPr="0089184C">
        <w:t>doi:10.1016/j.gloenvcha</w:t>
      </w:r>
      <w:proofErr w:type="gramEnd"/>
      <w:r w:rsidRPr="0089184C">
        <w:t>.2015.01.004.</w:t>
      </w:r>
    </w:p>
    <w:p w14:paraId="734D062D" w14:textId="77777777" w:rsidR="0089184C" w:rsidRPr="0089184C" w:rsidRDefault="0089184C" w:rsidP="0089184C">
      <w:pPr>
        <w:pStyle w:val="Bibliography"/>
      </w:pPr>
      <w:r w:rsidRPr="0089184C">
        <w:t>151.</w:t>
      </w:r>
      <w:r w:rsidRPr="0089184C">
        <w:tab/>
        <w:t xml:space="preserve">Koch, J. &amp; </w:t>
      </w:r>
      <w:proofErr w:type="spellStart"/>
      <w:r w:rsidRPr="0089184C">
        <w:t>Leimbach</w:t>
      </w:r>
      <w:proofErr w:type="spellEnd"/>
      <w:r w:rsidRPr="0089184C">
        <w:t xml:space="preserve">, M. SSP economic growth projections: Major changes of key drivers in integrated assessment modelling. </w:t>
      </w:r>
      <w:r w:rsidRPr="0089184C">
        <w:rPr>
          <w:i/>
          <w:iCs/>
        </w:rPr>
        <w:t>Ecol. Econ.</w:t>
      </w:r>
      <w:r w:rsidRPr="0089184C">
        <w:t xml:space="preserve"> </w:t>
      </w:r>
      <w:r w:rsidRPr="0089184C">
        <w:rPr>
          <w:b/>
          <w:bCs/>
        </w:rPr>
        <w:t>206</w:t>
      </w:r>
      <w:r w:rsidRPr="0089184C">
        <w:t>, 107751 (2023).</w:t>
      </w:r>
    </w:p>
    <w:p w14:paraId="6CF2E0DC" w14:textId="77777777" w:rsidR="0089184C" w:rsidRPr="0089184C" w:rsidRDefault="0089184C" w:rsidP="0089184C">
      <w:pPr>
        <w:pStyle w:val="Bibliography"/>
      </w:pPr>
      <w:r w:rsidRPr="0089184C">
        <w:t>152.</w:t>
      </w:r>
      <w:r w:rsidRPr="0089184C">
        <w:tab/>
      </w:r>
      <w:proofErr w:type="spellStart"/>
      <w:r w:rsidRPr="0089184C">
        <w:t>Worldbank</w:t>
      </w:r>
      <w:proofErr w:type="spellEnd"/>
      <w:r w:rsidRPr="0089184C">
        <w:t>. Poverty headcount ratio at $3.20 a day (2011 PPP). https://data.worldbank.org/indicator/SI.POV.LMIC.GC (2023).</w:t>
      </w:r>
    </w:p>
    <w:p w14:paraId="3CA94325" w14:textId="77777777" w:rsidR="0089184C" w:rsidRPr="0089184C" w:rsidRDefault="0089184C" w:rsidP="0089184C">
      <w:pPr>
        <w:pStyle w:val="Bibliography"/>
      </w:pPr>
      <w:r w:rsidRPr="0089184C">
        <w:t>153.</w:t>
      </w:r>
      <w:r w:rsidRPr="0089184C">
        <w:tab/>
        <w:t xml:space="preserve">Phillips, H. </w:t>
      </w:r>
      <w:r w:rsidRPr="0089184C">
        <w:rPr>
          <w:i/>
          <w:iCs/>
        </w:rPr>
        <w:t>et al.</w:t>
      </w:r>
      <w:r w:rsidRPr="0089184C">
        <w:t xml:space="preserve"> The Biodiversity Intactness Index - country, region and global-level summaries for the year 1970 to 2050 under various scenarios. (2021) doi:10.5519/he1eqmg1.</w:t>
      </w:r>
    </w:p>
    <w:p w14:paraId="4481B995" w14:textId="77777777" w:rsidR="0089184C" w:rsidRPr="0089184C" w:rsidRDefault="0089184C" w:rsidP="0089184C">
      <w:pPr>
        <w:pStyle w:val="Bibliography"/>
      </w:pPr>
      <w:r w:rsidRPr="0089184C">
        <w:lastRenderedPageBreak/>
        <w:t>154.</w:t>
      </w:r>
      <w:r w:rsidRPr="0089184C">
        <w:tab/>
      </w:r>
      <w:proofErr w:type="spellStart"/>
      <w:r w:rsidRPr="0089184C">
        <w:t>Tubiello</w:t>
      </w:r>
      <w:proofErr w:type="spellEnd"/>
      <w:r w:rsidRPr="0089184C">
        <w:t xml:space="preserve">, F. N. </w:t>
      </w:r>
      <w:r w:rsidRPr="0089184C">
        <w:rPr>
          <w:i/>
          <w:iCs/>
        </w:rPr>
        <w:t>et al.</w:t>
      </w:r>
      <w:r w:rsidRPr="0089184C">
        <w:t xml:space="preserve"> Greenhouse gas emissions from food systems: building the evidence base. </w:t>
      </w:r>
      <w:r w:rsidRPr="0089184C">
        <w:rPr>
          <w:i/>
          <w:iCs/>
        </w:rPr>
        <w:t>Environ. Res. Lett.</w:t>
      </w:r>
      <w:r w:rsidRPr="0089184C">
        <w:t xml:space="preserve"> </w:t>
      </w:r>
      <w:r w:rsidRPr="0089184C">
        <w:rPr>
          <w:b/>
          <w:bCs/>
        </w:rPr>
        <w:t>16</w:t>
      </w:r>
      <w:r w:rsidRPr="0089184C">
        <w:t>, 065007 (2021).</w:t>
      </w:r>
    </w:p>
    <w:p w14:paraId="4477B3AB" w14:textId="19EC3A30" w:rsidR="00BE09F0" w:rsidRPr="00FD54EA" w:rsidRDefault="00BE09F0" w:rsidP="00E17CC5">
      <w:pPr>
        <w:pStyle w:val="Heading3"/>
        <w:spacing w:before="240"/>
        <w:rPr>
          <w:color w:val="000000" w:themeColor="text1"/>
        </w:rPr>
      </w:pPr>
    </w:p>
    <w:sectPr w:rsidR="00BE09F0" w:rsidRPr="00FD54EA">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730D6" w14:textId="77777777" w:rsidR="00D13BE1" w:rsidRDefault="00D13BE1">
      <w:pPr>
        <w:spacing w:line="240" w:lineRule="auto"/>
      </w:pPr>
      <w:r>
        <w:separator/>
      </w:r>
    </w:p>
  </w:endnote>
  <w:endnote w:type="continuationSeparator" w:id="0">
    <w:p w14:paraId="2BA290F0" w14:textId="77777777" w:rsidR="00D13BE1" w:rsidRDefault="00D13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B163" w14:textId="77777777" w:rsidR="009E54D2" w:rsidRDefault="009E54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94987" w14:textId="77777777" w:rsidR="00D13BE1" w:rsidRDefault="00D13BE1">
      <w:pPr>
        <w:spacing w:line="240" w:lineRule="auto"/>
      </w:pPr>
      <w:r>
        <w:separator/>
      </w:r>
    </w:p>
  </w:footnote>
  <w:footnote w:type="continuationSeparator" w:id="0">
    <w:p w14:paraId="6FA1183A" w14:textId="77777777" w:rsidR="00D13BE1" w:rsidRDefault="00D13B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E7311" w14:textId="77777777" w:rsidR="009E54D2" w:rsidRDefault="009E54D2">
    <w:pPr>
      <w:pStyle w:val="Heading6"/>
      <w:spacing w:after="240"/>
    </w:pPr>
    <w:bookmarkStart w:id="60" w:name="_8kjmrjrzjp46" w:colFirst="0" w:colLast="0"/>
    <w:bookmarkEnd w:id="6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0F16B0"/>
    <w:multiLevelType w:val="multilevel"/>
    <w:tmpl w:val="0950C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A50EE4"/>
    <w:multiLevelType w:val="multilevel"/>
    <w:tmpl w:val="0BB6C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CD74788"/>
    <w:multiLevelType w:val="multilevel"/>
    <w:tmpl w:val="0950C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75965A3"/>
    <w:multiLevelType w:val="multilevel"/>
    <w:tmpl w:val="E0525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9F0"/>
    <w:rsid w:val="000953B6"/>
    <w:rsid w:val="000B076D"/>
    <w:rsid w:val="000C67EE"/>
    <w:rsid w:val="000D23A4"/>
    <w:rsid w:val="001B2B1E"/>
    <w:rsid w:val="00211A5C"/>
    <w:rsid w:val="00267872"/>
    <w:rsid w:val="002A3E5C"/>
    <w:rsid w:val="002B05DD"/>
    <w:rsid w:val="003B2BD6"/>
    <w:rsid w:val="003F4474"/>
    <w:rsid w:val="00421CC6"/>
    <w:rsid w:val="00482BDF"/>
    <w:rsid w:val="004A1607"/>
    <w:rsid w:val="00521F5E"/>
    <w:rsid w:val="00527379"/>
    <w:rsid w:val="00581575"/>
    <w:rsid w:val="006A3FE1"/>
    <w:rsid w:val="006D3C7C"/>
    <w:rsid w:val="00742444"/>
    <w:rsid w:val="007F2C7E"/>
    <w:rsid w:val="0089184C"/>
    <w:rsid w:val="008B6587"/>
    <w:rsid w:val="008D0B2E"/>
    <w:rsid w:val="009A3A9A"/>
    <w:rsid w:val="009B5957"/>
    <w:rsid w:val="009E54D2"/>
    <w:rsid w:val="00A01D99"/>
    <w:rsid w:val="00B17538"/>
    <w:rsid w:val="00BE09F0"/>
    <w:rsid w:val="00C30442"/>
    <w:rsid w:val="00C727F9"/>
    <w:rsid w:val="00CF02C0"/>
    <w:rsid w:val="00D13BE1"/>
    <w:rsid w:val="00DC6222"/>
    <w:rsid w:val="00DD0DF7"/>
    <w:rsid w:val="00E17CC5"/>
    <w:rsid w:val="00E25F4A"/>
    <w:rsid w:val="00E37C8B"/>
    <w:rsid w:val="00EB72E2"/>
    <w:rsid w:val="00ED7D22"/>
    <w:rsid w:val="00F67720"/>
    <w:rsid w:val="00F83A7D"/>
    <w:rsid w:val="00F85F74"/>
    <w:rsid w:val="00F92E06"/>
    <w:rsid w:val="00FC7BFD"/>
    <w:rsid w:val="00FD54EA"/>
    <w:rsid w:val="00FD781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DD8C5"/>
  <w15:docId w15:val="{417A5F01-9614-429D-940C-A31D3A23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54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4E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3C7C"/>
    <w:rPr>
      <w:b/>
      <w:bCs/>
    </w:rPr>
  </w:style>
  <w:style w:type="character" w:customStyle="1" w:styleId="CommentSubjectChar">
    <w:name w:val="Comment Subject Char"/>
    <w:basedOn w:val="CommentTextChar"/>
    <w:link w:val="CommentSubject"/>
    <w:uiPriority w:val="99"/>
    <w:semiHidden/>
    <w:rsid w:val="006D3C7C"/>
    <w:rPr>
      <w:b/>
      <w:bCs/>
      <w:sz w:val="20"/>
      <w:szCs w:val="20"/>
    </w:rPr>
  </w:style>
  <w:style w:type="paragraph" w:styleId="Bibliography">
    <w:name w:val="Bibliography"/>
    <w:basedOn w:val="Normal"/>
    <w:next w:val="Normal"/>
    <w:uiPriority w:val="37"/>
    <w:unhideWhenUsed/>
    <w:rsid w:val="00DD0DF7"/>
    <w:pPr>
      <w:tabs>
        <w:tab w:val="left" w:pos="384"/>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iesin.columbia.edu/data/ssp-literature-database-v2-2020-2021/"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362D4-F255-4904-9CE9-5077E8CB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44356</Words>
  <Characters>271020</Characters>
  <Application>Microsoft Office Word</Application>
  <DocSecurity>0</DocSecurity>
  <Lines>8742</Lines>
  <Paragraphs>3465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Bodirsky</dc:creator>
  <cp:lastModifiedBy>Benjamin Bodirsky</cp:lastModifiedBy>
  <cp:revision>2</cp:revision>
  <dcterms:created xsi:type="dcterms:W3CDTF">2023-05-12T17:02:00Z</dcterms:created>
  <dcterms:modified xsi:type="dcterms:W3CDTF">2023-05-12T17:02:00Z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id="jXev9ZQ6"/&gt;&lt;style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