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ED16D" w14:textId="77777777" w:rsidR="006F6771" w:rsidRDefault="006F6771" w:rsidP="006F6771">
      <w:pPr>
        <w:spacing w:after="0" w:line="240" w:lineRule="auto"/>
        <w:jc w:val="both"/>
      </w:pPr>
      <w:r w:rsidRPr="00882924"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4835A40C" wp14:editId="4CE342F7">
            <wp:extent cx="2971894" cy="1994248"/>
            <wp:effectExtent l="0" t="0" r="0" b="6350"/>
            <wp:docPr id="2" name="Picture 2" descr="https://cdn.theatlantic.com/thumbor/bYGk9WZJ5V9Q_-Yje3_IUB8lXPw=/900x604/media/img/photo/2011/12/deadly-tropical-storm-washi/w03_RTR2VE5M/orig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cdn.theatlantic.com/thumbor/bYGk9WZJ5V9Q_-Yje3_IUB8lXPw=/900x604/media/img/photo/2011/12/deadly-tropical-storm-washi/w03_RTR2VE5M/origina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8" cy="2029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2924">
        <w:t xml:space="preserve"> </w:t>
      </w:r>
      <w:r w:rsidRPr="00882924"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458CD911" wp14:editId="47704B20">
            <wp:extent cx="2915285" cy="1993777"/>
            <wp:effectExtent l="0" t="0" r="0" b="6985"/>
            <wp:docPr id="3" name="Picture 3" descr="https://cdn.theatlantic.com/thumbor/dZcAbwr3sQrTON_fHIro37Mh37k=/900x513/media/img/photo/2011/12/deadly-tropical-storm-washi/w07_RTR2VCS9/orig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cdn.theatlantic.com/thumbor/dZcAbwr3sQrTON_fHIro37Mh37k=/900x513/media/img/photo/2011/12/deadly-tropical-storm-washi/w07_RTR2VCS9/origin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896" cy="2013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34F8B2" w14:textId="77777777" w:rsidR="006F6771" w:rsidRPr="007A4544" w:rsidRDefault="006F6771" w:rsidP="006F6771">
      <w:pPr>
        <w:spacing w:after="0" w:line="240" w:lineRule="auto"/>
        <w:jc w:val="both"/>
        <w:rPr>
          <w:rFonts w:ascii="Times New Roman" w:hAnsi="Times New Roman" w:cs="Times New Roman"/>
          <w:sz w:val="18"/>
        </w:rPr>
      </w:pPr>
      <w:r w:rsidRPr="007A4544">
        <w:rPr>
          <w:rFonts w:ascii="Times New Roman" w:hAnsi="Times New Roman" w:cs="Times New Roman"/>
          <w:sz w:val="18"/>
        </w:rPr>
        <w:t xml:space="preserve">Pictures taken form </w:t>
      </w:r>
      <w:r w:rsidRPr="007A4544">
        <w:rPr>
          <w:rFonts w:ascii="Times New Roman" w:hAnsi="Times New Roman" w:cs="Times New Roman"/>
          <w:i/>
          <w:sz w:val="18"/>
        </w:rPr>
        <w:t>The Atlantic</w:t>
      </w:r>
      <w:r w:rsidRPr="007A4544">
        <w:rPr>
          <w:rFonts w:ascii="Times New Roman" w:hAnsi="Times New Roman" w:cs="Times New Roman"/>
          <w:sz w:val="18"/>
        </w:rPr>
        <w:t xml:space="preserve">. </w:t>
      </w:r>
    </w:p>
    <w:p w14:paraId="5EDE601C" w14:textId="77777777" w:rsidR="001777A1" w:rsidRDefault="001777A1"/>
    <w:sectPr w:rsidR="00177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771"/>
    <w:rsid w:val="001777A1"/>
    <w:rsid w:val="006F6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A6661"/>
  <w15:chartTrackingRefBased/>
  <w15:docId w15:val="{FE54EDE0-96CD-4DC1-A679-46A00ECF8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6771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2023-05-16T19:36:00Z</dcterms:created>
  <dcterms:modified xsi:type="dcterms:W3CDTF">2023-05-16T19:36:00Z</dcterms:modified>
</cp:coreProperties>
</file>