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566E6" w14:textId="77777777" w:rsidR="00151EC2" w:rsidRDefault="00151EC2" w:rsidP="00151EC2">
      <w:pPr>
        <w:spacing w:line="360" w:lineRule="auto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Table S1. Steady-state gas exchange parameters across two rice genotypes. </w:t>
      </w:r>
      <w:r>
        <w:rPr>
          <w:rFonts w:ascii="Times New Roman" w:hAnsi="Times New Roman" w:cs="Times New Roman"/>
          <w:sz w:val="24"/>
        </w:rPr>
        <w:t>All values are means (</w:t>
      </w:r>
      <w:r>
        <w:rPr>
          <w:rFonts w:ascii="Times New Roman" w:eastAsia="宋体" w:hAnsi="Times New Roman" w:cs="Times New Roman"/>
          <w:sz w:val="24"/>
        </w:rPr>
        <w:t xml:space="preserve">± </w:t>
      </w:r>
      <w:r>
        <w:rPr>
          <w:rFonts w:ascii="Times New Roman" w:hAnsi="Times New Roman" w:cs="Times New Roman"/>
          <w:sz w:val="24"/>
        </w:rPr>
        <w:t xml:space="preserve">SD). </w:t>
      </w:r>
      <w:proofErr w:type="spellStart"/>
      <w:r>
        <w:rPr>
          <w:rFonts w:ascii="Times New Roman" w:hAnsi="Times New Roman" w:cs="Times New Roman"/>
          <w:i/>
          <w:sz w:val="24"/>
        </w:rPr>
        <w:t>A</w:t>
      </w:r>
      <w:r>
        <w:rPr>
          <w:rFonts w:ascii="Times New Roman" w:hAnsi="Times New Roman" w:cs="Times New Roman"/>
          <w:sz w:val="24"/>
          <w:vertAlign w:val="subscript"/>
        </w:rPr>
        <w:t>steady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</w:rPr>
        <w:t>g</w:t>
      </w:r>
      <w:r>
        <w:rPr>
          <w:rFonts w:ascii="Times New Roman" w:hAnsi="Times New Roman" w:cs="Times New Roman"/>
          <w:sz w:val="24"/>
          <w:vertAlign w:val="subscript"/>
        </w:rPr>
        <w:t>s,steady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</w:rPr>
        <w:t>C</w:t>
      </w:r>
      <w:r>
        <w:rPr>
          <w:rFonts w:ascii="Times New Roman" w:hAnsi="Times New Roman" w:cs="Times New Roman"/>
          <w:sz w:val="24"/>
          <w:vertAlign w:val="subscript"/>
        </w:rPr>
        <w:t>i,steady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</w:rPr>
        <w:t>g</w:t>
      </w:r>
      <w:r>
        <w:rPr>
          <w:rFonts w:ascii="Times New Roman" w:hAnsi="Times New Roman" w:cs="Times New Roman"/>
          <w:sz w:val="24"/>
          <w:vertAlign w:val="subscript"/>
        </w:rPr>
        <w:t>m,steady</w:t>
      </w:r>
      <w:proofErr w:type="spellEnd"/>
      <w:r>
        <w:rPr>
          <w:rFonts w:ascii="Times New Roman" w:hAnsi="Times New Roman" w:cs="Times New Roman"/>
          <w:sz w:val="24"/>
        </w:rPr>
        <w:t xml:space="preserve"> are photosynthetic rate, stomatal conductance, intercellular CO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concentration and mesophyll conductance measured at a PPFD of 1500 </w:t>
      </w:r>
      <w:r>
        <w:rPr>
          <w:rFonts w:ascii="Symbol" w:hAnsi="Symbol" w:cs="Times New Roman"/>
          <w:sz w:val="24"/>
        </w:rPr>
        <w:t></w:t>
      </w:r>
      <w:r>
        <w:rPr>
          <w:rFonts w:ascii="Times New Roman" w:hAnsi="Times New Roman" w:cs="Times New Roman"/>
          <w:sz w:val="24"/>
        </w:rPr>
        <w:t>mol m</w:t>
      </w:r>
      <w:r>
        <w:rPr>
          <w:rFonts w:ascii="Times New Roman" w:hAnsi="Times New Roman" w:cs="Times New Roman"/>
          <w:sz w:val="24"/>
          <w:vertAlign w:val="superscript"/>
        </w:rPr>
        <w:t>-2</w:t>
      </w:r>
      <w:r>
        <w:rPr>
          <w:rFonts w:ascii="Times New Roman" w:hAnsi="Times New Roman" w:cs="Times New Roman"/>
          <w:sz w:val="24"/>
        </w:rPr>
        <w:t xml:space="preserve"> s</w:t>
      </w:r>
      <w:r>
        <w:rPr>
          <w:rFonts w:ascii="Times New Roman" w:hAnsi="Times New Roman" w:cs="Times New Roman"/>
          <w:sz w:val="24"/>
          <w:vertAlign w:val="superscript"/>
        </w:rPr>
        <w:t>-1</w:t>
      </w:r>
      <w:r>
        <w:rPr>
          <w:rFonts w:ascii="Times New Roman" w:hAnsi="Times New Roman" w:cs="Times New Roman"/>
          <w:sz w:val="24"/>
        </w:rPr>
        <w:t xml:space="preserve"> and CO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concentration of 400 </w:t>
      </w:r>
      <w:r>
        <w:rPr>
          <w:rFonts w:ascii="Symbol" w:hAnsi="Symbol" w:cs="Times New Roman"/>
          <w:sz w:val="24"/>
        </w:rPr>
        <w:t></w:t>
      </w:r>
      <w:r>
        <w:rPr>
          <w:rFonts w:ascii="Times New Roman" w:hAnsi="Times New Roman" w:cs="Times New Roman"/>
          <w:sz w:val="24"/>
        </w:rPr>
        <w:t>mol mol</w:t>
      </w:r>
      <w:r>
        <w:rPr>
          <w:rFonts w:ascii="Times New Roman" w:hAnsi="Times New Roman" w:cs="Times New Roman"/>
          <w:sz w:val="24"/>
          <w:vertAlign w:val="superscript"/>
        </w:rPr>
        <w:t>-1</w:t>
      </w:r>
      <w:r>
        <w:rPr>
          <w:rFonts w:ascii="Times New Roman" w:hAnsi="Times New Roman" w:cs="Times New Roman"/>
          <w:sz w:val="24"/>
        </w:rPr>
        <w:t>, respectively.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V</w:t>
      </w:r>
      <w:r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cmax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J</w:t>
      </w:r>
      <w:r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max</w:t>
      </w:r>
      <w:proofErr w:type="spellEnd"/>
      <w:r>
        <w:rPr>
          <w:rFonts w:ascii="Times New Roman" w:hAnsi="Times New Roman" w:cs="Times New Roman"/>
          <w:sz w:val="24"/>
        </w:rPr>
        <w:t xml:space="preserve"> Values marked with different letters are significantly different across treatments (P&lt;0.05).</w:t>
      </w:r>
    </w:p>
    <w:tbl>
      <w:tblPr>
        <w:tblStyle w:val="a7"/>
        <w:tblW w:w="8379" w:type="dxa"/>
        <w:jc w:val="center"/>
        <w:tblLook w:val="04A0" w:firstRow="1" w:lastRow="0" w:firstColumn="1" w:lastColumn="0" w:noHBand="0" w:noVBand="1"/>
      </w:tblPr>
      <w:tblGrid>
        <w:gridCol w:w="1249"/>
        <w:gridCol w:w="1197"/>
        <w:gridCol w:w="1145"/>
        <w:gridCol w:w="1197"/>
        <w:gridCol w:w="1197"/>
        <w:gridCol w:w="1197"/>
        <w:gridCol w:w="1197"/>
      </w:tblGrid>
      <w:tr w:rsidR="00151EC2" w14:paraId="7768946D" w14:textId="77777777" w:rsidTr="001D4957">
        <w:trPr>
          <w:trHeight w:val="313"/>
          <w:jc w:val="center"/>
        </w:trPr>
        <w:tc>
          <w:tcPr>
            <w:tcW w:w="1249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597BDF" w14:textId="77777777" w:rsidR="00151EC2" w:rsidRDefault="00151EC2" w:rsidP="001D49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Genotypes</w:t>
            </w:r>
          </w:p>
        </w:tc>
        <w:tc>
          <w:tcPr>
            <w:tcW w:w="119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F1C638" w14:textId="77777777" w:rsidR="00151EC2" w:rsidRDefault="00151EC2" w:rsidP="001D49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</w:pPr>
            <w:bookmarkStart w:id="0" w:name="_Hlk134261710"/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steady</w:t>
            </w:r>
            <w:bookmarkEnd w:id="0"/>
            <w:proofErr w:type="spellEnd"/>
          </w:p>
          <w:p w14:paraId="594E32A0" w14:textId="77777777" w:rsidR="00151EC2" w:rsidRDefault="00151EC2" w:rsidP="001D49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>
              <w:rPr>
                <w:rFonts w:ascii="Symbol" w:hAnsi="Symbol" w:cs="Times New Roman"/>
                <w:b/>
                <w:bCs/>
                <w:sz w:val="16"/>
                <w:szCs w:val="16"/>
              </w:rPr>
              <w:t>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mol m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45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F90DA0" w14:textId="77777777" w:rsidR="00151EC2" w:rsidRDefault="00151EC2" w:rsidP="001D49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s,steady</w:t>
            </w:r>
            <w:proofErr w:type="spellEnd"/>
          </w:p>
          <w:p w14:paraId="188C8360" w14:textId="77777777" w:rsidR="00151EC2" w:rsidRDefault="00151EC2" w:rsidP="001D49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(mol m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9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98C1F4" w14:textId="77777777" w:rsidR="00151EC2" w:rsidRDefault="00151EC2" w:rsidP="001D49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i,steady</w:t>
            </w:r>
            <w:proofErr w:type="spellEnd"/>
          </w:p>
          <w:p w14:paraId="3C55A3CE" w14:textId="77777777" w:rsidR="00151EC2" w:rsidRDefault="00151EC2" w:rsidP="001D49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>
              <w:rPr>
                <w:rFonts w:ascii="Symbol" w:hAnsi="Symbol" w:cs="Times New Roman"/>
                <w:b/>
                <w:bCs/>
                <w:sz w:val="16"/>
                <w:szCs w:val="16"/>
              </w:rPr>
              <w:t>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mol mol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9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79DA79" w14:textId="77777777" w:rsidR="00151EC2" w:rsidRDefault="00151EC2" w:rsidP="001D49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m,steady</w:t>
            </w:r>
            <w:proofErr w:type="spellEnd"/>
          </w:p>
          <w:p w14:paraId="29BF161F" w14:textId="77777777" w:rsidR="00151EC2" w:rsidRDefault="00151EC2" w:rsidP="001D49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(mol m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9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C065A6" w14:textId="77777777" w:rsidR="00151EC2" w:rsidRDefault="00151EC2" w:rsidP="001D49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cmax</w:t>
            </w:r>
            <w:proofErr w:type="spellEnd"/>
          </w:p>
          <w:p w14:paraId="4A086899" w14:textId="77777777" w:rsidR="00151EC2" w:rsidRDefault="00151EC2" w:rsidP="001D49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(mol m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9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A18083" w14:textId="77777777" w:rsidR="00151EC2" w:rsidRDefault="00151EC2" w:rsidP="001D49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max</w:t>
            </w:r>
            <w:proofErr w:type="spellEnd"/>
          </w:p>
          <w:p w14:paraId="31CBEDA5" w14:textId="77777777" w:rsidR="00151EC2" w:rsidRDefault="00151EC2" w:rsidP="001D49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(mol m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</w:tr>
      <w:tr w:rsidR="00151EC2" w14:paraId="107DE23E" w14:textId="77777777" w:rsidTr="001D4957">
        <w:trPr>
          <w:trHeight w:val="308"/>
          <w:jc w:val="center"/>
        </w:trPr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13105D" w14:textId="77777777" w:rsidR="00151EC2" w:rsidRDefault="00151EC2" w:rsidP="001D49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Oryza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australiensis</w:t>
            </w:r>
            <w:proofErr w:type="spellEnd"/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676F84" w14:textId="77777777" w:rsidR="00151EC2" w:rsidRDefault="00151EC2" w:rsidP="001D49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31.0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±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2DE97C" w14:textId="77777777" w:rsidR="00151EC2" w:rsidRDefault="00151EC2" w:rsidP="001D49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0.87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±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62EBF2" w14:textId="77777777" w:rsidR="00151EC2" w:rsidRDefault="00151EC2" w:rsidP="001D49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306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±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02A212" w14:textId="77777777" w:rsidR="00151EC2" w:rsidRDefault="00151EC2" w:rsidP="001D49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0.18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±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104976" w14:textId="77777777" w:rsidR="00151EC2" w:rsidRDefault="00151EC2" w:rsidP="001D49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137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±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DEDAD4" w14:textId="77777777" w:rsidR="00151EC2" w:rsidRDefault="00151EC2" w:rsidP="001D49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169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±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151EC2" w14:paraId="2AB72741" w14:textId="77777777" w:rsidTr="001D4957">
        <w:trPr>
          <w:trHeight w:val="315"/>
          <w:jc w:val="center"/>
        </w:trPr>
        <w:tc>
          <w:tcPr>
            <w:tcW w:w="1249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85D153A" w14:textId="77777777" w:rsidR="00151EC2" w:rsidRDefault="00151EC2" w:rsidP="001D49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Oryza officinalis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6042E75" w14:textId="77777777" w:rsidR="00151EC2" w:rsidRDefault="00151EC2" w:rsidP="001D49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19.2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±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97716EB" w14:textId="77777777" w:rsidR="00151EC2" w:rsidRDefault="00151EC2" w:rsidP="001D49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0.41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±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8B71C19" w14:textId="77777777" w:rsidR="00151EC2" w:rsidRDefault="00151EC2" w:rsidP="001D49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294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±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3BDC60C" w14:textId="77777777" w:rsidR="00151EC2" w:rsidRDefault="00151EC2" w:rsidP="001D49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0.11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±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2638178" w14:textId="77777777" w:rsidR="00151EC2" w:rsidRDefault="00151EC2" w:rsidP="001D49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89.9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±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8.5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E6A9A89" w14:textId="77777777" w:rsidR="00151EC2" w:rsidRDefault="00151EC2" w:rsidP="001D49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138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±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</w:tbl>
    <w:p w14:paraId="4F69A5E7" w14:textId="77777777" w:rsidR="00151EC2" w:rsidRDefault="00151EC2" w:rsidP="00151EC2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230E7F16" w14:textId="77777777" w:rsidR="00151EC2" w:rsidRDefault="00151EC2" w:rsidP="00151EC2">
      <w:r>
        <w:rPr>
          <w:noProof/>
        </w:rPr>
        <w:drawing>
          <wp:inline distT="0" distB="0" distL="0" distR="0" wp14:anchorId="50314A9C" wp14:editId="0E0833E4">
            <wp:extent cx="5274945" cy="3930650"/>
            <wp:effectExtent l="0" t="0" r="190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393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F3182" w14:textId="2045B8A1" w:rsidR="00D63524" w:rsidRPr="00151EC2" w:rsidRDefault="00151EC2" w:rsidP="00151EC2">
      <w:pPr>
        <w:spacing w:line="360" w:lineRule="auto"/>
        <w:rPr>
          <w:rFonts w:hint="eastAsia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Figure S1. Steady-state gas exchange parameters across two rice genotypes. </w:t>
      </w:r>
      <w:proofErr w:type="spellStart"/>
      <w:r>
        <w:rPr>
          <w:rFonts w:ascii="Times New Roman" w:hAnsi="Times New Roman" w:cs="Times New Roman"/>
          <w:i/>
          <w:sz w:val="24"/>
        </w:rPr>
        <w:t>A</w:t>
      </w:r>
      <w:r>
        <w:rPr>
          <w:rFonts w:ascii="Times New Roman" w:hAnsi="Times New Roman" w:cs="Times New Roman"/>
          <w:sz w:val="24"/>
          <w:vertAlign w:val="subscript"/>
        </w:rPr>
        <w:t>steady</w:t>
      </w:r>
      <w:proofErr w:type="spellEnd"/>
      <w:r>
        <w:rPr>
          <w:rFonts w:ascii="Times New Roman" w:hAnsi="Times New Roman" w:cs="Times New Roman"/>
          <w:sz w:val="24"/>
        </w:rPr>
        <w:t xml:space="preserve"> and </w:t>
      </w:r>
      <w:proofErr w:type="spellStart"/>
      <w:r>
        <w:rPr>
          <w:rFonts w:ascii="Times New Roman" w:hAnsi="Times New Roman" w:cs="Times New Roman"/>
          <w:i/>
          <w:sz w:val="24"/>
        </w:rPr>
        <w:t>g</w:t>
      </w:r>
      <w:r>
        <w:rPr>
          <w:rFonts w:ascii="Times New Roman" w:hAnsi="Times New Roman" w:cs="Times New Roman"/>
          <w:sz w:val="24"/>
          <w:vertAlign w:val="subscript"/>
        </w:rPr>
        <w:t>m,steady</w:t>
      </w:r>
      <w:proofErr w:type="spellEnd"/>
      <w:r>
        <w:rPr>
          <w:rFonts w:ascii="Times New Roman" w:hAnsi="Times New Roman" w:cs="Times New Roman"/>
          <w:sz w:val="24"/>
        </w:rPr>
        <w:t xml:space="preserve"> are photosynthetic rate and mesophyll conductance measured at a PPFD of 1500 </w:t>
      </w:r>
      <w:r>
        <w:rPr>
          <w:rFonts w:ascii="Symbol" w:hAnsi="Symbol" w:cs="Times New Roman"/>
          <w:sz w:val="24"/>
        </w:rPr>
        <w:t></w:t>
      </w:r>
      <w:r>
        <w:rPr>
          <w:rFonts w:ascii="Times New Roman" w:hAnsi="Times New Roman" w:cs="Times New Roman"/>
          <w:sz w:val="24"/>
        </w:rPr>
        <w:t>mol m</w:t>
      </w:r>
      <w:r>
        <w:rPr>
          <w:rFonts w:ascii="Times New Roman" w:hAnsi="Times New Roman" w:cs="Times New Roman"/>
          <w:sz w:val="24"/>
          <w:vertAlign w:val="superscript"/>
        </w:rPr>
        <w:t>-2</w:t>
      </w:r>
      <w:r>
        <w:rPr>
          <w:rFonts w:ascii="Times New Roman" w:hAnsi="Times New Roman" w:cs="Times New Roman"/>
          <w:sz w:val="24"/>
        </w:rPr>
        <w:t xml:space="preserve"> s</w:t>
      </w:r>
      <w:r>
        <w:rPr>
          <w:rFonts w:ascii="Times New Roman" w:hAnsi="Times New Roman" w:cs="Times New Roman"/>
          <w:sz w:val="24"/>
          <w:vertAlign w:val="superscript"/>
        </w:rPr>
        <w:t>-1</w:t>
      </w:r>
      <w:r>
        <w:rPr>
          <w:rFonts w:ascii="Times New Roman" w:hAnsi="Times New Roman" w:cs="Times New Roman"/>
          <w:sz w:val="24"/>
        </w:rPr>
        <w:t xml:space="preserve"> and CO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concentration of 400 </w:t>
      </w:r>
      <w:r>
        <w:rPr>
          <w:rFonts w:ascii="Symbol" w:hAnsi="Symbol" w:cs="Times New Roman"/>
          <w:sz w:val="24"/>
        </w:rPr>
        <w:t></w:t>
      </w:r>
      <w:r>
        <w:rPr>
          <w:rFonts w:ascii="Times New Roman" w:hAnsi="Times New Roman" w:cs="Times New Roman"/>
          <w:sz w:val="24"/>
        </w:rPr>
        <w:t>mol mol</w:t>
      </w:r>
      <w:r>
        <w:rPr>
          <w:rFonts w:ascii="Times New Roman" w:hAnsi="Times New Roman" w:cs="Times New Roman"/>
          <w:sz w:val="24"/>
          <w:vertAlign w:val="superscript"/>
        </w:rPr>
        <w:t>-1</w:t>
      </w:r>
      <w:r>
        <w:rPr>
          <w:rFonts w:ascii="Times New Roman" w:hAnsi="Times New Roman" w:cs="Times New Roman"/>
          <w:sz w:val="24"/>
        </w:rPr>
        <w:t>, respectively.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V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cmax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J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max</w:t>
      </w:r>
      <w:proofErr w:type="spellEnd"/>
      <w:r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are maximum velocity of Rubisco for carboxylation and maximum rate of electron transport, respectively. </w:t>
      </w:r>
      <w:r>
        <w:rPr>
          <w:rFonts w:ascii="Times New Roman" w:hAnsi="Times New Roman" w:cs="Times New Roman"/>
          <w:sz w:val="24"/>
        </w:rPr>
        <w:t>All values are means (</w:t>
      </w:r>
      <w:r>
        <w:rPr>
          <w:rFonts w:ascii="Times New Roman" w:eastAsia="宋体" w:hAnsi="Times New Roman" w:cs="Times New Roman"/>
          <w:sz w:val="24"/>
        </w:rPr>
        <w:t xml:space="preserve">± </w:t>
      </w:r>
      <w:r>
        <w:rPr>
          <w:rFonts w:ascii="Times New Roman" w:hAnsi="Times New Roman" w:cs="Times New Roman"/>
          <w:sz w:val="24"/>
        </w:rPr>
        <w:t>SD) of four measurements.</w:t>
      </w:r>
    </w:p>
    <w:sectPr w:rsidR="00D63524" w:rsidRPr="00151EC2" w:rsidSect="005D4AB3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EBA24" w14:textId="77777777" w:rsidR="00EC1FC6" w:rsidRDefault="00EC1FC6" w:rsidP="00151EC2">
      <w:r>
        <w:separator/>
      </w:r>
    </w:p>
  </w:endnote>
  <w:endnote w:type="continuationSeparator" w:id="0">
    <w:p w14:paraId="0DB22915" w14:textId="77777777" w:rsidR="00EC1FC6" w:rsidRDefault="00EC1FC6" w:rsidP="00151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EB525" w14:textId="77777777" w:rsidR="00EC1FC6" w:rsidRDefault="00EC1FC6" w:rsidP="00151EC2">
      <w:r>
        <w:separator/>
      </w:r>
    </w:p>
  </w:footnote>
  <w:footnote w:type="continuationSeparator" w:id="0">
    <w:p w14:paraId="58FCA8FF" w14:textId="77777777" w:rsidR="00EC1FC6" w:rsidRDefault="00EC1FC6" w:rsidP="00151E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DCA"/>
    <w:rsid w:val="00151EC2"/>
    <w:rsid w:val="009A5DCA"/>
    <w:rsid w:val="00D63524"/>
    <w:rsid w:val="00EC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93D82"/>
  <w15:chartTrackingRefBased/>
  <w15:docId w15:val="{C652C30B-BFAC-4E98-A39B-952E2B533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E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1E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1E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1E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1EC2"/>
    <w:rPr>
      <w:sz w:val="18"/>
      <w:szCs w:val="18"/>
    </w:rPr>
  </w:style>
  <w:style w:type="table" w:styleId="a7">
    <w:name w:val="Table Grid"/>
    <w:basedOn w:val="a1"/>
    <w:uiPriority w:val="39"/>
    <w:rsid w:val="00151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151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Zhuang</dc:creator>
  <cp:keywords/>
  <dc:description/>
  <cp:lastModifiedBy>Zhuang</cp:lastModifiedBy>
  <cp:revision>2</cp:revision>
  <dcterms:created xsi:type="dcterms:W3CDTF">2023-05-11T02:00:00Z</dcterms:created>
  <dcterms:modified xsi:type="dcterms:W3CDTF">2023-05-11T02:00:00Z</dcterms:modified>
</cp:coreProperties>
</file>