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80" w:line="240" w:lineRule="auto"/>
        <w:rPr>
          <w:rFonts w:ascii="Calibri" w:cs="Calibri" w:eastAsia="Calibri" w:hAnsi="Calibri"/>
        </w:rPr>
      </w:pPr>
      <w:bookmarkStart w:colFirst="0" w:colLast="0" w:name="_qsh70q" w:id="0"/>
      <w:bookmarkEnd w:id="0"/>
      <w:r w:rsidDel="00000000" w:rsidR="00000000" w:rsidRPr="00000000">
        <w:rPr>
          <w:rFonts w:ascii="Calibri" w:cs="Calibri" w:eastAsia="Calibri" w:hAnsi="Calibri"/>
          <w:rtl w:val="0"/>
        </w:rPr>
        <w:t xml:space="preserve">Appendix II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Table 1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Demographic Characteristic of the Participants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tbl>
      <w:tblPr>
        <w:tblStyle w:val="Table1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590"/>
        <w:gridCol w:w="4320"/>
        <w:tblGridChange w:id="0">
          <w:tblGrid>
            <w:gridCol w:w="4590"/>
            <w:gridCol w:w="4320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Demographic variable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Value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Age, M(SD)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66 (5.94)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Race/ethnicity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White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7(70%)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Black/Asian/Others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(30%)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Residential setting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Urban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(50%)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Suburban/rural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(50%)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Marital status, married/common- law relationship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 (100%)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Employment status, retired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9 (90%)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Preferred devices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Desktop/laptop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 (60%)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Smartphone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(20%)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Tablet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(20%)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Comfort with preferred device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Very comfortable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 (60%)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Comfortable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(40%)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Frequency of prefered device 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Frequently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 (80%)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Sometimes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(20%)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Activities with preferred device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Communication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 (80%)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Information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 (100%)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Scheduling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 (80%)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Information storage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 (100%)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Leisure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 (80%)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Health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(50%)</w:t>
            </w:r>
          </w:p>
        </w:tc>
      </w:tr>
    </w:tbl>
    <w:p w:rsidR="00000000" w:rsidDel="00000000" w:rsidP="00000000" w:rsidRDefault="00000000" w:rsidRPr="00000000" w14:paraId="0000003C">
      <w:pPr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