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A12F0" w14:textId="60A1E244" w:rsidR="00841A55" w:rsidRPr="003E1532" w:rsidRDefault="00841A55" w:rsidP="00841A55">
      <w:pPr>
        <w:spacing w:line="480" w:lineRule="auto"/>
        <w:rPr>
          <w:b/>
          <w:bCs/>
          <w:sz w:val="28"/>
          <w:szCs w:val="28"/>
          <w:lang w:val="en-US"/>
        </w:rPr>
      </w:pPr>
      <w:r w:rsidRPr="003E1532">
        <w:rPr>
          <w:b/>
          <w:bCs/>
          <w:sz w:val="28"/>
          <w:szCs w:val="28"/>
          <w:lang w:val="en-US"/>
        </w:rPr>
        <w:t xml:space="preserve">Supplementary </w:t>
      </w:r>
      <w:r w:rsidR="00296380">
        <w:rPr>
          <w:b/>
          <w:bCs/>
          <w:sz w:val="28"/>
          <w:szCs w:val="28"/>
          <w:lang w:val="en-US"/>
        </w:rPr>
        <w:t xml:space="preserve">methods </w:t>
      </w:r>
      <w:r w:rsidRPr="003E1532">
        <w:rPr>
          <w:b/>
          <w:bCs/>
          <w:sz w:val="28"/>
          <w:szCs w:val="28"/>
          <w:lang w:val="en-US"/>
        </w:rPr>
        <w:t>S</w:t>
      </w:r>
      <w:r w:rsidR="00A5268E">
        <w:rPr>
          <w:b/>
          <w:bCs/>
          <w:sz w:val="28"/>
          <w:szCs w:val="28"/>
          <w:lang w:val="en-US"/>
        </w:rPr>
        <w:t>2</w:t>
      </w:r>
      <w:r w:rsidRPr="003E1532">
        <w:rPr>
          <w:b/>
          <w:bCs/>
          <w:sz w:val="28"/>
          <w:szCs w:val="28"/>
          <w:lang w:val="en-US"/>
        </w:rPr>
        <w:t xml:space="preserve"> </w:t>
      </w:r>
    </w:p>
    <w:p w14:paraId="5F257EC4" w14:textId="77777777" w:rsidR="00841A55" w:rsidRPr="003E1532" w:rsidRDefault="00841A55" w:rsidP="00841A55">
      <w:pPr>
        <w:spacing w:line="480" w:lineRule="auto"/>
        <w:jc w:val="both"/>
        <w:rPr>
          <w:b/>
          <w:lang w:val="en-US"/>
        </w:rPr>
      </w:pPr>
      <w:r w:rsidRPr="003E1532">
        <w:rPr>
          <w:b/>
          <w:lang w:val="en-US"/>
        </w:rPr>
        <w:t>Plasma and serum collection</w:t>
      </w:r>
    </w:p>
    <w:p w14:paraId="3C7D0F87" w14:textId="77777777" w:rsidR="00841A55" w:rsidRPr="003E1532" w:rsidRDefault="00841A55" w:rsidP="00841A55">
      <w:pPr>
        <w:spacing w:line="480" w:lineRule="auto"/>
        <w:jc w:val="both"/>
        <w:rPr>
          <w:lang w:val="en-US"/>
        </w:rPr>
      </w:pPr>
      <w:r w:rsidRPr="003E1532">
        <w:rPr>
          <w:lang w:val="en-US"/>
        </w:rPr>
        <w:t>Peripheral blood was routinely sampled at first consultation in the breast clinic, before initiation of any treatment, in 5-mL BD Vacutainer® SST II Advance tubes (for serum collection) and in 4-mL BD Vacutainer® EDTA K2E tubes (for plasma collection). Blood samples were incubated at room temperature for a minimum of 20 minutes to a maximum of 60 minutes. After that, blood tubes were centrifuged at 1600xg for 15 minutes at 4°C. After centrifugation, plasma/serum was isolated and stored in aliquots at -80°C until future use. Both serum and plasma samples were used depending on availability, but for the same matched patient pair, always the same type of blood sample was used.</w:t>
      </w:r>
    </w:p>
    <w:p w14:paraId="24C97E38" w14:textId="77777777" w:rsidR="00841A55" w:rsidRPr="003E1532" w:rsidRDefault="00841A55" w:rsidP="00841A55">
      <w:pPr>
        <w:spacing w:line="480" w:lineRule="auto"/>
        <w:jc w:val="both"/>
        <w:rPr>
          <w:lang w:val="en-US"/>
        </w:rPr>
      </w:pPr>
      <w:r w:rsidRPr="003E1532">
        <w:rPr>
          <w:rFonts w:cs="Calibri"/>
          <w:b/>
          <w:bCs/>
          <w:color w:val="0E101A"/>
          <w:lang w:val="en-US"/>
        </w:rPr>
        <w:t xml:space="preserve">Chemokine, </w:t>
      </w:r>
      <w:r w:rsidRPr="003E1532">
        <w:rPr>
          <w:b/>
          <w:lang w:val="en-US"/>
        </w:rPr>
        <w:t>OPN, and LIF assessments</w:t>
      </w:r>
    </w:p>
    <w:p w14:paraId="60FBEB74" w14:textId="77777777" w:rsidR="00841A55" w:rsidRPr="003E1532" w:rsidRDefault="00841A55" w:rsidP="00841A55">
      <w:pPr>
        <w:spacing w:line="480" w:lineRule="auto"/>
        <w:jc w:val="both"/>
        <w:rPr>
          <w:lang w:val="en-US"/>
        </w:rPr>
      </w:pPr>
      <w:r w:rsidRPr="003E1532">
        <w:rPr>
          <w:lang w:val="en-US"/>
        </w:rPr>
        <w:t>For the chemokine measurements, plasma samples were analyzed by cytometric bead array technology using customized multiplex chemokine panels, including fractalkine/CX3CL1, GRO</w:t>
      </w:r>
      <w:r w:rsidRPr="003E1532">
        <w:t>α</w:t>
      </w:r>
      <w:r w:rsidRPr="003E1532">
        <w:rPr>
          <w:lang w:val="en-US"/>
        </w:rPr>
        <w:t>/CXCL1, IP-10/CXCL10, TECK/CCL25, TARC/CCL17, IL-8/CXCL8, MCP-1/CCL2, ITAC/CXCL11, BCA-1/CXCL13, RANTES/CCL5, MIP-3b/CCL19, CTACK/CCL27, MIP-3</w:t>
      </w:r>
      <w:r w:rsidRPr="003E1532">
        <w:t>α</w:t>
      </w:r>
      <w:r w:rsidRPr="003E1532">
        <w:rPr>
          <w:lang w:val="en-US"/>
        </w:rPr>
        <w:t xml:space="preserve">/CCL20, 6-Ckine/CCL21, and CXCL12/SDF-1 (Aimplex®, Biosciences Inc) and flow cytometry (FACSVerse™, BD). The assay was performed according to the manufacturer’s protocol and every sample was analyzed in duplicate. After the staining procedure, standard dilutions and samples were run on a FACSVerse flow cytometer equipped with FACSuite software (BD Biosciences). Fitting curves of the standard series and final concentrations of the samples (pg/mL) were calculated for each of the 15 analytes in FCAP Array analysis software (BD Biosciences). </w:t>
      </w:r>
      <w:r w:rsidRPr="003E1532">
        <w:rPr>
          <w:lang w:val="en-US"/>
        </w:rPr>
        <w:br/>
        <w:t xml:space="preserve">For the plasma OPN and LIF measurements, a 2-plex bead-based immunoassay (LEGENDplex™ Custom Human Panel, BioLegend®) was performed according to the manufacturer’s protocol. After flow cytometric analysis (see above) of the standard dilutions and samples, data were analyzed with the online BioLegend LEGENDplex™ (https://www.biolegend.com/en-us/legendplex) software tool. </w:t>
      </w:r>
    </w:p>
    <w:p w14:paraId="3B84BB6D" w14:textId="77777777" w:rsidR="00841A55" w:rsidRPr="003E1532" w:rsidRDefault="00841A55" w:rsidP="00841A55">
      <w:pPr>
        <w:spacing w:line="480" w:lineRule="auto"/>
        <w:jc w:val="both"/>
        <w:rPr>
          <w:b/>
          <w:lang w:val="en-US"/>
        </w:rPr>
      </w:pPr>
      <w:r w:rsidRPr="003E1532">
        <w:rPr>
          <w:b/>
          <w:lang w:val="en-US"/>
        </w:rPr>
        <w:lastRenderedPageBreak/>
        <w:t>Micro-RNA (miRNA) isolation</w:t>
      </w:r>
    </w:p>
    <w:p w14:paraId="6E1708DB" w14:textId="77777777" w:rsidR="00841A55" w:rsidRPr="003E1532" w:rsidRDefault="00841A55" w:rsidP="00841A55">
      <w:pPr>
        <w:spacing w:line="480" w:lineRule="auto"/>
        <w:jc w:val="both"/>
        <w:rPr>
          <w:lang w:val="en-US"/>
        </w:rPr>
      </w:pPr>
      <w:r w:rsidRPr="003E1532">
        <w:rPr>
          <w:lang w:val="en-US"/>
        </w:rPr>
        <w:t>Samples were thawed and centrifuged at 3000xg for 5 minutes at 4°C to remove debris. In order to detect hemolysis, the absorbance spectrum at 415 nm (i.e., absorbance maximum of hemoglobin) of the supernatant was measured on the Nanodrop</w:t>
      </w:r>
      <w:r w:rsidRPr="003E1532">
        <w:rPr>
          <w:rFonts w:cs="Calibri"/>
          <w:lang w:val="en-US"/>
        </w:rPr>
        <w:t>™</w:t>
      </w:r>
      <w:r w:rsidRPr="003E1532">
        <w:rPr>
          <w:lang w:val="en-US"/>
        </w:rPr>
        <w:t xml:space="preserve"> 2000/2000c spectrophotometer (ThermoFisher Scientific). Hemolysis can interfere with plasma/serum miRNA profiles by contamination of cell-derived miRNAs. The qPCR quality control panel (see below) further verified the absence of hemolysis. Samples suspected of hemolysis by both methods were excluded from the experiment. Total RNA (including miRNA) was purified from non-hemolyzed samples using the miRNeasy Serum/Plasma Advanced Kit (Qiagen), following the manufacturer’s protocol with slight modifications. Concisely, to 200 µL of plasma or serum, a lysis mix was added that consists of 60 µL lysis buffer from the kit together with 1 µg of carrier M2S RNA (Roche®), and 1 µL RNA spike-in template mixture containing UniSp2, Unisp4, and Unisp5 to control for RNA extraction efficiency of low-abundance miRNAs (miRNeasy Serum/Plasma Spike-In Control, Qiagen). The following steps of miRNA isolation were carried out according to the manufacturer’s protocol. The final elution from the column was performed with 20 µL DEPC-treated RNAse-free water, and eluates were stored at -80°C until cDNA synthesis. </w:t>
      </w:r>
    </w:p>
    <w:p w14:paraId="04BBA59C" w14:textId="77777777" w:rsidR="00841A55" w:rsidRPr="003E1532" w:rsidRDefault="00841A55" w:rsidP="00841A55">
      <w:pPr>
        <w:spacing w:line="480" w:lineRule="auto"/>
        <w:jc w:val="both"/>
        <w:rPr>
          <w:b/>
          <w:lang w:val="en-US"/>
        </w:rPr>
      </w:pPr>
      <w:r w:rsidRPr="003E1532">
        <w:rPr>
          <w:b/>
          <w:lang w:val="en-US"/>
        </w:rPr>
        <w:t>cDNA synthesis and RT-qPCR-based miRNA assay</w:t>
      </w:r>
    </w:p>
    <w:p w14:paraId="2DCD0274" w14:textId="77777777" w:rsidR="00841A55" w:rsidRPr="003E1532" w:rsidRDefault="00841A55" w:rsidP="00841A55">
      <w:pPr>
        <w:spacing w:line="480" w:lineRule="auto"/>
        <w:jc w:val="both"/>
        <w:rPr>
          <w:lang w:val="en-US"/>
        </w:rPr>
      </w:pPr>
      <w:r w:rsidRPr="003E1532">
        <w:rPr>
          <w:lang w:val="en-US"/>
        </w:rPr>
        <w:t xml:space="preserve">cDNA was synthesized from 4 µL RNA extract in a 20 µL reaction volume, using the miRCURY LNA RT kit (Qiagen) according to the manufacturer’s protocol. After that, 2 µL cDNA was immediately used for quality control (QC) qPCR, using the miRCURY LNA miRNA QC PCR panel (Qiagen). The remaining 18 µL was stored at -80°C. Samples that passed the QC criteria were further analyzed in a customized PCR panel assay (96-well miRCURY LNA miRNA Custom PCR </w:t>
      </w:r>
      <w:r w:rsidRPr="003E1532">
        <w:rPr>
          <w:rFonts w:cs="Calibri"/>
          <w:lang w:val="en-US"/>
        </w:rPr>
        <w:t xml:space="preserve">Panel, Qiagen). The panel consisted of a reduced version (1x96 well format) of the </w:t>
      </w:r>
      <w:r w:rsidRPr="003E1532">
        <w:rPr>
          <w:rFonts w:cs="Calibri"/>
          <w:spacing w:val="6"/>
          <w:lang w:val="en-US"/>
        </w:rPr>
        <w:t xml:space="preserve">miRCURY LNA miRNA Serum/Plasma Focus PCR Panel (2x96 well format), designed for profiling of 175 human miRNAs commonly found in plasma and serum. The selection of </w:t>
      </w:r>
      <w:r w:rsidRPr="003E1532">
        <w:rPr>
          <w:rFonts w:cs="Calibri"/>
          <w:lang w:val="en-US"/>
        </w:rPr>
        <w:t>91 miRNAs for the reduced panel was based on a small pilot study using a subset of the samples. MiRNAs that did not give a reliable signal were removed</w:t>
      </w:r>
      <w:r w:rsidRPr="003E1532">
        <w:rPr>
          <w:lang w:val="en-US"/>
        </w:rPr>
        <w:t xml:space="preserve"> from the panel for </w:t>
      </w:r>
      <w:r w:rsidRPr="003E1532">
        <w:rPr>
          <w:lang w:val="en-US"/>
        </w:rPr>
        <w:lastRenderedPageBreak/>
        <w:t>assessment of the remaining samples and for the final data analysis. The final list of included miRNAs in the reduced panel is shown in supplementary table S3. Along with the 91 selected miRNAs, the customized 96-well panel also included triplicate wells of an interplate calibrator (UniSp3) for detection of technical run-to-run differences, UniSp6 as a control for cDNA reaction efficiency, and a negative control. All PCR reactions were prepared by mixing 50-fold diluted cDNA with an equal volume of SYBR Green master mix (miRCURY LNA SYBR Green PCR Kit, Qiagen). The final reaction volume was 10 µL per well. PCR plates were run on the LightCycler®480 (LC480, Roche) instrument applying the following thermal cycling protocol: activation step (10 min at 95°C); 45 amplification cycles (10 s at 95°C, 1 min at 60°C, ramp rate 1,6°C/s); melting curve (5 s at 95°C, 1 min at 40°C); cool down (10 s at 40°C). After RT-qPCR, Cp values were determined by the LC480 software using the second derivative method and were exported for further analysis in the qBase+ software (Biogazelle). Global mean normalization was applied and results were calculated as logarithmically (log10 base) transformed calibrated normalized relative quantities (CNRQ values), which were used for further statistical analysis.</w:t>
      </w:r>
    </w:p>
    <w:p w14:paraId="2CE3D922" w14:textId="77777777" w:rsidR="00841A55" w:rsidRPr="003E1532" w:rsidRDefault="00841A55" w:rsidP="00841A55">
      <w:pPr>
        <w:spacing w:line="480" w:lineRule="auto"/>
        <w:jc w:val="both"/>
        <w:rPr>
          <w:lang w:val="en-US"/>
        </w:rPr>
      </w:pPr>
      <w:r w:rsidRPr="003E1532">
        <w:rPr>
          <w:b/>
          <w:lang w:val="en-US"/>
        </w:rPr>
        <w:t>Serum functional immunodynamic status (sFIS) assay</w:t>
      </w:r>
    </w:p>
    <w:p w14:paraId="3C0DC1A5" w14:textId="77777777" w:rsidR="00841A55" w:rsidRPr="003E1532" w:rsidRDefault="00841A55" w:rsidP="00841A55">
      <w:pPr>
        <w:spacing w:line="480" w:lineRule="auto"/>
        <w:jc w:val="both"/>
        <w:rPr>
          <w:lang w:val="en-US"/>
        </w:rPr>
      </w:pPr>
      <w:r w:rsidRPr="003E1532">
        <w:rPr>
          <w:bCs/>
          <w:lang w:val="en-US"/>
        </w:rPr>
        <w:t>Baseline serum samples were analyzed with the sFIS assay. THP1-DualTM cells (InvivoGen) featuring simultaneously a secreted embryonic alkaline phosphatase (SEAP) reporter gene and a secreted luciferase reporter gene driven by their specific promoters, resistant to the selectable markers zeocin and blasticidin, were used to study the NF</w:t>
      </w:r>
      <w:r w:rsidRPr="003E1532">
        <w:rPr>
          <w:rFonts w:ascii="Times New Roman" w:hAnsi="Times New Roman"/>
          <w:bCs/>
          <w:lang w:val="en-US"/>
        </w:rPr>
        <w:t>κ</w:t>
      </w:r>
      <w:r w:rsidRPr="003E1532">
        <w:rPr>
          <w:bCs/>
          <w:lang w:val="en-US"/>
        </w:rPr>
        <w:t>B pathway and the IRF pathway by monitoring, respectively, the activity of SEAP and Lucia luciferase. The THP-1 dual cells were cultured at 37°C under 5% CO</w:t>
      </w:r>
      <w:r w:rsidRPr="003E1532">
        <w:rPr>
          <w:bCs/>
          <w:vertAlign w:val="subscript"/>
          <w:lang w:val="en-US"/>
        </w:rPr>
        <w:t>2</w:t>
      </w:r>
      <w:r w:rsidRPr="003E1532">
        <w:rPr>
          <w:bCs/>
          <w:lang w:val="en-US"/>
        </w:rPr>
        <w:t xml:space="preserve"> pressure</w:t>
      </w:r>
      <w:r w:rsidRPr="003E1532">
        <w:rPr>
          <w:bCs/>
          <w:vertAlign w:val="subscript"/>
          <w:lang w:val="en-US"/>
        </w:rPr>
        <w:t xml:space="preserve"> </w:t>
      </w:r>
      <w:r w:rsidRPr="003E1532">
        <w:rPr>
          <w:bCs/>
          <w:lang w:val="en-US"/>
        </w:rPr>
        <w:t xml:space="preserve">in RPMI-1640 medium containing 10% heat-inactivated fetal bovine serum (FBS), 100 U/mL penicillin, 100 µg/mL streptomycin, 100 µg/mL normocin, 2 mM L-glutamine, 25 mM 4-(2-hydroxyethyl)-1-piperazineethanesulfonic acid (HEPES). For every other passage, the cells were cultured with 10 µg/mL blasticidin and 100 µg/mL zeocin to select the dual reporter expressing cells. For analysis of human serum samples, THP1-DualTM cells (InvivoGen) were seeded in 100 µL medium </w:t>
      </w:r>
      <w:r w:rsidRPr="003E1532">
        <w:rPr>
          <w:bCs/>
          <w:lang w:val="en-US"/>
        </w:rPr>
        <w:lastRenderedPageBreak/>
        <w:t>a density of 30 000 cells/well in a 96-well plate. After 24 h, THP1 cells were treated with 1000 ng/mL lipopolysaccharide as a positive control, 100 µL of normal human serum (pooled from several normal human individuals, Sigma-Aldrich) as a baseline for the assay, or with patient serum of the trial. Luciferase activity in the media was checked after adding 50 µL of Quanti-Luc (Invivogen) to 100 µL of (separately recovered) THP1 media by examining the bioluminescence for 100 ms immediately after adding Quanti-Luc. SEAP activity was assessed by adding 100 µL of Quanti-Blue (Invivogen) to 100 µL of (separately recovered) THP1 media and reading the absorbance at an optical density of 655 nm, 4–8 h after Quanti-Blue addition. The measurement of both luciferase (bioluminescence) and SEAP (colorimetric) activity was performed with a microplate reader (Biotek)</w:t>
      </w:r>
      <w:r w:rsidRPr="003E1532">
        <w:rPr>
          <w:bCs/>
          <w:lang w:val="en-US"/>
        </w:rPr>
        <w:fldChar w:fldCharType="begin">
          <w:fldData xml:space="preserve">PEVuZE5vdGU+PENpdGU+PEF1dGhvcj5TcHJvb3RlbjwvQXV0aG9yPjxZZWFyPjIwMjI8L1llYXI+
PFJlY051bT4xMTc5PC9SZWNOdW0+PERpc3BsYXlUZXh0PigxOCwgMTkpPC9EaXNwbGF5VGV4dD48
cmVjb3JkPjxyZWMtbnVtYmVyPjExNzk8L3JlYy1udW1iZXI+PGZvcmVpZ24ta2V5cz48a2V5IGFw
cD0iRU4iIGRiLWlkPSI5eHhkd2Y5NWV0cnI1cGV0cnNucHRmcm50ZnB4ZTV3NWRkcnMiIHRpbWVz
dGFtcD0iMTY1NTkwNTcxOCI+MTE3OTwva2V5PjwvZm9yZWlnbi1rZXlzPjxyZWYtdHlwZSBuYW1l
PSJKb3VybmFsIEFydGljbGUiPjE3PC9yZWYtdHlwZT48Y29udHJpYnV0b3JzPjxhdXRob3JzPjxh
dXRob3I+U3Byb290ZW4sIEouPC9hdXRob3I+PGF1dGhvcj5Db29zZW1hbnMsIEEuPC9hdXRob3I+
PGF1dGhvcj5HYXJnLCBBLiBELjwvYXV0aG9yPjwvYXV0aG9ycz48L2NvbnRyaWJ1dG9ycz48YXV0
aC1hZGRyZXNzPkRlcGFydG1lbnQgb2YgQ2VsbHVsYXIgJmFtcDsgTW9sZWN1bGFyIE1lZGljaW5l
LCBMYWJvcmF0b3J5IG9mIENlbGwgU3RyZXNzICZhbXA7IEltbXVuaXR5LCBLVSBMZXV2ZW4sIEJl
bGdpdW0uJiN4RDtEZXBhcnRtZW50IG9mIE9uY29sb2d5LCBMZXV2ZW4gQ2FuY2VyIEluc3RpdHV0
ZSwgTGFib3JhdG9yeSBvZiBUdW1vciBJbW11bm9sb2d5IGFuZCBJbW11bm90aGVyYXB5LCBLVSBM
ZXV2ZW4sIEJlbGdpdW0uPC9hdXRoLWFkZHJlc3M+PHRpdGxlcz48dGl0bGU+QSBmaXJzdC1pbi1j
bGFzcywgbm9uLWludmFzaXZlLCBpbW11bm9keW5hbWljIGJpb21hcmtlciBhcHByb2FjaCBmb3Ig
cHJlY2lzaW9uIGltbXVuby1vbmNvbG9neTwvdGl0bGU+PHNlY29uZGFyeS10aXRsZT5PbmNvaW1t
dW5vbG9neTwvc2Vjb25kYXJ5LXRpdGxlPjwvdGl0bGVzPjxwZXJpb2RpY2FsPjxmdWxsLXRpdGxl
Pk9uY29pbW11bm9sb2d5PC9mdWxsLXRpdGxlPjwvcGVyaW9kaWNhbD48cGFnZXM+MjAyNDY5Mjwv
cGFnZXM+PHZvbHVtZT4xMTwvdm9sdW1lPjxudW1iZXI+MTwvbnVtYmVyPjxlZGl0aW9uPjIwMjIv
MDEvMTg8L2VkaXRpb24+PGtleXdvcmRzPjxrZXl3b3JkPkJpb21hcmtlcnM8L2tleXdvcmQ+PGtl
eXdvcmQ+SHVtYW5zPC9rZXl3b3JkPjxrZXl3b3JkPipJbW11bm90aGVyYXB5PC9rZXl3b3JkPjxr
ZXl3b3JkPk1lZGljYWwgT25jb2xvZ3k8L2tleXdvcmQ+PGtleXdvcmQ+TkYta2FwcGEgQjwva2V5
d29yZD48a2V5d29yZD4qTmVvcGxhc21zL2RpYWdub3Npcy90aGVyYXB5PC9rZXl3b3JkPjxrZXl3
b3JkPipJbW11bm9zdXJ2ZWlsbGFuY2U8L2tleXdvcmQ+PGtleXdvcmQ+KnRnZmIxPC9rZXl3b3Jk
PjxrZXl3b3JkPiphbnRpY2FuY2VyIGltbXVuaXR5PC9rZXl3b3JkPjxrZXl3b3JkPipiZW5pZ24g
b3IgYm9yZGVybGluZSBsZXNpb25zPC9rZXl3b3JkPjxrZXl3b3JkPippbW11bm9sb2d5PC9rZXl3
b3JkPjxrZXl3b3JkPippbmhpYml0b3J5IHJlY2VwdG9yczwva2V5d29yZD48a2V5d29yZD4qbHlt
cGhvY3l0ZXM8L2tleXdvcmQ+PGtleXdvcmQ+Km5ldXRyb3BoaWxzPC9rZXl3b3JkPjxrZXl3b3Jk
PipvdmFyaWFuIGNhbmMgZXI8L2tleXdvcmQ+PGtleXdvcmQ+KnBhdHRlcm4tcmVjb2duaXRpb24g
cmVjZXB0b3JzIChQUlJTKTwva2V5d29yZD48a2V5d29yZD4qd291bmQgaGVhbGluZzwva2V5d29y
ZD48L2tleXdvcmRzPjxkYXRlcz48eWVhcj4yMDIyPC95ZWFyPjwvZGF0ZXM+PGlzYm4+MjE2Mi00
MDJYIChFbGVjdHJvbmljKSYjeEQ7MjE2Mi00MDExIChMaW5raW5nKTwvaXNibj48YWNjZXNzaW9u
LW51bT4zNTAzNjA3NTwvYWNjZXNzaW9uLW51bT48dXJscz48cmVsYXRlZC11cmxzPjx1cmw+aHR0
cHM6Ly93d3cubmNiaS5ubG0ubmloLmdvdi9wdWJtZWQvMzUwMzYwNzU8L3VybD48L3JlbGF0ZWQt
dXJscz48L3VybHM+PGN1c3RvbTI+UE1DODc1NzQ3MjwvY3VzdG9tMj48ZWxlY3Ryb25pYy1yZXNv
dXJjZS1udW0+MTAuMTA4MC8yMTYyNDAyWC4yMDIxLjIwMjQ2OTI8L2VsZWN0cm9uaWMtcmVzb3Vy
Y2UtbnVtPjwvcmVjb3JkPjwvQ2l0ZT48Q2l0ZT48QXV0aG9yPlNwcm9vdGVuPC9BdXRob3I+PFll
YXI+MjAyMTwvWWVhcj48UmVjTnVtPjExODA8L1JlY051bT48cmVjb3JkPjxyZWMtbnVtYmVyPjEx
ODA8L3JlYy1udW1iZXI+PGZvcmVpZ24ta2V5cz48a2V5IGFwcD0iRU4iIGRiLWlkPSI5eHhkd2Y5
NWV0cnI1cGV0cnNucHRmcm50ZnB4ZTV3NWRkcnMiIHRpbWVzdGFtcD0iMTY1NTkwNTc3MyI+MTE4
MDwva2V5PjwvZm9yZWlnbi1rZXlzPjxyZWYtdHlwZSBuYW1lPSJKb3VybmFsIEFydGljbGUiPjE3
PC9yZWYtdHlwZT48Y29udHJpYnV0b3JzPjxhdXRob3JzPjxhdXRob3I+U3Byb290ZW4sIEouPC9h
dXRob3I+PGF1dGhvcj5WYW5rZXJja2hvdmVuLCBBLjwvYXV0aG9yPjxhdXRob3I+VmFubWVlcmJl
ZWssIEkuPC9hdXRob3I+PGF1dGhvcj5Cb3JyYXMsIEQuIE0uPC9hdXRob3I+PGF1dGhvcj5CZXJj
a21hbnMsIFkuPC9hdXRob3I+PGF1dGhvcj5Xb3V0ZXJzLCBSLjwvYXV0aG9yPjxhdXRob3I+TGF1
cmVhbm8sIFIuIFMuPC9hdXRob3I+PGF1dGhvcj5CYWVydCwgVC48L2F1dGhvcj48YXV0aG9yPkJv
b24sIEwuPC9hdXRob3I+PGF1dGhvcj5MYW5kb2xmbywgQy48L2F1dGhvcj48YXV0aG9yPlRlc3Rh
LCBBLiBDLjwvYXV0aG9yPjxhdXRob3I+RmlzY2hlcm92YSwgRC48L2F1dGhvcj48YXV0aG9yPlZh
biBIb2xzYmVrZSwgQy48L2F1dGhvcj48YXV0aG9yPkJvdXJuZSwgVC48L2F1dGhvcj48YXV0aG9y
PkNoaWFwcGEsIFYuPC9hdXRob3I+PGF1dGhvcj5Gcm95bWFuLCBXLjwvYXV0aG9yPjxhdXRob3I+
U2Nob2xzLCBELjwvYXV0aG9yPjxhdXRob3I+QWdvc3RpbmlzLCBQLjwvYXV0aG9yPjxhdXRob3I+
VGltbWVybWFuLCBELjwvYXV0aG9yPjxhdXRob3I+VGVqcGFyLCBTLjwvYXV0aG9yPjxhdXRob3I+
VmVyZ290ZSwgSS48L2F1dGhvcj48YXV0aG9yPkNvb3NlbWFucywgQS48L2F1dGhvcj48YXV0aG9y
PkdhcmcsIEEuIEQuPC9hdXRob3I+PC9hdXRob3JzPjwvY29udHJpYnV0b3JzPjxhdXRoLWFkZHJl
c3M+TGFib3JhdG9yeSBvZiBDZWxsIFN0cmVzcyAmYW1wOyBJbW11bml0eSwgRGVwYXJ0bWVudCBv
ZiBDZWxsdWxhciAmYW1wOyBNb2xlY3VsYXIgTWVkaWNpbmUsIEtVIExldXZlbiwgTGV1dmVuLCBC
ZWxnaXVtLiYjeEQ7RGVwYXJ0bWVudCBvZiBPbmNvbG9neSwgTGV1dmVuIENhbmNlciBJbnN0aXR1
dGUsIExhYm9yYXRvcnkgb2YgVHVtb3IgSW1tdW5vbG9neSBhbmQgSW1tdW5vdGhlcmFweSwgS1Ug
TGV1dmVuLCBMZXV2ZW4sIEJlbGdpdW0uJiN4RDtEZXBhcnRtZW50IG9mIE9uY29sb2d5LCBMZXV2
ZW4gQ2FuY2VyIEluc3RpdHV0ZSwgTGFib3JhdG9yeSBvZiBHeW5hZWNvbG9naWMgT25jb2xvZ3ks
IEtVIExldXZlbiwgTGV1dmVuLCBCZWxnaXVtLiYjeEQ7SkpQIEJpb2xvZ2ljcywgV2Fyc2F3LCBQ
b2xhbmQuJiN4RDtEZXBhcnRtZW50IG9mIERldmVsb3BtZW50IGFuZCBSZWdlbmVyYXRpb24sIEtV
IExldXZlbiwgTGV1dmVuLCBCZWxnaXVtLiYjeEQ7UXVlZW4gQ2hhcmxvdHRlJmFwb3M7cyBhbmQg
Q2hlbHNlYSBIb3NwaXRhbCwgSW1wZXJpYWwgQ29sbGVnZSwgTG9uZG9uLCBVSy4mI3hEO0RpcGFy
dGltZW50byBTY2llbnplIGRlbGxhIFNhbHV0ZSBkZWxsYSBEb25uYSBlIGRlbCBCYW1iaW5vLCBG
b25kYXppb25lIFBvbGljbGluaWNvIFVuaXZlcnNpdGFyaW8gQS4gR2VtZWxsaSwgSXN0aXR1dG8g
ZGkgUmljb3Zlcm8gZSBDdXJhIGEgQ2FyYXR0ZXJlIFNjaWVudGlmaWNvLCBSb21lLCBJdGFseS4m
I3hEO0RpcGFydGltZW50byBTY2llbnplIGRlbGxhIFZpdGEgZSBTYW5pdGEgcHViYmxpY2EsIFVu
aXZlcnNpdGEgQ2F0dG9saWNhIGRlbCBTYWNybyBDdW9yZSwgUm9tZSwgSXRhbHkuJiN4RDtDaGFy
bGVzIFVuaXZlcnNpdHksIFByYWhhLCBDemVjaCBSZXB1YmxpYy4mI3hEO1ppZWtlbmh1aXMgT29z
dC1MaW1idXJnLCBHZW5rLCBCZWxnaXVtLiYjeEQ7TmF0aW9uYWwgQ2FuY2VyIEluc3RpdHV0ZSBv
ZiBNaWxhbiwgTWlsYW4sIEl0YWx5LiYjeEQ7RGVwYXJ0bWVudCBvZiBHeW5hZWNvbG9neSBhbmQg
T2JzdGV0cmljcywgVVogTGV1dmVuLCBMZXV2ZW4sIEJlbGdpdW0uJiN4RDtEZXBhcnRtZW50IG9m
IE1pY3JvYmlvbG9neSwgSW1tdW5vbG9neSBhbmQgVHJhbnNwbGFudGF0aW9uLCBMYWJvcmF0b3J5
IG9mIFZpcm9sb2d5IGFuZCBDaGVtb3RoZXJhcHksIFJlZ2EgSW5zdGl0dXRlLCBLVSBMZXV2ZW4s
IExldXZlbiwgQmVsZ2l1bS4mI3hEO0RlcGFydG1lbnQgb2YgQ2VsbHVsYXIgYW5kIE1vbGVjdWxh
ciBNZWRpY2luZSwgQ2VsbCBEZWF0aCBSZXNlYXJjaCBhbmQgVGhlcmFweSBMYWJvcmF0b3J5LCBL
VSBMZXV2ZW4sIEJlbGdpdW0uJiN4RDtWSUIgQ2VudGVyIGZvciBDYW5jZXIgQmlvbG9neSwgVklC
LCBMZXV2ZW4sIEJlbGdpdW0uJiN4RDtMYWJvcmF0b3J5IGZvciBNb2xlY3VsYXIgRGlnZXN0aXZl
IE9uY29sb2d5LCBEZXBhcnRtZW50IG9mIE9uY29sb2d5LCBLVSBMZXV2ZW4sIExldXZlbiwgQmVs
Z2l1bS4mI3hEO0xhYm9yYXRvcnkgb2YgQ2VsbCBTdHJlc3MgJmFtcDsgSW1tdW5pdHksIERlcGFy
dG1lbnQgb2YgQ2VsbHVsYXIgJmFtcDsgTW9sZWN1bGFyIE1lZGljaW5lLCBLVSBMZXV2ZW4sIExl
dXZlbiwgQmVsZ2l1bSBhYmhpc2hlay5nYXJnQGt1bGV1dmVuLmJlLjwvYXV0aC1hZGRyZXNzPjx0
aXRsZXM+PHRpdGxlPlBlcmlwaGVyYWxseS1kcml2ZW4gbXllbG9pZCBORmtCIGFuZCBJRk4vSVNH
IHJlc3BvbnNlcyBwcmVkaWN0IG1hbGlnbmFuY3kgcmlzaywgc3Vydml2YWwsIGFuZCBpbW11bm90
aGVyYXB5IHJlZ2ltZSBpbiBvdmFyaWFuIGNhbmNlcjwvdGl0bGU+PHNlY29uZGFyeS10aXRsZT5K
IEltbXVub3RoZXIgQ2FuY2VyPC9zZWNvbmRhcnktdGl0bGU+PC90aXRsZXM+PHBlcmlvZGljYWw+
PGZ1bGwtdGl0bGU+SiBJbW11bm90aGVyIENhbmNlcjwvZnVsbC10aXRsZT48L3BlcmlvZGljYWw+
PHZvbHVtZT45PC92b2x1bWU+PG51bWJlcj4xMTwvbnVtYmVyPjxlZGl0aW9uPjIwMjEvMTEvMjA8
L2VkaXRpb24+PGtleXdvcmRzPjxrZXl3b3JkPkFuaW1hbHM8L2tleXdvcmQ+PGtleXdvcmQ+RmVt
YWxlPC9rZXl3b3JkPjxrZXl3b3JkPkh1bWFuczwva2V5d29yZD48a2V5d29yZD5JbW11bm90aGVy
YXB5LyptZXRob2RzPC9rZXl3b3JkPjxrZXl3b3JkPk1pY2U8L2tleXdvcmQ+PGtleXdvcmQ+TkYt
a2FwcGEgQi8qbWV0YWJvbGlzbTwva2V5d29yZD48a2V5d29yZD5PdmFyaWFuIE5lb3BsYXNtcy8q
ZHJ1ZyB0aGVyYXB5L2dlbmV0aWNzL21vcnRhbGl0eTwva2V5d29yZD48a2V5d29yZD5TdXJ2aXZh
bCBBbmFseXNpczwva2V5d29yZD48a2V5d29yZD4qY29tcHV0YXRpb25hbCBiaW9sb2d5PC9rZXl3
b3JkPjxrZXl3b3JkPippbW11bm9sb2dpY2FsIHRlY2huaXF1ZXM8L2tleXdvcmQ+PGtleXdvcmQ+
KmltbXVub3RoZXJhcHk8L2tleXdvcmQ+PGtleXdvcmQ+KnR1bW9yIGJpb21hcmtlcnM8L2tleXdv
cmQ+PGtleXdvcmQ+KnR1bW9yIG1pY3JvZW52aXJvbm1lbnQ8L2tleXdvcmQ+PGtleXdvcmQ+cGF0
ZW50IGFwcGxpY2F0aW9uLiBBREcgaGFzIHJlY2VpdmVkIGNvbnN1bHRpbmcvYWR2aXNvcnkvbGVj
dHVyZSBob25vcmFyaWEgZnJvbTwva2V5d29yZD48a2V5d29yZD5Cb2VocmluZ2VyIEluZ2VsaGVp
bSBhbmQgTWlsdGVueWkgQmlvdGVjLjwva2V5d29yZD48L2tleXdvcmRzPjxkYXRlcz48eWVhcj4y
MDIxPC95ZWFyPjxwdWItZGF0ZXM+PGRhdGU+Tm92PC9kYXRlPjwvcHViLWRhdGVzPjwvZGF0ZXM+
PGlzYm4+MjA1MS0xNDI2IChFbGVjdHJvbmljKSYjeEQ7MjA1MS0xNDI2IChMaW5raW5nKTwvaXNi
bj48YWNjZXNzaW9uLW51bT4zNDc5NTAwMzwvYWNjZXNzaW9uLW51bT48dXJscz48cmVsYXRlZC11
cmxzPjx1cmw+aHR0cHM6Ly93d3cubmNiaS5ubG0ubmloLmdvdi9wdWJtZWQvMzQ3OTUwMDM8L3Vy
bD48L3JlbGF0ZWQtdXJscz48L3VybHM+PGN1c3RvbTI+UE1DODYwMzI3NTwvY3VzdG9tMj48ZWxl
Y3Ryb25pYy1yZXNvdXJjZS1udW0+MTAuMTEzNi9qaXRjLTIwMjEtMDAzNjA5PC9lbGVjdHJvbmlj
LXJlc291cmNlLW51bT48L3JlY29yZD48L0NpdGU+PENpdGU+PEF1dGhvcj5TcHJvb3RlbjwvQXV0
aG9yPjxZZWFyPjIwMjI8L1llYXI+PFJlY051bT4xMTc5PC9SZWNOdW0+PHJlY29yZD48cmVjLW51
bWJlcj4xMTc5PC9yZWMtbnVtYmVyPjxmb3JlaWduLWtleXM+PGtleSBhcHA9IkVOIiBkYi1pZD0i
OXh4ZHdmOTVldHJyNXBldHJzbnB0ZnJudGZweGU1dzVkZHJzIiB0aW1lc3RhbXA9IjE2NTU5MDU3
MTgiPjExNzk8L2tleT48L2ZvcmVpZ24ta2V5cz48cmVmLXR5cGUgbmFtZT0iSm91cm5hbCBBcnRp
Y2xlIj4xNzwvcmVmLXR5cGU+PGNvbnRyaWJ1dG9ycz48YXV0aG9ycz48YXV0aG9yPlNwcm9vdGVu
LCBKLjwvYXV0aG9yPjxhdXRob3I+Q29vc2VtYW5zLCBBLjwvYXV0aG9yPjxhdXRob3I+R2FyZywg
QS4gRC48L2F1dGhvcj48L2F1dGhvcnM+PC9jb250cmlidXRvcnM+PGF1dGgtYWRkcmVzcz5EZXBh
cnRtZW50IG9mIENlbGx1bGFyICZhbXA7IE1vbGVjdWxhciBNZWRpY2luZSwgTGFib3JhdG9yeSBv
ZiBDZWxsIFN0cmVzcyAmYW1wOyBJbW11bml0eSwgS1UgTGV1dmVuLCBCZWxnaXVtLiYjeEQ7RGVw
YXJ0bWVudCBvZiBPbmNvbG9neSwgTGV1dmVuIENhbmNlciBJbnN0aXR1dGUsIExhYm9yYXRvcnkg
b2YgVHVtb3IgSW1tdW5vbG9neSBhbmQgSW1tdW5vdGhlcmFweSwgS1UgTGV1dmVuLCBCZWxnaXVt
LjwvYXV0aC1hZGRyZXNzPjx0aXRsZXM+PHRpdGxlPkEgZmlyc3QtaW4tY2xhc3MsIG5vbi1pbnZh
c2l2ZSwgaW1tdW5vZHluYW1pYyBiaW9tYXJrZXIgYXBwcm9hY2ggZm9yIHByZWNpc2lvbiBpbW11
bm8tb25jb2xvZ3k8L3RpdGxlPjxzZWNvbmRhcnktdGl0bGU+T25jb2ltbXVub2xvZ3k8L3NlY29u
ZGFyeS10aXRsZT48L3RpdGxlcz48cGVyaW9kaWNhbD48ZnVsbC10aXRsZT5PbmNvaW1tdW5vbG9n
eTwvZnVsbC10aXRsZT48L3BlcmlvZGljYWw+PHBhZ2VzPjIwMjQ2OTI8L3BhZ2VzPjx2b2x1bWU+
MTE8L3ZvbHVtZT48bnVtYmVyPjE8L251bWJlcj48ZWRpdGlvbj4yMDIyLzAxLzE4PC9lZGl0aW9u
PjxrZXl3b3Jkcz48a2V5d29yZD5CaW9tYXJrZXJzPC9rZXl3b3JkPjxrZXl3b3JkPkh1bWFuczwv
a2V5d29yZD48a2V5d29yZD4qSW1tdW5vdGhlcmFweTwva2V5d29yZD48a2V5d29yZD5NZWRpY2Fs
IE9uY29sb2d5PC9rZXl3b3JkPjxrZXl3b3JkPk5GLWthcHBhIEI8L2tleXdvcmQ+PGtleXdvcmQ+
Kk5lb3BsYXNtcy9kaWFnbm9zaXMvdGhlcmFweTwva2V5d29yZD48a2V5d29yZD4qSW1tdW5vc3Vy
dmVpbGxhbmNlPC9rZXl3b3JkPjxrZXl3b3JkPip0Z2ZiMTwva2V5d29yZD48a2V5d29yZD4qYW50
aWNhbmNlciBpbW11bml0eTwva2V5d29yZD48a2V5d29yZD4qYmVuaWduIG9yIGJvcmRlcmxpbmUg
bGVzaW9uczwva2V5d29yZD48a2V5d29yZD4qaW1tdW5vbG9neTwva2V5d29yZD48a2V5d29yZD4q
aW5oaWJpdG9yeSByZWNlcHRvcnM8L2tleXdvcmQ+PGtleXdvcmQ+Kmx5bXBob2N5dGVzPC9rZXl3
b3JkPjxrZXl3b3JkPipuZXV0cm9waGlsczwva2V5d29yZD48a2V5d29yZD4qb3ZhcmlhbiBjYW5j
IGVyPC9rZXl3b3JkPjxrZXl3b3JkPipwYXR0ZXJuLXJlY29nbml0aW9uIHJlY2VwdG9ycyAoUFJS
Uyk8L2tleXdvcmQ+PGtleXdvcmQ+KndvdW5kIGhlYWxpbmc8L2tleXdvcmQ+PC9rZXl3b3Jkcz48
ZGF0ZXM+PHllYXI+MjAyMjwveWVhcj48L2RhdGVzPjxpc2JuPjIxNjItNDAyWCAoRWxlY3Ryb25p
YykmI3hEOzIxNjItNDAxMSAoTGlua2luZyk8L2lzYm4+PGFjY2Vzc2lvbi1udW0+MzUwMzYwNzU8
L2FjY2Vzc2lvbi1udW0+PHVybHM+PHJlbGF0ZWQtdXJscz48dXJsPmh0dHBzOi8vd3d3Lm5jYmku
bmxtLm5paC5nb3YvcHVibWVkLzM1MDM2MDc1PC91cmw+PC9yZWxhdGVkLXVybHM+PC91cmxzPjxj
dXN0b20yPlBNQzg3NTc0NzI8L2N1c3RvbTI+PGVsZWN0cm9uaWMtcmVzb3VyY2UtbnVtPjEwLjEw
ODAvMjE2MjQwMlguMjAyMS4yMDI0NjkyPC9lbGVjdHJvbmljLXJlc291cmNlLW51bT48L3JlY29y
ZD48L0NpdGU+PC9FbmROb3RlPn==
</w:fldData>
        </w:fldChar>
      </w:r>
      <w:r>
        <w:rPr>
          <w:bCs/>
          <w:lang w:val="en-US"/>
        </w:rPr>
        <w:instrText xml:space="preserve"> ADDIN EN.CITE </w:instrText>
      </w:r>
      <w:r>
        <w:rPr>
          <w:bCs/>
          <w:lang w:val="en-US"/>
        </w:rPr>
        <w:fldChar w:fldCharType="begin">
          <w:fldData xml:space="preserve">PEVuZE5vdGU+PENpdGU+PEF1dGhvcj5TcHJvb3RlbjwvQXV0aG9yPjxZZWFyPjIwMjI8L1llYXI+
PFJlY051bT4xMTc5PC9SZWNOdW0+PERpc3BsYXlUZXh0PigxOCwgMTkpPC9EaXNwbGF5VGV4dD48
cmVjb3JkPjxyZWMtbnVtYmVyPjExNzk8L3JlYy1udW1iZXI+PGZvcmVpZ24ta2V5cz48a2V5IGFw
cD0iRU4iIGRiLWlkPSI5eHhkd2Y5NWV0cnI1cGV0cnNucHRmcm50ZnB4ZTV3NWRkcnMiIHRpbWVz
dGFtcD0iMTY1NTkwNTcxOCI+MTE3OTwva2V5PjwvZm9yZWlnbi1rZXlzPjxyZWYtdHlwZSBuYW1l
PSJKb3VybmFsIEFydGljbGUiPjE3PC9yZWYtdHlwZT48Y29udHJpYnV0b3JzPjxhdXRob3JzPjxh
dXRob3I+U3Byb290ZW4sIEouPC9hdXRob3I+PGF1dGhvcj5Db29zZW1hbnMsIEEuPC9hdXRob3I+
PGF1dGhvcj5HYXJnLCBBLiBELjwvYXV0aG9yPjwvYXV0aG9ycz48L2NvbnRyaWJ1dG9ycz48YXV0
aC1hZGRyZXNzPkRlcGFydG1lbnQgb2YgQ2VsbHVsYXIgJmFtcDsgTW9sZWN1bGFyIE1lZGljaW5l
LCBMYWJvcmF0b3J5IG9mIENlbGwgU3RyZXNzICZhbXA7IEltbXVuaXR5LCBLVSBMZXV2ZW4sIEJl
bGdpdW0uJiN4RDtEZXBhcnRtZW50IG9mIE9uY29sb2d5LCBMZXV2ZW4gQ2FuY2VyIEluc3RpdHV0
ZSwgTGFib3JhdG9yeSBvZiBUdW1vciBJbW11bm9sb2d5IGFuZCBJbW11bm90aGVyYXB5LCBLVSBM
ZXV2ZW4sIEJlbGdpdW0uPC9hdXRoLWFkZHJlc3M+PHRpdGxlcz48dGl0bGU+QSBmaXJzdC1pbi1j
bGFzcywgbm9uLWludmFzaXZlLCBpbW11bm9keW5hbWljIGJpb21hcmtlciBhcHByb2FjaCBmb3Ig
cHJlY2lzaW9uIGltbXVuby1vbmNvbG9neTwvdGl0bGU+PHNlY29uZGFyeS10aXRsZT5PbmNvaW1t
dW5vbG9neTwvc2Vjb25kYXJ5LXRpdGxlPjwvdGl0bGVzPjxwZXJpb2RpY2FsPjxmdWxsLXRpdGxl
Pk9uY29pbW11bm9sb2d5PC9mdWxsLXRpdGxlPjwvcGVyaW9kaWNhbD48cGFnZXM+MjAyNDY5Mjwv
cGFnZXM+PHZvbHVtZT4xMTwvdm9sdW1lPjxudW1iZXI+MTwvbnVtYmVyPjxlZGl0aW9uPjIwMjIv
MDEvMTg8L2VkaXRpb24+PGtleXdvcmRzPjxrZXl3b3JkPkJpb21hcmtlcnM8L2tleXdvcmQ+PGtl
eXdvcmQ+SHVtYW5zPC9rZXl3b3JkPjxrZXl3b3JkPipJbW11bm90aGVyYXB5PC9rZXl3b3JkPjxr
ZXl3b3JkPk1lZGljYWwgT25jb2xvZ3k8L2tleXdvcmQ+PGtleXdvcmQ+TkYta2FwcGEgQjwva2V5
d29yZD48a2V5d29yZD4qTmVvcGxhc21zL2RpYWdub3Npcy90aGVyYXB5PC9rZXl3b3JkPjxrZXl3
b3JkPipJbW11bm9zdXJ2ZWlsbGFuY2U8L2tleXdvcmQ+PGtleXdvcmQ+KnRnZmIxPC9rZXl3b3Jk
PjxrZXl3b3JkPiphbnRpY2FuY2VyIGltbXVuaXR5PC9rZXl3b3JkPjxrZXl3b3JkPipiZW5pZ24g
b3IgYm9yZGVybGluZSBsZXNpb25zPC9rZXl3b3JkPjxrZXl3b3JkPippbW11bm9sb2d5PC9rZXl3
b3JkPjxrZXl3b3JkPippbmhpYml0b3J5IHJlY2VwdG9yczwva2V5d29yZD48a2V5d29yZD4qbHlt
cGhvY3l0ZXM8L2tleXdvcmQ+PGtleXdvcmQ+Km5ldXRyb3BoaWxzPC9rZXl3b3JkPjxrZXl3b3Jk
PipvdmFyaWFuIGNhbmMgZXI8L2tleXdvcmQ+PGtleXdvcmQ+KnBhdHRlcm4tcmVjb2duaXRpb24g
cmVjZXB0b3JzIChQUlJTKTwva2V5d29yZD48a2V5d29yZD4qd291bmQgaGVhbGluZzwva2V5d29y
ZD48L2tleXdvcmRzPjxkYXRlcz48eWVhcj4yMDIyPC95ZWFyPjwvZGF0ZXM+PGlzYm4+MjE2Mi00
MDJYIChFbGVjdHJvbmljKSYjeEQ7MjE2Mi00MDExIChMaW5raW5nKTwvaXNibj48YWNjZXNzaW9u
LW51bT4zNTAzNjA3NTwvYWNjZXNzaW9uLW51bT48dXJscz48cmVsYXRlZC11cmxzPjx1cmw+aHR0
cHM6Ly93d3cubmNiaS5ubG0ubmloLmdvdi9wdWJtZWQvMzUwMzYwNzU8L3VybD48L3JlbGF0ZWQt
dXJscz48L3VybHM+PGN1c3RvbTI+UE1DODc1NzQ3MjwvY3VzdG9tMj48ZWxlY3Ryb25pYy1yZXNv
dXJjZS1udW0+MTAuMTA4MC8yMTYyNDAyWC4yMDIxLjIwMjQ2OTI8L2VsZWN0cm9uaWMtcmVzb3Vy
Y2UtbnVtPjwvcmVjb3JkPjwvQ2l0ZT48Q2l0ZT48QXV0aG9yPlNwcm9vdGVuPC9BdXRob3I+PFll
YXI+MjAyMTwvWWVhcj48UmVjTnVtPjExODA8L1JlY051bT48cmVjb3JkPjxyZWMtbnVtYmVyPjEx
ODA8L3JlYy1udW1iZXI+PGZvcmVpZ24ta2V5cz48a2V5IGFwcD0iRU4iIGRiLWlkPSI5eHhkd2Y5
NWV0cnI1cGV0cnNucHRmcm50ZnB4ZTV3NWRkcnMiIHRpbWVzdGFtcD0iMTY1NTkwNTc3MyI+MTE4
MDwva2V5PjwvZm9yZWlnbi1rZXlzPjxyZWYtdHlwZSBuYW1lPSJKb3VybmFsIEFydGljbGUiPjE3
PC9yZWYtdHlwZT48Y29udHJpYnV0b3JzPjxhdXRob3JzPjxhdXRob3I+U3Byb290ZW4sIEouPC9h
dXRob3I+PGF1dGhvcj5WYW5rZXJja2hvdmVuLCBBLjwvYXV0aG9yPjxhdXRob3I+VmFubWVlcmJl
ZWssIEkuPC9hdXRob3I+PGF1dGhvcj5Cb3JyYXMsIEQuIE0uPC9hdXRob3I+PGF1dGhvcj5CZXJj
a21hbnMsIFkuPC9hdXRob3I+PGF1dGhvcj5Xb3V0ZXJzLCBSLjwvYXV0aG9yPjxhdXRob3I+TGF1
cmVhbm8sIFIuIFMuPC9hdXRob3I+PGF1dGhvcj5CYWVydCwgVC48L2F1dGhvcj48YXV0aG9yPkJv
b24sIEwuPC9hdXRob3I+PGF1dGhvcj5MYW5kb2xmbywgQy48L2F1dGhvcj48YXV0aG9yPlRlc3Rh
LCBBLiBDLjwvYXV0aG9yPjxhdXRob3I+RmlzY2hlcm92YSwgRC48L2F1dGhvcj48YXV0aG9yPlZh
biBIb2xzYmVrZSwgQy48L2F1dGhvcj48YXV0aG9yPkJvdXJuZSwgVC48L2F1dGhvcj48YXV0aG9y
PkNoaWFwcGEsIFYuPC9hdXRob3I+PGF1dGhvcj5Gcm95bWFuLCBXLjwvYXV0aG9yPjxhdXRob3I+
U2Nob2xzLCBELjwvYXV0aG9yPjxhdXRob3I+QWdvc3RpbmlzLCBQLjwvYXV0aG9yPjxhdXRob3I+
VGltbWVybWFuLCBELjwvYXV0aG9yPjxhdXRob3I+VGVqcGFyLCBTLjwvYXV0aG9yPjxhdXRob3I+
VmVyZ290ZSwgSS48L2F1dGhvcj48YXV0aG9yPkNvb3NlbWFucywgQS48L2F1dGhvcj48YXV0aG9y
PkdhcmcsIEEuIEQuPC9hdXRob3I+PC9hdXRob3JzPjwvY29udHJpYnV0b3JzPjxhdXRoLWFkZHJl
c3M+TGFib3JhdG9yeSBvZiBDZWxsIFN0cmVzcyAmYW1wOyBJbW11bml0eSwgRGVwYXJ0bWVudCBv
ZiBDZWxsdWxhciAmYW1wOyBNb2xlY3VsYXIgTWVkaWNpbmUsIEtVIExldXZlbiwgTGV1dmVuLCBC
ZWxnaXVtLiYjeEQ7RGVwYXJ0bWVudCBvZiBPbmNvbG9neSwgTGV1dmVuIENhbmNlciBJbnN0aXR1
dGUsIExhYm9yYXRvcnkgb2YgVHVtb3IgSW1tdW5vbG9neSBhbmQgSW1tdW5vdGhlcmFweSwgS1Ug
TGV1dmVuLCBMZXV2ZW4sIEJlbGdpdW0uJiN4RDtEZXBhcnRtZW50IG9mIE9uY29sb2d5LCBMZXV2
ZW4gQ2FuY2VyIEluc3RpdHV0ZSwgTGFib3JhdG9yeSBvZiBHeW5hZWNvbG9naWMgT25jb2xvZ3ks
IEtVIExldXZlbiwgTGV1dmVuLCBCZWxnaXVtLiYjeEQ7SkpQIEJpb2xvZ2ljcywgV2Fyc2F3LCBQ
b2xhbmQuJiN4RDtEZXBhcnRtZW50IG9mIERldmVsb3BtZW50IGFuZCBSZWdlbmVyYXRpb24sIEtV
IExldXZlbiwgTGV1dmVuLCBCZWxnaXVtLiYjeEQ7UXVlZW4gQ2hhcmxvdHRlJmFwb3M7cyBhbmQg
Q2hlbHNlYSBIb3NwaXRhbCwgSW1wZXJpYWwgQ29sbGVnZSwgTG9uZG9uLCBVSy4mI3hEO0RpcGFy
dGltZW50byBTY2llbnplIGRlbGxhIFNhbHV0ZSBkZWxsYSBEb25uYSBlIGRlbCBCYW1iaW5vLCBG
b25kYXppb25lIFBvbGljbGluaWNvIFVuaXZlcnNpdGFyaW8gQS4gR2VtZWxsaSwgSXN0aXR1dG8g
ZGkgUmljb3Zlcm8gZSBDdXJhIGEgQ2FyYXR0ZXJlIFNjaWVudGlmaWNvLCBSb21lLCBJdGFseS4m
I3hEO0RpcGFydGltZW50byBTY2llbnplIGRlbGxhIFZpdGEgZSBTYW5pdGEgcHViYmxpY2EsIFVu
aXZlcnNpdGEgQ2F0dG9saWNhIGRlbCBTYWNybyBDdW9yZSwgUm9tZSwgSXRhbHkuJiN4RDtDaGFy
bGVzIFVuaXZlcnNpdHksIFByYWhhLCBDemVjaCBSZXB1YmxpYy4mI3hEO1ppZWtlbmh1aXMgT29z
dC1MaW1idXJnLCBHZW5rLCBCZWxnaXVtLiYjeEQ7TmF0aW9uYWwgQ2FuY2VyIEluc3RpdHV0ZSBv
ZiBNaWxhbiwgTWlsYW4sIEl0YWx5LiYjeEQ7RGVwYXJ0bWVudCBvZiBHeW5hZWNvbG9neSBhbmQg
T2JzdGV0cmljcywgVVogTGV1dmVuLCBMZXV2ZW4sIEJlbGdpdW0uJiN4RDtEZXBhcnRtZW50IG9m
IE1pY3JvYmlvbG9neSwgSW1tdW5vbG9neSBhbmQgVHJhbnNwbGFudGF0aW9uLCBMYWJvcmF0b3J5
IG9mIFZpcm9sb2d5IGFuZCBDaGVtb3RoZXJhcHksIFJlZ2EgSW5zdGl0dXRlLCBLVSBMZXV2ZW4s
IExldXZlbiwgQmVsZ2l1bS4mI3hEO0RlcGFydG1lbnQgb2YgQ2VsbHVsYXIgYW5kIE1vbGVjdWxh
ciBNZWRpY2luZSwgQ2VsbCBEZWF0aCBSZXNlYXJjaCBhbmQgVGhlcmFweSBMYWJvcmF0b3J5LCBL
VSBMZXV2ZW4sIEJlbGdpdW0uJiN4RDtWSUIgQ2VudGVyIGZvciBDYW5jZXIgQmlvbG9neSwgVklC
LCBMZXV2ZW4sIEJlbGdpdW0uJiN4RDtMYWJvcmF0b3J5IGZvciBNb2xlY3VsYXIgRGlnZXN0aXZl
IE9uY29sb2d5LCBEZXBhcnRtZW50IG9mIE9uY29sb2d5LCBLVSBMZXV2ZW4sIExldXZlbiwgQmVs
Z2l1bS4mI3hEO0xhYm9yYXRvcnkgb2YgQ2VsbCBTdHJlc3MgJmFtcDsgSW1tdW5pdHksIERlcGFy
dG1lbnQgb2YgQ2VsbHVsYXIgJmFtcDsgTW9sZWN1bGFyIE1lZGljaW5lLCBLVSBMZXV2ZW4sIExl
dXZlbiwgQmVsZ2l1bSBhYmhpc2hlay5nYXJnQGt1bGV1dmVuLmJlLjwvYXV0aC1hZGRyZXNzPjx0
aXRsZXM+PHRpdGxlPlBlcmlwaGVyYWxseS1kcml2ZW4gbXllbG9pZCBORmtCIGFuZCBJRk4vSVNH
IHJlc3BvbnNlcyBwcmVkaWN0IG1hbGlnbmFuY3kgcmlzaywgc3Vydml2YWwsIGFuZCBpbW11bm90
aGVyYXB5IHJlZ2ltZSBpbiBvdmFyaWFuIGNhbmNlcjwvdGl0bGU+PHNlY29uZGFyeS10aXRsZT5K
IEltbXVub3RoZXIgQ2FuY2VyPC9zZWNvbmRhcnktdGl0bGU+PC90aXRsZXM+PHBlcmlvZGljYWw+
PGZ1bGwtdGl0bGU+SiBJbW11bm90aGVyIENhbmNlcjwvZnVsbC10aXRsZT48L3BlcmlvZGljYWw+
PHZvbHVtZT45PC92b2x1bWU+PG51bWJlcj4xMTwvbnVtYmVyPjxlZGl0aW9uPjIwMjEvMTEvMjA8
L2VkaXRpb24+PGtleXdvcmRzPjxrZXl3b3JkPkFuaW1hbHM8L2tleXdvcmQ+PGtleXdvcmQ+RmVt
YWxlPC9rZXl3b3JkPjxrZXl3b3JkPkh1bWFuczwva2V5d29yZD48a2V5d29yZD5JbW11bm90aGVy
YXB5LyptZXRob2RzPC9rZXl3b3JkPjxrZXl3b3JkPk1pY2U8L2tleXdvcmQ+PGtleXdvcmQ+TkYt
a2FwcGEgQi8qbWV0YWJvbGlzbTwva2V5d29yZD48a2V5d29yZD5PdmFyaWFuIE5lb3BsYXNtcy8q
ZHJ1ZyB0aGVyYXB5L2dlbmV0aWNzL21vcnRhbGl0eTwva2V5d29yZD48a2V5d29yZD5TdXJ2aXZh
bCBBbmFseXNpczwva2V5d29yZD48a2V5d29yZD4qY29tcHV0YXRpb25hbCBiaW9sb2d5PC9rZXl3
b3JkPjxrZXl3b3JkPippbW11bm9sb2dpY2FsIHRlY2huaXF1ZXM8L2tleXdvcmQ+PGtleXdvcmQ+
KmltbXVub3RoZXJhcHk8L2tleXdvcmQ+PGtleXdvcmQ+KnR1bW9yIGJpb21hcmtlcnM8L2tleXdv
cmQ+PGtleXdvcmQ+KnR1bW9yIG1pY3JvZW52aXJvbm1lbnQ8L2tleXdvcmQ+PGtleXdvcmQ+cGF0
ZW50IGFwcGxpY2F0aW9uLiBBREcgaGFzIHJlY2VpdmVkIGNvbnN1bHRpbmcvYWR2aXNvcnkvbGVj
dHVyZSBob25vcmFyaWEgZnJvbTwva2V5d29yZD48a2V5d29yZD5Cb2VocmluZ2VyIEluZ2VsaGVp
bSBhbmQgTWlsdGVueWkgQmlvdGVjLjwva2V5d29yZD48L2tleXdvcmRzPjxkYXRlcz48eWVhcj4y
MDIxPC95ZWFyPjxwdWItZGF0ZXM+PGRhdGU+Tm92PC9kYXRlPjwvcHViLWRhdGVzPjwvZGF0ZXM+
PGlzYm4+MjA1MS0xNDI2IChFbGVjdHJvbmljKSYjeEQ7MjA1MS0xNDI2IChMaW5raW5nKTwvaXNi
bj48YWNjZXNzaW9uLW51bT4zNDc5NTAwMzwvYWNjZXNzaW9uLW51bT48dXJscz48cmVsYXRlZC11
cmxzPjx1cmw+aHR0cHM6Ly93d3cubmNiaS5ubG0ubmloLmdvdi9wdWJtZWQvMzQ3OTUwMDM8L3Vy
bD48L3JlbGF0ZWQtdXJscz48L3VybHM+PGN1c3RvbTI+UE1DODYwMzI3NTwvY3VzdG9tMj48ZWxl
Y3Ryb25pYy1yZXNvdXJjZS1udW0+MTAuMTEzNi9qaXRjLTIwMjEtMDAzNjA5PC9lbGVjdHJvbmlj
LXJlc291cmNlLW51bT48L3JlY29yZD48L0NpdGU+PENpdGU+PEF1dGhvcj5TcHJvb3RlbjwvQXV0
aG9yPjxZZWFyPjIwMjI8L1llYXI+PFJlY051bT4xMTc5PC9SZWNOdW0+PHJlY29yZD48cmVjLW51
bWJlcj4xMTc5PC9yZWMtbnVtYmVyPjxmb3JlaWduLWtleXM+PGtleSBhcHA9IkVOIiBkYi1pZD0i
OXh4ZHdmOTVldHJyNXBldHJzbnB0ZnJudGZweGU1dzVkZHJzIiB0aW1lc3RhbXA9IjE2NTU5MDU3
MTgiPjExNzk8L2tleT48L2ZvcmVpZ24ta2V5cz48cmVmLXR5cGUgbmFtZT0iSm91cm5hbCBBcnRp
Y2xlIj4xNzwvcmVmLXR5cGU+PGNvbnRyaWJ1dG9ycz48YXV0aG9ycz48YXV0aG9yPlNwcm9vdGVu
LCBKLjwvYXV0aG9yPjxhdXRob3I+Q29vc2VtYW5zLCBBLjwvYXV0aG9yPjxhdXRob3I+R2FyZywg
QS4gRC48L2F1dGhvcj48L2F1dGhvcnM+PC9jb250cmlidXRvcnM+PGF1dGgtYWRkcmVzcz5EZXBh
cnRtZW50IG9mIENlbGx1bGFyICZhbXA7IE1vbGVjdWxhciBNZWRpY2luZSwgTGFib3JhdG9yeSBv
ZiBDZWxsIFN0cmVzcyAmYW1wOyBJbW11bml0eSwgS1UgTGV1dmVuLCBCZWxnaXVtLiYjeEQ7RGVw
YXJ0bWVudCBvZiBPbmNvbG9neSwgTGV1dmVuIENhbmNlciBJbnN0aXR1dGUsIExhYm9yYXRvcnkg
b2YgVHVtb3IgSW1tdW5vbG9neSBhbmQgSW1tdW5vdGhlcmFweSwgS1UgTGV1dmVuLCBCZWxnaXVt
LjwvYXV0aC1hZGRyZXNzPjx0aXRsZXM+PHRpdGxlPkEgZmlyc3QtaW4tY2xhc3MsIG5vbi1pbnZh
c2l2ZSwgaW1tdW5vZHluYW1pYyBiaW9tYXJrZXIgYXBwcm9hY2ggZm9yIHByZWNpc2lvbiBpbW11
bm8tb25jb2xvZ3k8L3RpdGxlPjxzZWNvbmRhcnktdGl0bGU+T25jb2ltbXVub2xvZ3k8L3NlY29u
ZGFyeS10aXRsZT48L3RpdGxlcz48cGVyaW9kaWNhbD48ZnVsbC10aXRsZT5PbmNvaW1tdW5vbG9n
eTwvZnVsbC10aXRsZT48L3BlcmlvZGljYWw+PHBhZ2VzPjIwMjQ2OTI8L3BhZ2VzPjx2b2x1bWU+
MTE8L3ZvbHVtZT48bnVtYmVyPjE8L251bWJlcj48ZWRpdGlvbj4yMDIyLzAxLzE4PC9lZGl0aW9u
PjxrZXl3b3Jkcz48a2V5d29yZD5CaW9tYXJrZXJzPC9rZXl3b3JkPjxrZXl3b3JkPkh1bWFuczwv
a2V5d29yZD48a2V5d29yZD4qSW1tdW5vdGhlcmFweTwva2V5d29yZD48a2V5d29yZD5NZWRpY2Fs
IE9uY29sb2d5PC9rZXl3b3JkPjxrZXl3b3JkPk5GLWthcHBhIEI8L2tleXdvcmQ+PGtleXdvcmQ+
Kk5lb3BsYXNtcy9kaWFnbm9zaXMvdGhlcmFweTwva2V5d29yZD48a2V5d29yZD4qSW1tdW5vc3Vy
dmVpbGxhbmNlPC9rZXl3b3JkPjxrZXl3b3JkPip0Z2ZiMTwva2V5d29yZD48a2V5d29yZD4qYW50
aWNhbmNlciBpbW11bml0eTwva2V5d29yZD48a2V5d29yZD4qYmVuaWduIG9yIGJvcmRlcmxpbmUg
bGVzaW9uczwva2V5d29yZD48a2V5d29yZD4qaW1tdW5vbG9neTwva2V5d29yZD48a2V5d29yZD4q
aW5oaWJpdG9yeSByZWNlcHRvcnM8L2tleXdvcmQ+PGtleXdvcmQ+Kmx5bXBob2N5dGVzPC9rZXl3
b3JkPjxrZXl3b3JkPipuZXV0cm9waGlsczwva2V5d29yZD48a2V5d29yZD4qb3ZhcmlhbiBjYW5j
IGVyPC9rZXl3b3JkPjxrZXl3b3JkPipwYXR0ZXJuLXJlY29nbml0aW9uIHJlY2VwdG9ycyAoUFJS
Uyk8L2tleXdvcmQ+PGtleXdvcmQ+KndvdW5kIGhlYWxpbmc8L2tleXdvcmQ+PC9rZXl3b3Jkcz48
ZGF0ZXM+PHllYXI+MjAyMjwveWVhcj48L2RhdGVzPjxpc2JuPjIxNjItNDAyWCAoRWxlY3Ryb25p
YykmI3hEOzIxNjItNDAxMSAoTGlua2luZyk8L2lzYm4+PGFjY2Vzc2lvbi1udW0+MzUwMzYwNzU8
L2FjY2Vzc2lvbi1udW0+PHVybHM+PHJlbGF0ZWQtdXJscz48dXJsPmh0dHBzOi8vd3d3Lm5jYmku
bmxtLm5paC5nb3YvcHVibWVkLzM1MDM2MDc1PC91cmw+PC9yZWxhdGVkLXVybHM+PC91cmxzPjxj
dXN0b20yPlBNQzg3NTc0NzI8L2N1c3RvbTI+PGVsZWN0cm9uaWMtcmVzb3VyY2UtbnVtPjEwLjEw
ODAvMjE2MjQwMlguMjAyMS4yMDI0NjkyPC9lbGVjdHJvbmljLXJlc291cmNlLW51bT48L3JlY29y
ZD48L0NpdGU+PC9FbmROb3RlPn==
</w:fldData>
        </w:fldChar>
      </w:r>
      <w:r>
        <w:rPr>
          <w:bCs/>
          <w:lang w:val="en-US"/>
        </w:rPr>
        <w:instrText xml:space="preserve"> ADDIN EN.CITE.DATA </w:instrText>
      </w:r>
      <w:r>
        <w:rPr>
          <w:bCs/>
          <w:lang w:val="en-US"/>
        </w:rPr>
      </w:r>
      <w:r>
        <w:rPr>
          <w:bCs/>
          <w:lang w:val="en-US"/>
        </w:rPr>
        <w:fldChar w:fldCharType="end"/>
      </w:r>
      <w:r w:rsidRPr="003E1532">
        <w:rPr>
          <w:bCs/>
          <w:lang w:val="en-US"/>
        </w:rPr>
      </w:r>
      <w:r w:rsidRPr="003E1532">
        <w:rPr>
          <w:bCs/>
          <w:lang w:val="en-US"/>
        </w:rPr>
        <w:fldChar w:fldCharType="separate"/>
      </w:r>
      <w:r>
        <w:rPr>
          <w:bCs/>
          <w:noProof/>
          <w:lang w:val="en-US"/>
        </w:rPr>
        <w:t>(18, 19)</w:t>
      </w:r>
      <w:r w:rsidRPr="003E1532">
        <w:rPr>
          <w:bCs/>
          <w:lang w:val="en-US"/>
        </w:rPr>
        <w:fldChar w:fldCharType="end"/>
      </w:r>
      <w:r w:rsidRPr="003E1532">
        <w:rPr>
          <w:bCs/>
          <w:lang w:val="en-US"/>
        </w:rPr>
        <w:t>.</w:t>
      </w:r>
    </w:p>
    <w:p w14:paraId="76CABE0A" w14:textId="77777777" w:rsidR="00841A55" w:rsidRPr="003E1532" w:rsidRDefault="00841A55" w:rsidP="00841A55">
      <w:pPr>
        <w:spacing w:after="0" w:line="480" w:lineRule="auto"/>
        <w:ind w:left="720" w:hanging="720"/>
        <w:rPr>
          <w:rFonts w:cs="Calibri"/>
          <w:noProof/>
          <w:lang w:val="en-US"/>
        </w:rPr>
      </w:pPr>
      <w:r w:rsidRPr="003E1532">
        <w:rPr>
          <w:rFonts w:cs="Calibri"/>
          <w:noProof/>
          <w:lang w:val="en-US"/>
        </w:rPr>
        <w:fldChar w:fldCharType="begin"/>
      </w:r>
      <w:r w:rsidRPr="003E1532">
        <w:rPr>
          <w:rFonts w:cs="Calibri"/>
          <w:noProof/>
          <w:lang w:val="en-US"/>
        </w:rPr>
        <w:instrText xml:space="preserve"> ADDIN EN.REFLIST </w:instrText>
      </w:r>
      <w:r w:rsidRPr="003E1532">
        <w:rPr>
          <w:rFonts w:cs="Calibri"/>
          <w:noProof/>
          <w:lang w:val="en-US"/>
        </w:rPr>
        <w:fldChar w:fldCharType="separate"/>
      </w:r>
      <w:r w:rsidRPr="003E1532">
        <w:rPr>
          <w:rFonts w:cs="Calibri"/>
          <w:noProof/>
          <w:lang w:val="en-US"/>
        </w:rPr>
        <w:t>1</w:t>
      </w:r>
      <w:r w:rsidRPr="003E1532">
        <w:rPr>
          <w:rFonts w:cs="Calibri"/>
          <w:noProof/>
          <w:lang w:val="en-US"/>
        </w:rPr>
        <w:tab/>
        <w:t xml:space="preserve">Sprooten, J., Coosemans, A. &amp; Garg, A. D. A first-in-class, non-invasive, immunodynamic biomarker approach for precision immuno-oncology. </w:t>
      </w:r>
      <w:r w:rsidRPr="003E1532">
        <w:rPr>
          <w:rFonts w:cs="Calibri"/>
          <w:i/>
          <w:noProof/>
          <w:lang w:val="en-US"/>
        </w:rPr>
        <w:t>Oncoimmunology</w:t>
      </w:r>
      <w:r w:rsidRPr="003E1532">
        <w:rPr>
          <w:rFonts w:cs="Calibri"/>
          <w:noProof/>
          <w:lang w:val="en-US"/>
        </w:rPr>
        <w:t xml:space="preserve"> </w:t>
      </w:r>
      <w:r w:rsidRPr="003E1532">
        <w:rPr>
          <w:rFonts w:cs="Calibri"/>
          <w:b/>
          <w:noProof/>
          <w:lang w:val="en-US"/>
        </w:rPr>
        <w:t>11</w:t>
      </w:r>
      <w:r w:rsidRPr="003E1532">
        <w:rPr>
          <w:rFonts w:cs="Calibri"/>
          <w:noProof/>
          <w:lang w:val="en-US"/>
        </w:rPr>
        <w:t>, 2024692, doi:10.1080/2162402X.2021.2024692 (2022).</w:t>
      </w:r>
    </w:p>
    <w:p w14:paraId="5AE98370" w14:textId="77777777" w:rsidR="00841A55" w:rsidRPr="003E1532" w:rsidRDefault="00841A55" w:rsidP="00841A55">
      <w:pPr>
        <w:spacing w:line="480" w:lineRule="auto"/>
        <w:ind w:left="720" w:hanging="720"/>
        <w:rPr>
          <w:rFonts w:cs="Calibri"/>
          <w:noProof/>
          <w:lang w:val="en-US"/>
        </w:rPr>
      </w:pPr>
      <w:r w:rsidRPr="003E1532">
        <w:rPr>
          <w:rFonts w:cs="Calibri"/>
          <w:noProof/>
          <w:lang w:val="en-US"/>
        </w:rPr>
        <w:t>2</w:t>
      </w:r>
      <w:r w:rsidRPr="003E1532">
        <w:rPr>
          <w:rFonts w:cs="Calibri"/>
          <w:noProof/>
          <w:lang w:val="en-US"/>
        </w:rPr>
        <w:tab/>
        <w:t>Sprooten, J.</w:t>
      </w:r>
      <w:r w:rsidRPr="003E1532">
        <w:rPr>
          <w:rFonts w:cs="Calibri"/>
          <w:i/>
          <w:noProof/>
          <w:lang w:val="en-US"/>
        </w:rPr>
        <w:t xml:space="preserve"> et al.</w:t>
      </w:r>
      <w:r w:rsidRPr="003E1532">
        <w:rPr>
          <w:rFonts w:cs="Calibri"/>
          <w:noProof/>
          <w:lang w:val="en-US"/>
        </w:rPr>
        <w:t xml:space="preserve"> Peripherally-driven myeloid NFkB and IFN/ISG responses predict malignancy risk, survival, and immunotherapy regime in ovarian cancer. </w:t>
      </w:r>
      <w:r w:rsidRPr="003E1532">
        <w:rPr>
          <w:rFonts w:cs="Calibri"/>
          <w:i/>
          <w:noProof/>
          <w:lang w:val="en-US"/>
        </w:rPr>
        <w:t>J Immunother Cancer</w:t>
      </w:r>
      <w:r w:rsidRPr="003E1532">
        <w:rPr>
          <w:rFonts w:cs="Calibri"/>
          <w:noProof/>
          <w:lang w:val="en-US"/>
        </w:rPr>
        <w:t xml:space="preserve"> </w:t>
      </w:r>
      <w:r w:rsidRPr="003E1532">
        <w:rPr>
          <w:rFonts w:cs="Calibri"/>
          <w:b/>
          <w:noProof/>
          <w:lang w:val="en-US"/>
        </w:rPr>
        <w:t>9</w:t>
      </w:r>
      <w:r w:rsidRPr="003E1532">
        <w:rPr>
          <w:rFonts w:cs="Calibri"/>
          <w:noProof/>
          <w:lang w:val="en-US"/>
        </w:rPr>
        <w:t>, doi:10.1136/jitc-2021-003609 (2021).</w:t>
      </w:r>
    </w:p>
    <w:p w14:paraId="72B5BE71" w14:textId="7870B593" w:rsidR="00590DE6" w:rsidRDefault="00841A55" w:rsidP="00841A55">
      <w:pPr>
        <w:spacing w:line="480" w:lineRule="auto"/>
      </w:pPr>
      <w:r w:rsidRPr="003E1532">
        <w:rPr>
          <w:lang w:val="en-US"/>
        </w:rPr>
        <w:fldChar w:fldCharType="end"/>
      </w:r>
    </w:p>
    <w:sectPr w:rsidR="00590D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A55"/>
    <w:rsid w:val="000D4754"/>
    <w:rsid w:val="00296380"/>
    <w:rsid w:val="00350602"/>
    <w:rsid w:val="006352E5"/>
    <w:rsid w:val="00841A55"/>
    <w:rsid w:val="00846E86"/>
    <w:rsid w:val="00896520"/>
    <w:rsid w:val="00A5268E"/>
    <w:rsid w:val="00A966A1"/>
    <w:rsid w:val="00B206CD"/>
    <w:rsid w:val="00FC0C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683D0"/>
  <w15:chartTrackingRefBased/>
  <w15:docId w15:val="{00844449-7838-447B-A051-896F2623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A55"/>
    <w:pPr>
      <w:suppressAutoHyphens/>
      <w:autoSpaceDN w:val="0"/>
      <w:spacing w:line="240"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6750</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yentl lambrechts</dc:creator>
  <cp:keywords/>
  <dc:description/>
  <cp:lastModifiedBy>yentl lambrechts</cp:lastModifiedBy>
  <cp:revision>3</cp:revision>
  <dcterms:created xsi:type="dcterms:W3CDTF">2023-03-02T17:09:00Z</dcterms:created>
  <dcterms:modified xsi:type="dcterms:W3CDTF">2023-04-05T08:47:00Z</dcterms:modified>
</cp:coreProperties>
</file>