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4D664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15C7A5C4" wp14:editId="272F0448">
            <wp:extent cx="5274310" cy="3029585"/>
            <wp:effectExtent l="0" t="0" r="2540" b="0"/>
            <wp:docPr id="1191501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17A2A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t>Fig S1</w:t>
      </w:r>
      <w:r w:rsidRPr="007F76A4">
        <w:rPr>
          <w:rFonts w:ascii="Times New Roman" w:hAnsi="Times New Roman" w:cs="Times New Roman"/>
          <w:sz w:val="22"/>
        </w:rPr>
        <w:t xml:space="preserve">. </w:t>
      </w:r>
      <w:r w:rsidRPr="007F76A4">
        <w:rPr>
          <w:rFonts w:ascii="Times New Roman" w:hAnsi="Times New Roman" w:cs="Times New Roman"/>
          <w:b/>
          <w:bCs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b/>
          <w:bCs/>
          <w:sz w:val="22"/>
        </w:rPr>
        <w:t xml:space="preserve"> is upregulated in TA muscle, but not in Sol muscle, in response to HFD feeding</w:t>
      </w:r>
    </w:p>
    <w:p w14:paraId="42A8942B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1.</w:t>
      </w:r>
    </w:p>
    <w:p w14:paraId="58491993" w14:textId="77777777" w:rsidR="001175E7" w:rsidRPr="007F76A4" w:rsidRDefault="001175E7" w:rsidP="001175E7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Venn diagram showing the numbers of upregulated (UP) and downregulated (Down) genes in TA and Sol </w:t>
      </w:r>
      <w:r w:rsidRPr="007F76A4">
        <w:rPr>
          <w:rFonts w:ascii="Times New Roman" w:hAnsi="Times New Roman" w:cs="Times New Roman"/>
          <w:sz w:val="22"/>
        </w:rPr>
        <w:t>muscles from HFD-fed mice compared to SD controls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07670215" w14:textId="77777777" w:rsidR="001175E7" w:rsidRPr="007F76A4" w:rsidRDefault="001175E7" w:rsidP="001175E7">
      <w:pPr>
        <w:pStyle w:val="ListParagraph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Heatmap showing the transcription factors (TFs) downregulated in TA and Sol </w:t>
      </w:r>
      <w:r w:rsidRPr="007F76A4">
        <w:rPr>
          <w:rFonts w:ascii="Times New Roman" w:hAnsi="Times New Roman" w:cs="Times New Roman"/>
          <w:sz w:val="22"/>
        </w:rPr>
        <w:t>muscles from HFD-fed mice compared to SD controls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72EFE7E4" w14:textId="51C3FAD9" w:rsidR="001760E5" w:rsidRDefault="001175E7"/>
    <w:p w14:paraId="3C1256D5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38820793" wp14:editId="6F696439">
            <wp:extent cx="5274310" cy="5760720"/>
            <wp:effectExtent l="0" t="0" r="2540" b="0"/>
            <wp:docPr id="7587748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99F715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b/>
          <w:bCs/>
          <w:color w:val="333333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t>Fig S2.</w:t>
      </w:r>
      <w:r w:rsidRPr="007F76A4">
        <w:rPr>
          <w:rFonts w:ascii="Times New Roman" w:hAnsi="Times New Roman" w:cs="Times New Roman"/>
          <w:sz w:val="22"/>
        </w:rPr>
        <w:t xml:space="preserve"> </w:t>
      </w:r>
      <w:r w:rsidRPr="007F76A4">
        <w:rPr>
          <w:rFonts w:ascii="Times New Roman" w:hAnsi="Times New Roman" w:cs="Times New Roman"/>
          <w:b/>
          <w:bCs/>
          <w:i/>
          <w:iCs/>
          <w:color w:val="333333"/>
          <w:sz w:val="22"/>
        </w:rPr>
        <w:t>Myod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 xml:space="preserve"> KO mice exhibit enhanced oxidative metabolism in skeletal muscle and resist HFD-induced obesity</w:t>
      </w:r>
    </w:p>
    <w:p w14:paraId="7BA8A1F7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2.</w:t>
      </w:r>
    </w:p>
    <w:p w14:paraId="0F5A698F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Relative levels of the mRNAs encoding long-chain acyl-CoA synthetase (</w:t>
      </w:r>
      <w:r w:rsidRPr="007F76A4">
        <w:rPr>
          <w:rFonts w:ascii="Times New Roman" w:hAnsi="Times New Roman" w:cs="Times New Roman"/>
          <w:i/>
          <w:iCs/>
          <w:sz w:val="22"/>
        </w:rPr>
        <w:t>ACSL</w:t>
      </w:r>
      <w:r w:rsidRPr="007F76A4">
        <w:rPr>
          <w:rFonts w:ascii="Times New Roman" w:hAnsi="Times New Roman" w:cs="Times New Roman"/>
          <w:sz w:val="22"/>
        </w:rPr>
        <w:t>) and fatty acid binding protein 3 (</w:t>
      </w:r>
      <w:r w:rsidRPr="007F76A4">
        <w:rPr>
          <w:rFonts w:ascii="Times New Roman" w:hAnsi="Times New Roman" w:cs="Times New Roman"/>
          <w:i/>
          <w:iCs/>
          <w:sz w:val="22"/>
        </w:rPr>
        <w:t>FABP3</w:t>
      </w:r>
      <w:r w:rsidRPr="007F76A4">
        <w:rPr>
          <w:rFonts w:ascii="Times New Roman" w:hAnsi="Times New Roman" w:cs="Times New Roman"/>
          <w:sz w:val="22"/>
        </w:rPr>
        <w:t>) in</w:t>
      </w:r>
      <w:r w:rsidRPr="007F76A4">
        <w:rPr>
          <w:rFonts w:ascii="Times New Roman" w:hAnsi="Times New Roman" w:cs="Times New Roman"/>
          <w:sz w:val="22"/>
          <w:szCs w:val="22"/>
        </w:rPr>
        <w:t xml:space="preserve"> </w:t>
      </w:r>
      <w:r w:rsidRPr="007F76A4">
        <w:rPr>
          <w:rFonts w:ascii="Times New Roman" w:hAnsi="Times New Roman" w:cs="Times New Roman"/>
          <w:i/>
          <w:iCs/>
          <w:sz w:val="22"/>
        </w:rPr>
        <w:t>quadriceps</w:t>
      </w:r>
      <w:r w:rsidRPr="007F76A4">
        <w:rPr>
          <w:rFonts w:ascii="Times New Roman" w:hAnsi="Times New Roman" w:cs="Times New Roman"/>
          <w:sz w:val="22"/>
        </w:rPr>
        <w:t xml:space="preserve"> (Qu) muscle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determined by RT-qPCR (n = 5-8).</w:t>
      </w:r>
    </w:p>
    <w:p w14:paraId="1A904AEC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Relative levels of the mRNAs encoding peroxisome proliferator-activated receptor gamma coactivator 1 beta (</w:t>
      </w:r>
      <w:r w:rsidRPr="007F76A4">
        <w:rPr>
          <w:rFonts w:ascii="Times New Roman" w:hAnsi="Times New Roman" w:cs="Times New Roman"/>
          <w:i/>
          <w:iCs/>
          <w:sz w:val="22"/>
        </w:rPr>
        <w:t>PGC-1</w:t>
      </w:r>
      <w:r w:rsidRPr="007F76A4">
        <w:rPr>
          <w:rFonts w:ascii="Times New Roman" w:hAnsi="Times New Roman" w:cs="Times New Roman"/>
          <w:i/>
          <w:iCs/>
          <w:sz w:val="22"/>
        </w:rPr>
        <w:sym w:font="Symbol" w:char="F062"/>
      </w:r>
      <w:r w:rsidRPr="007F76A4">
        <w:rPr>
          <w:rFonts w:ascii="Times New Roman" w:hAnsi="Times New Roman" w:cs="Times New Roman"/>
          <w:sz w:val="22"/>
        </w:rPr>
        <w:t>), peroxisome proliferator-activated receptor alpha (</w:t>
      </w:r>
      <w:r w:rsidRPr="007F76A4">
        <w:rPr>
          <w:rFonts w:ascii="Times New Roman" w:hAnsi="Times New Roman" w:cs="Times New Roman"/>
          <w:i/>
          <w:iCs/>
          <w:sz w:val="22"/>
        </w:rPr>
        <w:t>PPAR</w:t>
      </w:r>
      <w:r w:rsidRPr="007F76A4">
        <w:rPr>
          <w:rFonts w:ascii="Times New Roman" w:hAnsi="Times New Roman" w:cs="Times New Roman"/>
          <w:i/>
          <w:iCs/>
          <w:sz w:val="22"/>
        </w:rPr>
        <w:sym w:font="Symbol" w:char="F061"/>
      </w:r>
      <w:r w:rsidRPr="007F76A4">
        <w:rPr>
          <w:rFonts w:ascii="Times New Roman" w:hAnsi="Times New Roman" w:cs="Times New Roman"/>
          <w:sz w:val="22"/>
        </w:rPr>
        <w:t>), and cytochrome C (</w:t>
      </w:r>
      <w:r w:rsidRPr="007F76A4">
        <w:rPr>
          <w:rFonts w:ascii="Times New Roman" w:hAnsi="Times New Roman" w:cs="Times New Roman"/>
          <w:i/>
          <w:iCs/>
          <w:sz w:val="22"/>
        </w:rPr>
        <w:t>CytC</w:t>
      </w:r>
      <w:r w:rsidRPr="007F76A4">
        <w:rPr>
          <w:rFonts w:ascii="Times New Roman" w:hAnsi="Times New Roman" w:cs="Times New Roman"/>
          <w:sz w:val="22"/>
        </w:rPr>
        <w:t xml:space="preserve">) in </w:t>
      </w:r>
      <w:r w:rsidRPr="007F76A4">
        <w:rPr>
          <w:rFonts w:ascii="Times New Roman" w:hAnsi="Times New Roman" w:cs="Times New Roman"/>
          <w:sz w:val="22"/>
          <w:szCs w:val="22"/>
        </w:rPr>
        <w:t>Qu</w:t>
      </w:r>
      <w:r w:rsidRPr="007F76A4">
        <w:rPr>
          <w:rFonts w:ascii="Times New Roman" w:hAnsi="Times New Roman" w:cs="Times New Roman"/>
          <w:sz w:val="22"/>
        </w:rPr>
        <w:t xml:space="preserve"> muscle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RT-qPCR (n = 7). </w:t>
      </w:r>
    </w:p>
    <w:p w14:paraId="2C970D83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Relative levels of genes encoding key enzymes for glycolysis in </w:t>
      </w:r>
      <w:r w:rsidRPr="007F76A4">
        <w:rPr>
          <w:rFonts w:ascii="Times New Roman" w:hAnsi="Times New Roman" w:cs="Times New Roman"/>
          <w:sz w:val="22"/>
          <w:szCs w:val="22"/>
        </w:rPr>
        <w:t>Qu</w:t>
      </w:r>
      <w:r w:rsidRPr="007F76A4">
        <w:rPr>
          <w:rFonts w:ascii="Times New Roman" w:hAnsi="Times New Roman" w:cs="Times New Roman"/>
          <w:sz w:val="22"/>
        </w:rPr>
        <w:t xml:space="preserve"> muscle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</w:t>
      </w:r>
      <w:r w:rsidRPr="007F76A4">
        <w:rPr>
          <w:rFonts w:ascii="Times New Roman" w:hAnsi="Times New Roman" w:cs="Times New Roman"/>
          <w:sz w:val="22"/>
        </w:rPr>
        <w:lastRenderedPageBreak/>
        <w:t xml:space="preserve">littermates fed with SD, </w:t>
      </w:r>
      <w:bookmarkStart w:id="0" w:name="OLE_LINK3"/>
      <w:r w:rsidRPr="007F76A4">
        <w:rPr>
          <w:rFonts w:ascii="Times New Roman" w:hAnsi="Times New Roman" w:cs="Times New Roman"/>
          <w:sz w:val="22"/>
        </w:rPr>
        <w:t>as determined by RT-qPCR (n = 7-8).</w:t>
      </w:r>
      <w:bookmarkEnd w:id="0"/>
      <w:r w:rsidRPr="007F76A4">
        <w:rPr>
          <w:rFonts w:ascii="Times New Roman" w:hAnsi="Times New Roman" w:cs="Times New Roman"/>
          <w:sz w:val="22"/>
        </w:rPr>
        <w:t xml:space="preserve"> </w:t>
      </w:r>
      <w:r w:rsidRPr="007F76A4">
        <w:rPr>
          <w:rFonts w:ascii="Times New Roman" w:hAnsi="Times New Roman" w:cs="Times New Roman"/>
          <w:i/>
          <w:iCs/>
          <w:sz w:val="22"/>
        </w:rPr>
        <w:t>HK2</w:t>
      </w:r>
      <w:r w:rsidRPr="007F76A4">
        <w:rPr>
          <w:rFonts w:ascii="Times New Roman" w:hAnsi="Times New Roman" w:cs="Times New Roman"/>
          <w:sz w:val="22"/>
        </w:rPr>
        <w:t>, hexokinase 2.</w:t>
      </w:r>
      <w:r w:rsidRPr="007F76A4">
        <w:rPr>
          <w:rFonts w:ascii="Times New Roman" w:hAnsi="Times New Roman" w:cs="Times New Roman"/>
          <w:i/>
          <w:iCs/>
          <w:sz w:val="22"/>
        </w:rPr>
        <w:t xml:space="preserve"> PFKm</w:t>
      </w:r>
      <w:r w:rsidRPr="007F76A4">
        <w:rPr>
          <w:rFonts w:ascii="Times New Roman" w:hAnsi="Times New Roman" w:cs="Times New Roman"/>
          <w:sz w:val="22"/>
        </w:rPr>
        <w:t xml:space="preserve">, phosphofructokinase. </w:t>
      </w:r>
      <w:r w:rsidRPr="007F76A4">
        <w:rPr>
          <w:rFonts w:ascii="Times New Roman" w:hAnsi="Times New Roman" w:cs="Times New Roman"/>
          <w:i/>
          <w:iCs/>
          <w:sz w:val="22"/>
        </w:rPr>
        <w:t>LDHA</w:t>
      </w:r>
      <w:r w:rsidRPr="007F76A4">
        <w:rPr>
          <w:rFonts w:ascii="Times New Roman" w:hAnsi="Times New Roman" w:cs="Times New Roman"/>
          <w:sz w:val="22"/>
        </w:rPr>
        <w:t>, lactate dehydrogenase A.</w:t>
      </w:r>
    </w:p>
    <w:p w14:paraId="39EE22E5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Relative levels of genes encoding versions of fiber type-specific myosin-heavy chain (MHC), including </w:t>
      </w:r>
      <w:r w:rsidRPr="007F76A4">
        <w:rPr>
          <w:rFonts w:ascii="Times New Roman" w:hAnsi="Times New Roman" w:cs="Times New Roman"/>
          <w:i/>
          <w:iCs/>
          <w:sz w:val="22"/>
        </w:rPr>
        <w:t>Myh7</w:t>
      </w:r>
      <w:r w:rsidRPr="007F76A4">
        <w:rPr>
          <w:rFonts w:ascii="Times New Roman" w:hAnsi="Times New Roman" w:cs="Times New Roman"/>
          <w:sz w:val="22"/>
        </w:rPr>
        <w:t xml:space="preserve"> (encoding MHC-I), </w:t>
      </w:r>
      <w:r w:rsidRPr="007F76A4">
        <w:rPr>
          <w:rFonts w:ascii="Times New Roman" w:hAnsi="Times New Roman" w:cs="Times New Roman"/>
          <w:i/>
          <w:iCs/>
          <w:sz w:val="22"/>
        </w:rPr>
        <w:t>Myh2</w:t>
      </w:r>
      <w:r w:rsidRPr="007F76A4">
        <w:rPr>
          <w:rFonts w:ascii="Times New Roman" w:hAnsi="Times New Roman" w:cs="Times New Roman"/>
          <w:sz w:val="22"/>
        </w:rPr>
        <w:t xml:space="preserve"> (encoding MHC-IIa), </w:t>
      </w:r>
      <w:r w:rsidRPr="007F76A4">
        <w:rPr>
          <w:rFonts w:ascii="Times New Roman" w:hAnsi="Times New Roman" w:cs="Times New Roman"/>
          <w:i/>
          <w:iCs/>
          <w:sz w:val="22"/>
        </w:rPr>
        <w:t>Myh1</w:t>
      </w:r>
      <w:r w:rsidRPr="007F76A4">
        <w:rPr>
          <w:rFonts w:ascii="Times New Roman" w:hAnsi="Times New Roman" w:cs="Times New Roman"/>
          <w:sz w:val="22"/>
        </w:rPr>
        <w:t xml:space="preserve"> (encoding MHC-IIx), and </w:t>
      </w:r>
      <w:r w:rsidRPr="007F76A4">
        <w:rPr>
          <w:rFonts w:ascii="Times New Roman" w:hAnsi="Times New Roman" w:cs="Times New Roman"/>
          <w:i/>
          <w:iCs/>
          <w:sz w:val="22"/>
        </w:rPr>
        <w:t>Myh4</w:t>
      </w:r>
      <w:r w:rsidRPr="007F76A4">
        <w:rPr>
          <w:rFonts w:ascii="Times New Roman" w:hAnsi="Times New Roman" w:cs="Times New Roman"/>
          <w:sz w:val="22"/>
        </w:rPr>
        <w:t xml:space="preserve"> (encoding MHC-IIb), in </w:t>
      </w:r>
      <w:r w:rsidRPr="007F76A4">
        <w:rPr>
          <w:rFonts w:ascii="Times New Roman" w:hAnsi="Times New Roman" w:cs="Times New Roman"/>
          <w:sz w:val="22"/>
          <w:szCs w:val="22"/>
        </w:rPr>
        <w:t>Qu</w:t>
      </w:r>
      <w:r w:rsidRPr="007F76A4">
        <w:rPr>
          <w:rFonts w:ascii="Times New Roman" w:hAnsi="Times New Roman" w:cs="Times New Roman"/>
          <w:sz w:val="22"/>
        </w:rPr>
        <w:t xml:space="preserve"> muscle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RT-qPCR (n = 4-8).</w:t>
      </w:r>
    </w:p>
    <w:p w14:paraId="7FBD8FE4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O</w:t>
      </w:r>
      <w:r w:rsidRPr="007F76A4">
        <w:rPr>
          <w:rFonts w:ascii="Times New Roman" w:hAnsi="Times New Roman" w:cs="Times New Roman"/>
          <w:sz w:val="22"/>
          <w:vertAlign w:val="subscript"/>
        </w:rPr>
        <w:t>2</w:t>
      </w:r>
      <w:r w:rsidRPr="007F76A4">
        <w:rPr>
          <w:rFonts w:ascii="Times New Roman" w:hAnsi="Times New Roman" w:cs="Times New Roman"/>
          <w:sz w:val="22"/>
        </w:rPr>
        <w:t xml:space="preserve"> consumption by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metabolic chamber analysis (n = 4).</w:t>
      </w:r>
    </w:p>
    <w:p w14:paraId="264622D4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CO</w:t>
      </w:r>
      <w:r w:rsidRPr="007F76A4">
        <w:rPr>
          <w:rFonts w:ascii="Times New Roman" w:hAnsi="Times New Roman" w:cs="Times New Roman"/>
          <w:sz w:val="22"/>
          <w:vertAlign w:val="subscript"/>
        </w:rPr>
        <w:t>2</w:t>
      </w:r>
      <w:r w:rsidRPr="007F76A4">
        <w:rPr>
          <w:rFonts w:ascii="Times New Roman" w:hAnsi="Times New Roman" w:cs="Times New Roman"/>
          <w:sz w:val="22"/>
        </w:rPr>
        <w:t xml:space="preserve"> production by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metabolic chamber analysis (n = 4).</w:t>
      </w:r>
    </w:p>
    <w:p w14:paraId="6BB2E260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Energy expenditure by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metabolic chamber analysis (n = 4).</w:t>
      </w:r>
    </w:p>
    <w:p w14:paraId="48A36207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Locomotor activities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SD, as determined by metabolic chamber analysis (n = 4).</w:t>
      </w:r>
    </w:p>
    <w:p w14:paraId="3EF488C6" w14:textId="77777777" w:rsidR="001175E7" w:rsidRPr="007F76A4" w:rsidRDefault="001175E7" w:rsidP="001175E7">
      <w:pPr>
        <w:pStyle w:val="ListParagraph"/>
        <w:numPr>
          <w:ilvl w:val="0"/>
          <w:numId w:val="2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Food intake by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HFD or SD (n = 8-12).</w:t>
      </w:r>
    </w:p>
    <w:p w14:paraId="462FF2CA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Data are presented as mean </w:t>
      </w:r>
      <w:r w:rsidRPr="007F76A4">
        <w:rPr>
          <w:rFonts w:ascii="Times New Roman" w:hAnsi="Times New Roman" w:cs="Times New Roman"/>
        </w:rPr>
        <w:sym w:font="Symbol" w:char="F0B1"/>
      </w:r>
      <w:r w:rsidRPr="007F76A4">
        <w:rPr>
          <w:rFonts w:ascii="Times New Roman" w:hAnsi="Times New Roman" w:cs="Times New Roman"/>
          <w:sz w:val="22"/>
        </w:rPr>
        <w:t xml:space="preserve"> SEM. Significance was assessed by two-way ANOVA (A-D) or Student’s </w:t>
      </w:r>
      <w:r w:rsidRPr="007F76A4">
        <w:rPr>
          <w:rFonts w:ascii="Times New Roman" w:hAnsi="Times New Roman" w:cs="Times New Roman"/>
          <w:i/>
          <w:iCs/>
          <w:sz w:val="22"/>
        </w:rPr>
        <w:t>t</w:t>
      </w:r>
      <w:r w:rsidRPr="007F76A4">
        <w:rPr>
          <w:rFonts w:ascii="Times New Roman" w:hAnsi="Times New Roman" w:cs="Times New Roman"/>
          <w:sz w:val="22"/>
        </w:rPr>
        <w:t xml:space="preserve">-test (I). **p &lt; 0.01 compared to WT control group. </w:t>
      </w:r>
    </w:p>
    <w:p w14:paraId="0C817ED8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38611B03" wp14:editId="00560724">
            <wp:extent cx="5274310" cy="2122805"/>
            <wp:effectExtent l="0" t="0" r="2540" b="0"/>
            <wp:docPr id="16888588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2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BD65F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b/>
          <w:bCs/>
          <w:color w:val="333333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t xml:space="preserve">Fig S3. 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 xml:space="preserve">iWAT browning occurs in </w:t>
      </w:r>
      <w:r w:rsidRPr="007F76A4">
        <w:rPr>
          <w:rFonts w:ascii="Times New Roman" w:hAnsi="Times New Roman" w:cs="Times New Roman"/>
          <w:b/>
          <w:bCs/>
          <w:i/>
          <w:iCs/>
          <w:color w:val="333333"/>
          <w:sz w:val="22"/>
        </w:rPr>
        <w:t>Myod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 xml:space="preserve"> KO mice</w:t>
      </w:r>
    </w:p>
    <w:p w14:paraId="188BD34E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3.</w:t>
      </w:r>
    </w:p>
    <w:p w14:paraId="4736142D" w14:textId="77777777" w:rsidR="001175E7" w:rsidRPr="007F76A4" w:rsidRDefault="001175E7" w:rsidP="001175E7">
      <w:pPr>
        <w:pStyle w:val="ListParagraph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Measurement of DNA contents in individual fat pads of iWAT from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 or HFD (n = 6-8).</w:t>
      </w:r>
    </w:p>
    <w:p w14:paraId="00B0EF13" w14:textId="77777777" w:rsidR="001175E7" w:rsidRPr="007F76A4" w:rsidRDefault="001175E7" w:rsidP="001175E7">
      <w:pPr>
        <w:pStyle w:val="ListParagraph"/>
        <w:numPr>
          <w:ilvl w:val="0"/>
          <w:numId w:val="3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Relative mRNA levels of lipolysis-related genes in iWAT from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and WT littermates fed with SD or HFD, as determined by RT-qPCR (n = 5-8). </w:t>
      </w:r>
      <w:r w:rsidRPr="007F76A4">
        <w:rPr>
          <w:rFonts w:ascii="Times New Roman" w:hAnsi="Times New Roman" w:cs="Times New Roman"/>
          <w:i/>
          <w:iCs/>
          <w:sz w:val="22"/>
        </w:rPr>
        <w:t>HSL</w:t>
      </w:r>
      <w:r w:rsidRPr="007F76A4">
        <w:rPr>
          <w:rFonts w:ascii="Times New Roman" w:hAnsi="Times New Roman" w:cs="Times New Roman"/>
          <w:sz w:val="22"/>
        </w:rPr>
        <w:t xml:space="preserve">, hormone-sensitive lipase. </w:t>
      </w:r>
      <w:r w:rsidRPr="007F76A4">
        <w:rPr>
          <w:rFonts w:ascii="Times New Roman" w:hAnsi="Times New Roman" w:cs="Times New Roman"/>
          <w:i/>
          <w:iCs/>
          <w:sz w:val="22"/>
        </w:rPr>
        <w:t>ATGL</w:t>
      </w:r>
      <w:r w:rsidRPr="007F76A4">
        <w:rPr>
          <w:rFonts w:ascii="Times New Roman" w:hAnsi="Times New Roman" w:cs="Times New Roman"/>
          <w:sz w:val="22"/>
        </w:rPr>
        <w:t>, adipose triglyceride lipase.</w:t>
      </w:r>
      <w:r w:rsidRPr="007F76A4">
        <w:rPr>
          <w:rFonts w:ascii="Times New Roman" w:hAnsi="Times New Roman" w:cs="Times New Roman"/>
        </w:rPr>
        <w:t xml:space="preserve"> </w:t>
      </w:r>
    </w:p>
    <w:p w14:paraId="1ED04E86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Data are presented as mean </w:t>
      </w:r>
      <w:r w:rsidRPr="007F76A4">
        <w:rPr>
          <w:rFonts w:ascii="Times New Roman" w:hAnsi="Times New Roman" w:cs="Times New Roman"/>
        </w:rPr>
        <w:sym w:font="Symbol" w:char="F0B1"/>
      </w:r>
      <w:r w:rsidRPr="007F76A4">
        <w:rPr>
          <w:rFonts w:ascii="Times New Roman" w:hAnsi="Times New Roman" w:cs="Times New Roman"/>
          <w:sz w:val="22"/>
        </w:rPr>
        <w:t xml:space="preserve"> SEM. Significance was assessed by two-way ANOVA (B) or Student’s </w:t>
      </w:r>
      <w:r w:rsidRPr="007F76A4">
        <w:rPr>
          <w:rFonts w:ascii="Times New Roman" w:hAnsi="Times New Roman" w:cs="Times New Roman"/>
          <w:i/>
          <w:iCs/>
          <w:sz w:val="22"/>
        </w:rPr>
        <w:t>t</w:t>
      </w:r>
      <w:r w:rsidRPr="007F76A4">
        <w:rPr>
          <w:rFonts w:ascii="Times New Roman" w:hAnsi="Times New Roman" w:cs="Times New Roman"/>
          <w:sz w:val="22"/>
        </w:rPr>
        <w:t xml:space="preserve">-test </w:t>
      </w:r>
      <w:r w:rsidRPr="007F76A4">
        <w:rPr>
          <w:rFonts w:ascii="Times New Roman" w:hAnsi="Times New Roman" w:cs="Times New Roman"/>
          <w:sz w:val="22"/>
        </w:rPr>
        <w:lastRenderedPageBreak/>
        <w:t xml:space="preserve">(A). </w:t>
      </w:r>
    </w:p>
    <w:p w14:paraId="667B359D" w14:textId="3B40E26C" w:rsidR="001175E7" w:rsidRDefault="001175E7"/>
    <w:p w14:paraId="5063EE90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drawing>
          <wp:inline distT="0" distB="0" distL="0" distR="0" wp14:anchorId="411926D7" wp14:editId="7CF3D287">
            <wp:extent cx="5274310" cy="6976745"/>
            <wp:effectExtent l="0" t="0" r="2540" b="0"/>
            <wp:docPr id="73729169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3EBB9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t xml:space="preserve">Fig S4. DLPC induces iWAT browning in HFD-fed </w:t>
      </w:r>
      <w:r w:rsidRPr="007F76A4">
        <w:rPr>
          <w:rFonts w:ascii="Times New Roman" w:hAnsi="Times New Roman" w:cs="Times New Roman"/>
          <w:b/>
          <w:bCs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b/>
          <w:bCs/>
          <w:sz w:val="22"/>
        </w:rPr>
        <w:t xml:space="preserve"> KO mice</w:t>
      </w:r>
    </w:p>
    <w:p w14:paraId="0B36D0C8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4.</w:t>
      </w:r>
    </w:p>
    <w:p w14:paraId="50F44174" w14:textId="77777777" w:rsidR="001175E7" w:rsidRPr="007F76A4" w:rsidRDefault="001175E7" w:rsidP="001175E7">
      <w:pPr>
        <w:pStyle w:val="ListParagraph"/>
        <w:numPr>
          <w:ilvl w:val="0"/>
          <w:numId w:val="5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Heatmap showing DEGs in TA and Sol muscles of </w:t>
      </w:r>
      <w:r w:rsidRPr="007F76A4">
        <w:rPr>
          <w:rFonts w:ascii="Times New Roman" w:hAnsi="Times New Roman" w:cs="Times New Roman"/>
          <w:i/>
          <w:iCs/>
          <w:sz w:val="22"/>
        </w:rPr>
        <w:t>Myod</w:t>
      </w:r>
      <w:r w:rsidRPr="007F76A4">
        <w:rPr>
          <w:rFonts w:ascii="Times New Roman" w:hAnsi="Times New Roman" w:cs="Times New Roman"/>
          <w:sz w:val="22"/>
        </w:rPr>
        <w:t xml:space="preserve"> KO mice versus WT littermates fed with SD </w:t>
      </w:r>
      <w:r w:rsidRPr="007F76A4">
        <w:rPr>
          <w:rFonts w:ascii="Times New Roman" w:hAnsi="Times New Roman" w:cs="Times New Roman"/>
          <w:sz w:val="22"/>
        </w:rPr>
        <w:lastRenderedPageBreak/>
        <w:t>or HFD for 2 weeks, as described in Fig 4A.</w:t>
      </w:r>
    </w:p>
    <w:p w14:paraId="457FCCD7" w14:textId="77777777" w:rsidR="001175E7" w:rsidRPr="007F76A4" w:rsidRDefault="001175E7" w:rsidP="001175E7">
      <w:pPr>
        <w:spacing w:line="360" w:lineRule="auto"/>
        <w:ind w:leftChars="1" w:left="424" w:hangingChars="192" w:hanging="422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B-G. Relative mRNA levels of </w:t>
      </w:r>
      <w:r w:rsidRPr="007F76A4">
        <w:rPr>
          <w:rFonts w:ascii="Times New Roman" w:hAnsi="Times New Roman" w:cs="Times New Roman"/>
          <w:i/>
          <w:iCs/>
          <w:sz w:val="22"/>
        </w:rPr>
        <w:t>Ucp1</w:t>
      </w:r>
      <w:r w:rsidRPr="007F76A4">
        <w:rPr>
          <w:rFonts w:ascii="Times New Roman" w:hAnsi="Times New Roman" w:cs="Times New Roman"/>
          <w:sz w:val="22"/>
        </w:rPr>
        <w:t xml:space="preserve"> in iWAT-derived primary adipocytes treated with vehicle or various doses of the indicated PC species for 12 h, as determined by RT-qPCR. Data are representative of three independent experiments.</w:t>
      </w:r>
    </w:p>
    <w:p w14:paraId="3598541C" w14:textId="07C8C7B4" w:rsidR="001175E7" w:rsidRPr="007F76A4" w:rsidRDefault="001175E7" w:rsidP="001175E7">
      <w:pPr>
        <w:pStyle w:val="ListParagraph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Levels of PC (36:4) in muscle-derived CM from the mice described in (A); </w:t>
      </w:r>
      <w:r w:rsidRPr="007F76A4">
        <w:rPr>
          <w:rFonts w:ascii="Times New Roman" w:hAnsi="Times New Roman" w:cs="Times New Roman"/>
          <w:sz w:val="22"/>
        </w:rPr>
        <w:t>n = 6-8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2FDF8812" w14:textId="71BBA441" w:rsidR="001175E7" w:rsidRPr="007F76A4" w:rsidRDefault="001175E7" w:rsidP="001175E7">
      <w:pPr>
        <w:pStyle w:val="ListParagraph"/>
        <w:numPr>
          <w:ilvl w:val="0"/>
          <w:numId w:val="6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Levels of PC (36:4) in sera collected from the mice described in (A); </w:t>
      </w:r>
      <w:r w:rsidRPr="007F76A4">
        <w:rPr>
          <w:rFonts w:ascii="Times New Roman" w:hAnsi="Times New Roman" w:cs="Times New Roman"/>
          <w:sz w:val="22"/>
        </w:rPr>
        <w:t>n = 4-6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</w:t>
      </w:r>
    </w:p>
    <w:p w14:paraId="2D73E279" w14:textId="46994F31" w:rsidR="001175E7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Data are presented as mean </w:t>
      </w:r>
      <w:r w:rsidRPr="007F76A4">
        <w:rPr>
          <w:rFonts w:ascii="Times New Roman" w:hAnsi="Times New Roman" w:cs="Times New Roman"/>
        </w:rPr>
        <w:sym w:font="Symbol" w:char="F0B1"/>
      </w:r>
      <w:r w:rsidRPr="007F76A4">
        <w:rPr>
          <w:rFonts w:ascii="Times New Roman" w:hAnsi="Times New Roman" w:cs="Times New Roman"/>
          <w:sz w:val="22"/>
        </w:rPr>
        <w:t xml:space="preserve"> SEM. Significance was assessed by one-way ANOVA (B-G) or Student’s </w:t>
      </w:r>
      <w:r w:rsidRPr="007F76A4">
        <w:rPr>
          <w:rFonts w:ascii="Times New Roman" w:hAnsi="Times New Roman" w:cs="Times New Roman"/>
          <w:i/>
          <w:iCs/>
          <w:sz w:val="22"/>
        </w:rPr>
        <w:t>t</w:t>
      </w:r>
      <w:r w:rsidRPr="007F76A4">
        <w:rPr>
          <w:rFonts w:ascii="Times New Roman" w:hAnsi="Times New Roman" w:cs="Times New Roman"/>
          <w:sz w:val="22"/>
        </w:rPr>
        <w:t>-test (H-I). *p &lt; 0.05 compared to vehicle control group.</w:t>
      </w:r>
    </w:p>
    <w:p w14:paraId="027FF521" w14:textId="01EB9CCD" w:rsidR="001175E7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</w:p>
    <w:p w14:paraId="27B578D0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0C1027A4" wp14:editId="62CD71C1">
            <wp:extent cx="5274310" cy="8491855"/>
            <wp:effectExtent l="0" t="0" r="2540" b="4445"/>
            <wp:docPr id="7242015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49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8898B" w14:textId="77777777" w:rsidR="001175E7" w:rsidRPr="007F76A4" w:rsidRDefault="001175E7" w:rsidP="001175E7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lastRenderedPageBreak/>
        <w:t>Fig S5.</w:t>
      </w:r>
      <w:r w:rsidRPr="007F76A4">
        <w:rPr>
          <w:rFonts w:ascii="Times New Roman" w:hAnsi="Times New Roman" w:cs="Times New Roman"/>
          <w:sz w:val="22"/>
        </w:rPr>
        <w:t xml:space="preserve"> 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>DLPC prevents HFD-induced obesity</w:t>
      </w:r>
    </w:p>
    <w:p w14:paraId="2EF18C5D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5.</w:t>
      </w:r>
    </w:p>
    <w:p w14:paraId="03A290CC" w14:textId="77777777" w:rsidR="001175E7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Body weights of mice that were fed with SD or HFD and simultaneously i.p. administered with vehicle or various doses of DLPC (50, 100, 200 mg/kg) daily for 14 weeks (n = 8-12).</w:t>
      </w:r>
    </w:p>
    <w:p w14:paraId="0E99A0C1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GTT performance of the mice described in (A); n = 7-9. </w:t>
      </w:r>
    </w:p>
    <w:p w14:paraId="36B8B9E5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ITT performance of the mice described in (A); n = 8-10.</w:t>
      </w:r>
    </w:p>
    <w:p w14:paraId="67C05F5B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>Total cholesterol (T-CHO) in sera from the mice described in (A); n = 5-6.</w:t>
      </w:r>
    </w:p>
    <w:p w14:paraId="5A1705BE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  <w:szCs w:val="22"/>
        </w:rPr>
        <w:t>Low density lipoprotein cholesterol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 (LDL-C) in sera of the mice described in (A); n = 6.</w:t>
      </w:r>
    </w:p>
    <w:p w14:paraId="40442224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>Food intake by the mice described in (A), as measured by metabolic chamber analysis (n = 8-12).</w:t>
      </w:r>
    </w:p>
    <w:p w14:paraId="10DE89EF" w14:textId="77777777" w:rsidR="001175E7" w:rsidRPr="007F76A4" w:rsidRDefault="001175E7" w:rsidP="001175E7">
      <w:pPr>
        <w:pStyle w:val="ListParagraph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>Water intake by the mice described in (A), as measured by metabolic chamber analysis (n = 8-12).</w:t>
      </w:r>
    </w:p>
    <w:p w14:paraId="445E5AE8" w14:textId="77777777" w:rsidR="001175E7" w:rsidRPr="007F76A4" w:rsidRDefault="001175E7" w:rsidP="001175E7">
      <w:pPr>
        <w:spacing w:line="360" w:lineRule="auto"/>
        <w:ind w:left="440" w:hangingChars="200" w:hanging="44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H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</w:rPr>
        <w:t>N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 Relative mRNA levels of browning-related genes in iWAT of the mice described in (A), as determined by RT-qPCR (n = 3-4).</w:t>
      </w:r>
    </w:p>
    <w:p w14:paraId="72D26240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Data are presented as mean </w:t>
      </w:r>
      <w:r w:rsidRPr="007F76A4">
        <w:rPr>
          <w:rFonts w:ascii="Times New Roman" w:hAnsi="Times New Roman" w:cs="Times New Roman"/>
        </w:rPr>
        <w:sym w:font="Symbol" w:char="F0B1"/>
      </w:r>
      <w:r w:rsidRPr="007F76A4">
        <w:rPr>
          <w:rFonts w:ascii="Times New Roman" w:hAnsi="Times New Roman" w:cs="Times New Roman"/>
          <w:sz w:val="22"/>
        </w:rPr>
        <w:t xml:space="preserve"> SEM. Significance was assessed by one-way ANOVA (</w:t>
      </w:r>
      <w:r>
        <w:rPr>
          <w:rFonts w:ascii="Times New Roman" w:hAnsi="Times New Roman" w:cs="Times New Roman"/>
          <w:sz w:val="22"/>
        </w:rPr>
        <w:t>D</w:t>
      </w:r>
      <w:r w:rsidRPr="007F76A4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G</w:t>
      </w:r>
      <w:r w:rsidRPr="007F76A4">
        <w:rPr>
          <w:rFonts w:ascii="Times New Roman" w:hAnsi="Times New Roman" w:cs="Times New Roman"/>
          <w:sz w:val="22"/>
        </w:rPr>
        <w:t>), two-way ANOVA (A</w:t>
      </w:r>
      <w:r>
        <w:rPr>
          <w:rFonts w:ascii="Times New Roman" w:hAnsi="Times New Roman" w:cs="Times New Roman"/>
          <w:sz w:val="22"/>
        </w:rPr>
        <w:t>-C</w:t>
      </w:r>
      <w:r w:rsidRPr="007F76A4">
        <w:rPr>
          <w:rFonts w:ascii="Times New Roman" w:hAnsi="Times New Roman" w:cs="Times New Roman"/>
          <w:sz w:val="22"/>
        </w:rPr>
        <w:t xml:space="preserve">), or Student’s </w:t>
      </w:r>
      <w:r w:rsidRPr="007F76A4">
        <w:rPr>
          <w:rFonts w:ascii="Times New Roman" w:hAnsi="Times New Roman" w:cs="Times New Roman"/>
          <w:i/>
          <w:iCs/>
          <w:sz w:val="22"/>
        </w:rPr>
        <w:t>t</w:t>
      </w:r>
      <w:r w:rsidRPr="007F76A4">
        <w:rPr>
          <w:rFonts w:ascii="Times New Roman" w:hAnsi="Times New Roman" w:cs="Times New Roman"/>
          <w:sz w:val="22"/>
        </w:rPr>
        <w:t>-test (</w:t>
      </w:r>
      <w:r>
        <w:rPr>
          <w:rFonts w:ascii="Times New Roman" w:hAnsi="Times New Roman" w:cs="Times New Roman"/>
          <w:sz w:val="22"/>
        </w:rPr>
        <w:t>H</w:t>
      </w:r>
      <w:r w:rsidRPr="007F76A4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N</w:t>
      </w:r>
      <w:r w:rsidRPr="007F76A4">
        <w:rPr>
          <w:rFonts w:ascii="Times New Roman" w:hAnsi="Times New Roman" w:cs="Times New Roman"/>
          <w:sz w:val="22"/>
        </w:rPr>
        <w:t>). *p &lt; 0.05, **p &lt; 0.01, ***p &lt; 0.001, ****p &lt; 0.0001 compared to vehicle control group.</w:t>
      </w:r>
    </w:p>
    <w:p w14:paraId="671E9BAA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62D56298" wp14:editId="2F3455A9">
            <wp:extent cx="5274310" cy="8187690"/>
            <wp:effectExtent l="0" t="0" r="2540" b="3810"/>
            <wp:docPr id="162993870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6BE19" w14:textId="77777777" w:rsidR="001175E7" w:rsidRPr="007F76A4" w:rsidRDefault="001175E7" w:rsidP="001175E7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lastRenderedPageBreak/>
        <w:t>Fig S6.</w:t>
      </w:r>
      <w:r w:rsidRPr="007F76A4">
        <w:rPr>
          <w:rFonts w:ascii="Times New Roman" w:hAnsi="Times New Roman" w:cs="Times New Roman"/>
          <w:sz w:val="22"/>
        </w:rPr>
        <w:t xml:space="preserve"> 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>DLPC treats obesity in DIO mice</w:t>
      </w:r>
    </w:p>
    <w:p w14:paraId="60F789CA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6.</w:t>
      </w:r>
    </w:p>
    <w:p w14:paraId="136DF9E1" w14:textId="77777777" w:rsidR="001175E7" w:rsidRDefault="001175E7" w:rsidP="001175E7">
      <w:pPr>
        <w:pStyle w:val="ListParagraph"/>
        <w:numPr>
          <w:ilvl w:val="0"/>
          <w:numId w:val="8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Weight gain of DIO mice that were i.p. administered with vehicle or various doses of DLPC (50, 100, 200 mg/kg) daily for 10 w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eeks (n = 10-12). Mic</w:t>
      </w:r>
      <w:r w:rsidRPr="007F76A4">
        <w:rPr>
          <w:rFonts w:ascii="Times New Roman" w:hAnsi="Times New Roman" w:cs="Times New Roman"/>
          <w:sz w:val="22"/>
        </w:rPr>
        <w:t>e fed with SD served as controls.</w:t>
      </w:r>
    </w:p>
    <w:p w14:paraId="7D17EB00" w14:textId="77777777" w:rsidR="001175E7" w:rsidRPr="007F76A4" w:rsidRDefault="001175E7" w:rsidP="001175E7">
      <w:pPr>
        <w:pStyle w:val="ListParagraph"/>
        <w:numPr>
          <w:ilvl w:val="0"/>
          <w:numId w:val="8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 xml:space="preserve">GTT performance of the mice described in (A); n = 6-8. </w:t>
      </w:r>
    </w:p>
    <w:p w14:paraId="199F5D08" w14:textId="77777777" w:rsidR="001175E7" w:rsidRPr="007F76A4" w:rsidRDefault="001175E7" w:rsidP="001175E7">
      <w:pPr>
        <w:pStyle w:val="ListParagraph"/>
        <w:numPr>
          <w:ilvl w:val="0"/>
          <w:numId w:val="8"/>
        </w:numPr>
        <w:spacing w:line="360" w:lineRule="auto"/>
        <w:ind w:firstLineChars="0"/>
        <w:rPr>
          <w:rFonts w:ascii="Times New Roman" w:hAnsi="Times New Roman" w:cs="Times New Roman"/>
          <w:color w:val="000000" w:themeColor="text1"/>
          <w:sz w:val="22"/>
        </w:rPr>
      </w:pPr>
      <w:r w:rsidRPr="007F76A4">
        <w:rPr>
          <w:rFonts w:ascii="Times New Roman" w:hAnsi="Times New Roman" w:cs="Times New Roman"/>
          <w:color w:val="000000" w:themeColor="text1"/>
          <w:sz w:val="22"/>
        </w:rPr>
        <w:t>ITT performance of the mice described in (A); n = 8-11.</w:t>
      </w:r>
    </w:p>
    <w:p w14:paraId="11C0C377" w14:textId="77777777" w:rsidR="001175E7" w:rsidRPr="007F76A4" w:rsidRDefault="001175E7" w:rsidP="001175E7">
      <w:pPr>
        <w:pStyle w:val="ListParagraph"/>
        <w:numPr>
          <w:ilvl w:val="0"/>
          <w:numId w:val="8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Food intake by the mice described in (A), as measured by metabolic chamber analysis (n = 10-12).</w:t>
      </w:r>
    </w:p>
    <w:p w14:paraId="2B17719E" w14:textId="77777777" w:rsidR="001175E7" w:rsidRPr="007F76A4" w:rsidRDefault="001175E7" w:rsidP="001175E7">
      <w:pPr>
        <w:pStyle w:val="ListParagraph"/>
        <w:numPr>
          <w:ilvl w:val="0"/>
          <w:numId w:val="8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Water intake by the mice described in (A), as measured by metabolic chamber analysis (n = 10-12).</w:t>
      </w:r>
    </w:p>
    <w:p w14:paraId="3D6E7584" w14:textId="77777777" w:rsidR="001175E7" w:rsidRPr="007F76A4" w:rsidRDefault="001175E7" w:rsidP="001175E7">
      <w:pPr>
        <w:spacing w:line="360" w:lineRule="auto"/>
        <w:ind w:left="440" w:hangingChars="200" w:hanging="440"/>
        <w:rPr>
          <w:rFonts w:ascii="Times New Roman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color w:val="000000" w:themeColor="text1"/>
          <w:sz w:val="22"/>
        </w:rPr>
        <w:t>F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-</w:t>
      </w:r>
      <w:r>
        <w:rPr>
          <w:rFonts w:ascii="Times New Roman" w:hAnsi="Times New Roman" w:cs="Times New Roman"/>
          <w:color w:val="000000" w:themeColor="text1"/>
          <w:sz w:val="22"/>
        </w:rPr>
        <w:t>L</w:t>
      </w:r>
      <w:r w:rsidRPr="007F76A4">
        <w:rPr>
          <w:rFonts w:ascii="Times New Roman" w:hAnsi="Times New Roman" w:cs="Times New Roman"/>
          <w:color w:val="000000" w:themeColor="text1"/>
          <w:sz w:val="22"/>
        </w:rPr>
        <w:t>. Relative mRNA levels of browning-related genes in iWAT tissues of the mice described in (A), as determined by RT-qPCR (n = 3-4).</w:t>
      </w:r>
    </w:p>
    <w:p w14:paraId="519F2EDB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Data are presented as mean </w:t>
      </w:r>
      <w:r w:rsidRPr="007F76A4">
        <w:rPr>
          <w:rFonts w:ascii="Times New Roman" w:hAnsi="Times New Roman" w:cs="Times New Roman"/>
        </w:rPr>
        <w:sym w:font="Symbol" w:char="F0B1"/>
      </w:r>
      <w:r w:rsidRPr="007F76A4">
        <w:rPr>
          <w:rFonts w:ascii="Times New Roman" w:hAnsi="Times New Roman" w:cs="Times New Roman"/>
          <w:sz w:val="22"/>
        </w:rPr>
        <w:t xml:space="preserve"> SEM. Significance was assessed by one-way ANOVA (</w:t>
      </w:r>
      <w:r>
        <w:rPr>
          <w:rFonts w:ascii="Times New Roman" w:hAnsi="Times New Roman" w:cs="Times New Roman"/>
          <w:sz w:val="22"/>
        </w:rPr>
        <w:t>D</w:t>
      </w:r>
      <w:r w:rsidRPr="007F76A4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E</w:t>
      </w:r>
      <w:r w:rsidRPr="007F76A4">
        <w:rPr>
          <w:rFonts w:ascii="Times New Roman" w:hAnsi="Times New Roman" w:cs="Times New Roman"/>
          <w:sz w:val="22"/>
        </w:rPr>
        <w:t>), two-way ANOVA (A</w:t>
      </w:r>
      <w:r>
        <w:rPr>
          <w:rFonts w:ascii="Times New Roman" w:hAnsi="Times New Roman" w:cs="Times New Roman"/>
          <w:sz w:val="22"/>
        </w:rPr>
        <w:t>-C</w:t>
      </w:r>
      <w:r w:rsidRPr="007F76A4">
        <w:rPr>
          <w:rFonts w:ascii="Times New Roman" w:hAnsi="Times New Roman" w:cs="Times New Roman"/>
          <w:sz w:val="22"/>
        </w:rPr>
        <w:t xml:space="preserve">), or Student’s </w:t>
      </w:r>
      <w:r w:rsidRPr="007F76A4">
        <w:rPr>
          <w:rFonts w:ascii="Times New Roman" w:hAnsi="Times New Roman" w:cs="Times New Roman"/>
          <w:i/>
          <w:iCs/>
          <w:sz w:val="22"/>
        </w:rPr>
        <w:t>t</w:t>
      </w:r>
      <w:r w:rsidRPr="007F76A4">
        <w:rPr>
          <w:rFonts w:ascii="Times New Roman" w:hAnsi="Times New Roman" w:cs="Times New Roman"/>
          <w:sz w:val="22"/>
        </w:rPr>
        <w:t>-test (</w:t>
      </w:r>
      <w:r>
        <w:rPr>
          <w:rFonts w:ascii="Times New Roman" w:hAnsi="Times New Roman" w:cs="Times New Roman"/>
          <w:sz w:val="22"/>
        </w:rPr>
        <w:t>F</w:t>
      </w:r>
      <w:r w:rsidRPr="007F76A4">
        <w:rPr>
          <w:rFonts w:ascii="Times New Roman" w:hAnsi="Times New Roman" w:cs="Times New Roman"/>
          <w:sz w:val="22"/>
        </w:rPr>
        <w:t>-</w:t>
      </w:r>
      <w:r>
        <w:rPr>
          <w:rFonts w:ascii="Times New Roman" w:hAnsi="Times New Roman" w:cs="Times New Roman"/>
          <w:sz w:val="22"/>
        </w:rPr>
        <w:t>L</w:t>
      </w:r>
      <w:r w:rsidRPr="007F76A4">
        <w:rPr>
          <w:rFonts w:ascii="Times New Roman" w:hAnsi="Times New Roman" w:cs="Times New Roman"/>
          <w:sz w:val="22"/>
        </w:rPr>
        <w:t>). *p &lt; 0.05, **p &lt; 0.01, ***p &lt; 0.001, ****p &lt; 0.0001</w:t>
      </w:r>
      <w:r>
        <w:rPr>
          <w:rFonts w:ascii="Times New Roman" w:hAnsi="Times New Roman" w:cs="Times New Roman"/>
          <w:sz w:val="22"/>
        </w:rPr>
        <w:t xml:space="preserve"> </w:t>
      </w:r>
      <w:r w:rsidRPr="007F76A4">
        <w:rPr>
          <w:rFonts w:ascii="Times New Roman" w:hAnsi="Times New Roman" w:cs="Times New Roman"/>
          <w:sz w:val="22"/>
        </w:rPr>
        <w:t xml:space="preserve">compared to vehicle control group. </w:t>
      </w:r>
    </w:p>
    <w:p w14:paraId="2A279B42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>
        <w:rPr>
          <w:noProof/>
        </w:rPr>
        <w:lastRenderedPageBreak/>
        <w:drawing>
          <wp:inline distT="0" distB="0" distL="0" distR="0" wp14:anchorId="5EB0CE63" wp14:editId="3FEA93BE">
            <wp:extent cx="5274310" cy="6667500"/>
            <wp:effectExtent l="0" t="0" r="2540" b="0"/>
            <wp:docPr id="61513915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EFAB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b/>
          <w:bCs/>
          <w:sz w:val="22"/>
        </w:rPr>
      </w:pPr>
      <w:r w:rsidRPr="007F76A4">
        <w:rPr>
          <w:rFonts w:ascii="Times New Roman" w:hAnsi="Times New Roman" w:cs="Times New Roman"/>
          <w:b/>
          <w:bCs/>
          <w:sz w:val="22"/>
        </w:rPr>
        <w:t xml:space="preserve">Fig S7. </w:t>
      </w:r>
      <w:r w:rsidRPr="007F76A4">
        <w:rPr>
          <w:rFonts w:ascii="Times New Roman" w:hAnsi="Times New Roman" w:cs="Times New Roman"/>
          <w:b/>
          <w:bCs/>
          <w:color w:val="333333"/>
          <w:sz w:val="22"/>
        </w:rPr>
        <w:t>DLPC induces iWAT browning via lipid peroxidation-mediated p38 activation</w:t>
      </w:r>
    </w:p>
    <w:p w14:paraId="49A651E8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b/>
          <w:color w:val="C00000"/>
          <w:sz w:val="22"/>
        </w:rPr>
        <w:t>Related to Fig 7.</w:t>
      </w:r>
    </w:p>
    <w:p w14:paraId="0CA10282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Pearson correlation matrix of quantitative proteomics data.</w:t>
      </w:r>
    </w:p>
    <w:p w14:paraId="17E9E4CF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Heatmap showing proteins that were differentially expressed between DLPC-treated and vehicle 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proteomics analysis.</w:t>
      </w:r>
    </w:p>
    <w:p w14:paraId="02FB99CB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 xml:space="preserve">Volcano plot showing proteins that were differentially expressed between DLPC-treated and vehicle </w:t>
      </w:r>
      <w:r w:rsidRPr="007F76A4">
        <w:rPr>
          <w:rFonts w:ascii="Times New Roman" w:hAnsi="Times New Roman" w:cs="Times New Roman"/>
          <w:sz w:val="22"/>
        </w:rPr>
        <w:lastRenderedPageBreak/>
        <w:t>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proteomics analysis.</w:t>
      </w:r>
    </w:p>
    <w:p w14:paraId="0947A3E4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Pearson correlation matrix of quantitative redox proteomics data.</w:t>
      </w:r>
    </w:p>
    <w:p w14:paraId="1C671C94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Heatmap showing proteins that were differentially expressed between DLPC-treated and vehicle 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redox proteomics analysis.</w:t>
      </w:r>
    </w:p>
    <w:p w14:paraId="3AC00D75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Volcano plot showing the differentially oxidized proteins between DLPC-treated and vehicle 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redox proteomics analysis.</w:t>
      </w:r>
    </w:p>
    <w:p w14:paraId="74D118D4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Pearson correlation matrix of quantitative phospho-proteomics data.</w:t>
      </w:r>
    </w:p>
    <w:p w14:paraId="14B284F0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Heatmap showing proteins that were differentially expressed between DLPC-treated and vehicle 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phospho-proteomics analysis.</w:t>
      </w:r>
    </w:p>
    <w:p w14:paraId="1FA2B1D9" w14:textId="77777777" w:rsidR="001175E7" w:rsidRPr="007F76A4" w:rsidRDefault="001175E7" w:rsidP="001175E7">
      <w:pPr>
        <w:pStyle w:val="ListParagraph"/>
        <w:numPr>
          <w:ilvl w:val="0"/>
          <w:numId w:val="9"/>
        </w:numPr>
        <w:spacing w:line="360" w:lineRule="auto"/>
        <w:ind w:firstLineChars="0"/>
        <w:rPr>
          <w:rFonts w:ascii="Times New Roman" w:hAnsi="Times New Roman" w:cs="Times New Roman"/>
          <w:sz w:val="22"/>
        </w:rPr>
      </w:pPr>
      <w:r w:rsidRPr="007F76A4">
        <w:rPr>
          <w:rFonts w:ascii="Times New Roman" w:hAnsi="Times New Roman" w:cs="Times New Roman"/>
          <w:sz w:val="22"/>
        </w:rPr>
        <w:t>Volcano plot showing phospho-proteins that were differentially present between DLPC-treated and vehicle control adipocytes in the absence of Lip</w:t>
      </w:r>
      <w:r>
        <w:rPr>
          <w:rFonts w:ascii="Times New Roman" w:hAnsi="Times New Roman" w:cs="Times New Roman" w:hint="eastAsia"/>
          <w:sz w:val="22"/>
        </w:rPr>
        <w:t>-</w:t>
      </w:r>
      <w:r w:rsidRPr="007F76A4">
        <w:rPr>
          <w:rFonts w:ascii="Times New Roman" w:hAnsi="Times New Roman" w:cs="Times New Roman"/>
          <w:sz w:val="22"/>
        </w:rPr>
        <w:t>1, as determined by phospho-proteomics analysis.</w:t>
      </w:r>
    </w:p>
    <w:p w14:paraId="3F8D9053" w14:textId="77777777" w:rsidR="001175E7" w:rsidRPr="007F76A4" w:rsidRDefault="001175E7" w:rsidP="001175E7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2"/>
          <w:szCs w:val="22"/>
        </w:rPr>
      </w:pPr>
    </w:p>
    <w:p w14:paraId="34E6865C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</w:p>
    <w:p w14:paraId="0ABD58D5" w14:textId="77777777" w:rsidR="001175E7" w:rsidRPr="007F76A4" w:rsidRDefault="001175E7" w:rsidP="001175E7">
      <w:pPr>
        <w:widowControl/>
        <w:shd w:val="clear" w:color="auto" w:fill="FFFFFF"/>
        <w:spacing w:line="360" w:lineRule="auto"/>
        <w:rPr>
          <w:rFonts w:ascii="Times New Roman" w:hAnsi="Times New Roman" w:cs="Times New Roman"/>
          <w:color w:val="333333"/>
          <w:sz w:val="22"/>
          <w:szCs w:val="22"/>
        </w:rPr>
      </w:pPr>
    </w:p>
    <w:p w14:paraId="1D059BF4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7B3C986F" w14:textId="77777777" w:rsidR="001175E7" w:rsidRPr="007F76A4" w:rsidRDefault="001175E7" w:rsidP="001175E7">
      <w:pPr>
        <w:widowControl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7F76A4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6EB2596" w14:textId="77777777" w:rsidR="001175E7" w:rsidRPr="007F76A4" w:rsidRDefault="001175E7" w:rsidP="001175E7">
      <w:pPr>
        <w:spacing w:line="360" w:lineRule="auto"/>
        <w:rPr>
          <w:rFonts w:ascii="Times New Roman" w:hAnsi="Times New Roman" w:cs="Times New Roman"/>
          <w:sz w:val="22"/>
        </w:rPr>
      </w:pPr>
    </w:p>
    <w:p w14:paraId="433B2E17" w14:textId="77777777" w:rsidR="001175E7" w:rsidRDefault="001175E7"/>
    <w:sectPr w:rsidR="001175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C4190"/>
    <w:multiLevelType w:val="hybridMultilevel"/>
    <w:tmpl w:val="F9F8516C"/>
    <w:lvl w:ilvl="0" w:tplc="6FC42EB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047C9D"/>
    <w:multiLevelType w:val="hybridMultilevel"/>
    <w:tmpl w:val="500404C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EAE619A"/>
    <w:multiLevelType w:val="hybridMultilevel"/>
    <w:tmpl w:val="820CA01C"/>
    <w:lvl w:ilvl="0" w:tplc="A13283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0530260"/>
    <w:multiLevelType w:val="hybridMultilevel"/>
    <w:tmpl w:val="C818FEE8"/>
    <w:lvl w:ilvl="0" w:tplc="F428514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3A27309"/>
    <w:multiLevelType w:val="hybridMultilevel"/>
    <w:tmpl w:val="500404CA"/>
    <w:lvl w:ilvl="0" w:tplc="A64654D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35F0FBA"/>
    <w:multiLevelType w:val="hybridMultilevel"/>
    <w:tmpl w:val="500404C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A12CB9"/>
    <w:multiLevelType w:val="hybridMultilevel"/>
    <w:tmpl w:val="411AD3A2"/>
    <w:lvl w:ilvl="0" w:tplc="40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661D1"/>
    <w:multiLevelType w:val="hybridMultilevel"/>
    <w:tmpl w:val="88C8C470"/>
    <w:lvl w:ilvl="0" w:tplc="517A0CF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6DF6298"/>
    <w:multiLevelType w:val="hybridMultilevel"/>
    <w:tmpl w:val="F1446BAA"/>
    <w:lvl w:ilvl="0" w:tplc="D6E802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5E7"/>
    <w:rsid w:val="001175E7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2F25"/>
  <w15:chartTrackingRefBased/>
  <w15:docId w15:val="{6D26C859-B033-49ED-A204-9F77CBE3E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5E7"/>
    <w:pPr>
      <w:widowControl w:val="0"/>
      <w:spacing w:after="0" w:line="240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5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1030</Words>
  <Characters>5871</Characters>
  <Application>Microsoft Office Word</Application>
  <DocSecurity>0</DocSecurity>
  <Lines>48</Lines>
  <Paragraphs>13</Paragraphs>
  <ScaleCrop>false</ScaleCrop>
  <Company>Springer Nature</Company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2023-06-15T10:21:00Z</dcterms:created>
  <dcterms:modified xsi:type="dcterms:W3CDTF">2023-06-15T10:26:00Z</dcterms:modified>
</cp:coreProperties>
</file>