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等线"/>
          <w:b/>
          <w:bCs/>
        </w:rPr>
      </w:pPr>
      <w:r>
        <w:rPr>
          <w:rFonts w:ascii="Times New Roman" w:hAnsi="Times New Roman"/>
          <w:b/>
          <w:bCs/>
        </w:rPr>
        <w:t xml:space="preserve">Figure S1: </w:t>
      </w:r>
      <w:r>
        <w:rPr>
          <w:rFonts w:ascii="Times New Roman" w:hAnsi="Times New Roman"/>
          <w:b/>
          <w:bCs/>
          <w:i/>
          <w:iCs/>
        </w:rPr>
        <w:t>tRF-27</w:t>
      </w:r>
      <w:r>
        <w:rPr>
          <w:rFonts w:ascii="Times New Roman" w:hAnsi="Times New Roman"/>
          <w:b/>
          <w:bCs/>
        </w:rPr>
        <w:t xml:space="preserve"> pull-down assay and sequence of G3BPs</w:t>
      </w:r>
    </w:p>
    <w:p>
      <w:pPr>
        <w:spacing w:line="480" w:lineRule="auto"/>
        <w:rPr>
          <w:rFonts w:ascii="Times New Roman" w:hAnsi="Times New Roman" w:eastAsia="宋体"/>
        </w:rPr>
      </w:pP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. Silver-stained strips for the </w:t>
      </w:r>
      <w:r>
        <w:rPr>
          <w:rFonts w:ascii="Times New Roman" w:hAnsi="Times New Roman"/>
          <w:i/>
          <w:iCs/>
        </w:rPr>
        <w:t>tRF-27</w:t>
      </w:r>
      <w:r>
        <w:rPr>
          <w:rFonts w:ascii="Times New Roman" w:hAnsi="Times New Roman"/>
        </w:rPr>
        <w:t xml:space="preserve"> pull-down assays with BT474 and SKBR3 cells. </w:t>
      </w:r>
      <w:r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</w:rPr>
        <w:t xml:space="preserve">. We obtained and identified proteins from the </w:t>
      </w:r>
      <w:r>
        <w:rPr>
          <w:rFonts w:ascii="Times New Roman" w:hAnsi="Times New Roman"/>
          <w:i/>
          <w:iCs/>
        </w:rPr>
        <w:t>tRF-27</w:t>
      </w:r>
      <w:r>
        <w:rPr>
          <w:rFonts w:ascii="Times New Roman" w:hAnsi="Times New Roman"/>
        </w:rPr>
        <w:t xml:space="preserve"> pull-down assay with JIMT1, SKBR3 and BT474 cells. We performed protein enrichment analysis of mass spectrometry results in DAVID (</w:t>
      </w:r>
      <w:r>
        <w:fldChar w:fldCharType="begin"/>
      </w:r>
      <w:r>
        <w:instrText xml:space="preserve"> HYPERLINK "https://david.ncifcrf.gov/" </w:instrText>
      </w:r>
      <w:r>
        <w:fldChar w:fldCharType="separate"/>
      </w:r>
      <w:r>
        <w:rPr>
          <w:rStyle w:val="6"/>
        </w:rPr>
        <w:t>https://david.ncifcrf.gov/</w:t>
      </w:r>
      <w:r>
        <w:rPr>
          <w:rStyle w:val="6"/>
        </w:rPr>
        <w:fldChar w:fldCharType="end"/>
      </w:r>
      <w:r>
        <w:rPr>
          <w:rFonts w:ascii="Times New Roman" w:hAnsi="Times New Roman"/>
        </w:rPr>
        <w:t>)</w:t>
      </w:r>
      <w:r>
        <w:rPr>
          <w:rFonts w:hint="eastAsia" w:cs="Calibri"/>
        </w:rPr>
        <w:t>.</w:t>
      </w:r>
      <w:r>
        <w:t xml:space="preserve">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</w:rPr>
        <w:t>. Sequences of G3BPs.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G3BP2 and G2BP1 shared 70% homologous sequences. We identified the NTF2, RRM and RGG </w:t>
      </w:r>
      <w:r>
        <w:rPr>
          <w:rFonts w:hint="eastAsia" w:ascii="Times New Roman" w:hAnsi="Times New Roman"/>
        </w:rPr>
        <w:t>domain</w:t>
      </w:r>
      <w:r>
        <w:rPr>
          <w:rFonts w:ascii="Times New Roman" w:hAnsi="Times New Roman"/>
        </w:rPr>
        <w:t>s of G3BPs.</w:t>
      </w:r>
    </w:p>
    <w:p>
      <w:pPr>
        <w:rPr>
          <w:rFonts w:ascii="Calibri" w:hAnsi="Calibri"/>
        </w:rPr>
      </w:pPr>
      <w:r>
        <w:t xml:space="preserve"> </w:t>
      </w:r>
    </w:p>
    <w:p>
      <w:pPr>
        <w:spacing w:line="480" w:lineRule="auto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</w:rPr>
        <w:t>F</w:t>
      </w:r>
      <w:r>
        <w:rPr>
          <w:rFonts w:ascii="Times New Roman" w:hAnsi="Times New Roman"/>
          <w:b/>
          <w:bCs/>
        </w:rPr>
        <w:t>igure S</w:t>
      </w:r>
      <w:r>
        <w:rPr>
          <w:rFonts w:hint="eastAsia" w:ascii="Times New Roman" w:hAnsi="Times New Roman"/>
          <w:b/>
          <w:bCs/>
        </w:rPr>
        <w:t>2</w:t>
      </w:r>
      <w:r>
        <w:rPr>
          <w:rFonts w:ascii="Times New Roman" w:hAnsi="Times New Roman"/>
          <w:b/>
          <w:bCs/>
        </w:rPr>
        <w:t>: Localization of G3BPs and expression of G3BPs in HER2-positive breast cancer</w:t>
      </w:r>
    </w:p>
    <w:p>
      <w:pPr>
        <w:spacing w:line="480" w:lineRule="auto"/>
        <w:rPr>
          <w:rFonts w:ascii="Times New Roman" w:hAnsi="Times New Roman"/>
        </w:rPr>
      </w:pPr>
      <w:r>
        <w:rPr>
          <w:rFonts w:hint="eastAsia" w:ascii="Times New Roman" w:hAnsi="Times New Roman"/>
          <w:b/>
          <w:bCs/>
        </w:rPr>
        <w:t>A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Immunofluorescence assay of G3BP2 in JIMT1 cells; stress granules formed in a nutrient-deficient environment (Positive control), while the trastuzumab group did not show nucleated stress granules (Trastuzumab treatment). </w:t>
      </w:r>
      <w:r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</w:rPr>
        <w:t xml:space="preserve">. </w:t>
      </w:r>
      <w:r>
        <w:rPr>
          <w:rFonts w:hint="eastAsia" w:ascii="Times New Roman" w:hAnsi="Times New Roman"/>
        </w:rPr>
        <w:t xml:space="preserve">The </w:t>
      </w:r>
      <w:r>
        <w:rPr>
          <w:rFonts w:ascii="Times New Roman" w:hAnsi="Times New Roman"/>
        </w:rPr>
        <w:t>TCGA-</w:t>
      </w:r>
      <w:r>
        <w:rPr>
          <w:rFonts w:hint="eastAsia" w:ascii="Times New Roman" w:hAnsi="Times New Roman"/>
        </w:rPr>
        <w:t>BRCA</w:t>
      </w:r>
      <w:r>
        <w:rPr>
          <w:rFonts w:ascii="Times New Roman" w:hAnsi="Times New Roman"/>
        </w:rPr>
        <w:t xml:space="preserve"> datase</w:t>
      </w:r>
      <w:r>
        <w:rPr>
          <w:rFonts w:hint="eastAsia" w:ascii="Times New Roman" w:hAnsi="Times New Roman"/>
        </w:rPr>
        <w:t>t was divided into 5 subtypes based on the PAM50</w:t>
      </w:r>
      <w:r>
        <w:rPr>
          <w:rFonts w:ascii="Times New Roman" w:hAnsi="Times New Roman"/>
        </w:rPr>
        <w:t xml:space="preserve"> method</w:t>
      </w:r>
      <w:r>
        <w:rPr>
          <w:rFonts w:hint="eastAsia" w:ascii="Times New Roman" w:hAnsi="Times New Roman"/>
        </w:rPr>
        <w:t xml:space="preserve"> in Genefu R package.</w:t>
      </w:r>
      <w:r>
        <w:rPr>
          <w:rFonts w:ascii="Times New Roman" w:hAnsi="Times New Roman"/>
        </w:rPr>
        <w:t xml:space="preserve"> T</w:t>
      </w:r>
      <w:r>
        <w:rPr>
          <w:rFonts w:hint="eastAsia" w:ascii="Times New Roman" w:hAnsi="Times New Roman"/>
        </w:rPr>
        <w:t xml:space="preserve">he expression levels of </w:t>
      </w:r>
      <w:r>
        <w:rPr>
          <w:rFonts w:hint="eastAsia" w:ascii="Times New Roman" w:hAnsi="Times New Roman"/>
          <w:i/>
          <w:iCs/>
        </w:rPr>
        <w:t>G3BP1</w:t>
      </w:r>
      <w:r>
        <w:rPr>
          <w:rFonts w:hint="eastAsia" w:ascii="Times New Roman" w:hAnsi="Times New Roman"/>
        </w:rPr>
        <w:t xml:space="preserve"> and </w:t>
      </w:r>
      <w:r>
        <w:rPr>
          <w:rFonts w:hint="eastAsia" w:ascii="Times New Roman" w:hAnsi="Times New Roman"/>
          <w:i/>
          <w:iCs/>
        </w:rPr>
        <w:t>G3BP2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showed no</w:t>
      </w:r>
      <w:r>
        <w:rPr>
          <w:rFonts w:hint="eastAsia" w:ascii="Times New Roman" w:hAnsi="Times New Roman"/>
        </w:rPr>
        <w:t xml:space="preserve"> significant differences </w:t>
      </w:r>
      <w:r>
        <w:rPr>
          <w:rFonts w:ascii="Times New Roman" w:hAnsi="Times New Roman"/>
        </w:rPr>
        <w:t xml:space="preserve">across </w:t>
      </w:r>
      <w:r>
        <w:rPr>
          <w:rFonts w:hint="eastAsia" w:ascii="Times New Roman" w:hAnsi="Times New Roman"/>
        </w:rPr>
        <w:t>the relevant subtypes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</w:rPr>
        <w:t xml:space="preserve">. </w:t>
      </w:r>
      <w:r>
        <w:fldChar w:fldCharType="begin"/>
      </w:r>
      <w:r>
        <w:instrText xml:space="preserve"> HYPERLINK "https://www.ncbi.nlm.nih.gov/geo/query/acc.cgi?acc=GSE190826" </w:instrText>
      </w:r>
      <w:r>
        <w:fldChar w:fldCharType="separate"/>
      </w:r>
      <w:r>
        <w:rPr>
          <w:rStyle w:val="5"/>
        </w:rPr>
        <w:t>GSE</w:t>
      </w:r>
      <w:r>
        <w:rPr>
          <w:rStyle w:val="5"/>
          <w:rFonts w:hint="eastAsia"/>
        </w:rPr>
        <w:t>7</w:t>
      </w:r>
      <w:r>
        <w:rPr>
          <w:rStyle w:val="5"/>
          <w:rFonts w:hint="eastAsia"/>
        </w:rPr>
        <w:fldChar w:fldCharType="end"/>
      </w:r>
      <w:r>
        <w:rPr>
          <w:rFonts w:hint="eastAsia" w:ascii="Times New Roman" w:hAnsi="Times New Roman"/>
        </w:rPr>
        <w:t>6360</w:t>
      </w:r>
      <w:r>
        <w:rPr>
          <w:rFonts w:ascii="Times New Roman" w:hAnsi="Times New Roman"/>
        </w:rPr>
        <w:t xml:space="preserve"> dataset</w:t>
      </w:r>
      <w:r>
        <w:rPr>
          <w:rFonts w:hint="eastAsia" w:ascii="Times New Roman" w:hAnsi="Times New Roman"/>
        </w:rPr>
        <w:t xml:space="preserve"> include</w:t>
      </w:r>
      <w:r>
        <w:rPr>
          <w:rFonts w:ascii="Times New Roman" w:hAnsi="Times New Roman"/>
        </w:rPr>
        <w:t>d</w:t>
      </w:r>
      <w:r>
        <w:rPr>
          <w:rFonts w:hint="eastAsia" w:ascii="Times New Roman" w:hAnsi="Times New Roman"/>
        </w:rPr>
        <w:t xml:space="preserve"> the data before and after treatment in 50 patients receiving neoadjuvant therapy.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By comparing pre- and post-treatment mRNA expression</w:t>
      </w:r>
      <w:r>
        <w:rPr>
          <w:rFonts w:ascii="Times New Roman" w:hAnsi="Times New Roman"/>
        </w:rPr>
        <w:t xml:space="preserve"> levels of</w:t>
      </w:r>
      <w:r>
        <w:rPr>
          <w:rFonts w:ascii="Times New Roman" w:hAnsi="Times New Roman"/>
          <w:i/>
          <w:iCs/>
        </w:rPr>
        <w:t xml:space="preserve"> G3BP1</w:t>
      </w:r>
      <w:r>
        <w:rPr>
          <w:rFonts w:ascii="Times New Roman" w:hAnsi="Times New Roman"/>
        </w:rPr>
        <w:t xml:space="preserve"> and</w:t>
      </w:r>
      <w:r>
        <w:rPr>
          <w:rFonts w:ascii="Times New Roman" w:hAnsi="Times New Roman"/>
          <w:i/>
          <w:iCs/>
        </w:rPr>
        <w:t xml:space="preserve"> G3BP2</w:t>
      </w:r>
      <w:r>
        <w:rPr>
          <w:rFonts w:hint="eastAsia" w:ascii="Times New Roman" w:hAnsi="Times New Roman"/>
        </w:rPr>
        <w:t xml:space="preserve">, we found no significant changes in </w:t>
      </w:r>
      <w:r>
        <w:rPr>
          <w:rFonts w:hint="eastAsia" w:ascii="Times New Roman" w:hAnsi="Times New Roman"/>
          <w:i/>
          <w:iCs/>
        </w:rPr>
        <w:t>G3BP1</w:t>
      </w:r>
      <w:r>
        <w:rPr>
          <w:rFonts w:hint="eastAsia" w:ascii="Times New Roman" w:hAnsi="Times New Roman"/>
        </w:rPr>
        <w:t xml:space="preserve"> and </w:t>
      </w:r>
      <w:r>
        <w:rPr>
          <w:rFonts w:hint="eastAsia" w:ascii="Times New Roman" w:hAnsi="Times New Roman"/>
          <w:i/>
          <w:iCs/>
        </w:rPr>
        <w:t>G3BP2</w:t>
      </w:r>
      <w:r>
        <w:rPr>
          <w:rFonts w:ascii="Times New Roman" w:hAnsi="Times New Roman"/>
        </w:rPr>
        <w:t>.</w:t>
      </w:r>
    </w:p>
    <w:p>
      <w:pPr>
        <w:spacing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</w:t>
      </w:r>
    </w:p>
    <w:p>
      <w:pPr>
        <w:spacing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Figure S3: O</w:t>
      </w:r>
      <w:r>
        <w:rPr>
          <w:rFonts w:hint="eastAsia" w:ascii="Times New Roman" w:hAnsi="Times New Roman"/>
          <w:b/>
          <w:bCs/>
        </w:rPr>
        <w:t xml:space="preserve">verexpression of G3BPs </w:t>
      </w:r>
      <w:r>
        <w:rPr>
          <w:rFonts w:ascii="Times New Roman" w:hAnsi="Times New Roman"/>
          <w:b/>
          <w:bCs/>
        </w:rPr>
        <w:t>weaken resistance against</w:t>
      </w:r>
      <w:r>
        <w:rPr>
          <w:rFonts w:hint="eastAsia" w:ascii="Times New Roman" w:hAnsi="Times New Roman"/>
          <w:b/>
          <w:bCs/>
        </w:rPr>
        <w:t xml:space="preserve"> trastuzumab </w:t>
      </w:r>
    </w:p>
    <w:p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iRNA of G3BP2 </w:t>
      </w:r>
      <w:r>
        <w:rPr>
          <w:rFonts w:ascii="Times New Roman" w:hAnsi="Times New Roman"/>
        </w:rPr>
        <w:t>was</w:t>
      </w:r>
      <w:r>
        <w:rPr>
          <w:rFonts w:hint="eastAsia" w:ascii="Times New Roman" w:hAnsi="Times New Roman"/>
        </w:rPr>
        <w:t xml:space="preserve"> transfected into SKBR3 cells. </w:t>
      </w:r>
      <w:r>
        <w:rPr>
          <w:rFonts w:ascii="Times New Roman" w:hAnsi="Times New Roman"/>
        </w:rPr>
        <w:t>P</w:t>
      </w:r>
      <w:r>
        <w:rPr>
          <w:rFonts w:hint="eastAsia" w:ascii="Times New Roman" w:hAnsi="Times New Roman"/>
        </w:rPr>
        <w:t>lasmid</w:t>
      </w: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 that could overexpress G3BP2 w</w:t>
      </w:r>
      <w:r>
        <w:rPr>
          <w:rFonts w:ascii="Times New Roman" w:hAnsi="Times New Roman"/>
        </w:rPr>
        <w:t>ere</w:t>
      </w:r>
      <w:r>
        <w:rPr>
          <w:rFonts w:hint="eastAsia" w:ascii="Times New Roman" w:hAnsi="Times New Roman"/>
        </w:rPr>
        <w:t xml:space="preserve"> constructed and transfected into SKBR3 cells.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>. Cell colony formation assay was performed. The experiment was repeated for three times. Data were shown as mean ± SEM; *P&lt;0.05, **P&lt;0.01, ***P&lt;0.001.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 xml:space="preserve">B. </w:t>
      </w:r>
      <w:r>
        <w:rPr>
          <w:rFonts w:ascii="Times New Roman" w:hAnsi="Times New Roman"/>
        </w:rPr>
        <w:t xml:space="preserve">EdU assay was used to illustrate the proliferation of cells. </w:t>
      </w:r>
      <w:r>
        <w:rPr>
          <w:rFonts w:hint="eastAsia" w:ascii="Times New Roman" w:hAnsi="Times New Roman"/>
        </w:rPr>
        <w:t>G3BP2 knockdown promoted cell growth and proliferation. G3BP2 overexpress</w:t>
      </w:r>
      <w:r>
        <w:rPr>
          <w:rFonts w:ascii="Times New Roman" w:hAnsi="Times New Roman"/>
        </w:rPr>
        <w:t xml:space="preserve">ion inhibited </w:t>
      </w:r>
      <w:r>
        <w:rPr>
          <w:rFonts w:hint="eastAsia" w:ascii="Times New Roman" w:hAnsi="Times New Roman"/>
        </w:rPr>
        <w:t>the growth of cells.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</w:rPr>
        <w:t xml:space="preserve">. </w:t>
      </w:r>
      <w:r>
        <w:rPr>
          <w:rFonts w:hint="eastAsia" w:ascii="Times New Roman" w:hAnsi="Times New Roman"/>
        </w:rPr>
        <w:t xml:space="preserve">Western </w:t>
      </w:r>
      <w:r>
        <w:rPr>
          <w:rFonts w:ascii="Times New Roman" w:hAnsi="Times New Roman"/>
        </w:rPr>
        <w:t>b</w:t>
      </w:r>
      <w:r>
        <w:rPr>
          <w:rFonts w:hint="eastAsia" w:ascii="Times New Roman" w:hAnsi="Times New Roman"/>
        </w:rPr>
        <w:t xml:space="preserve">lotting was used to detect protein expression in cells exposed to trastuzumab. </w:t>
      </w:r>
      <w:r>
        <w:rPr>
          <w:rFonts w:ascii="Times New Roman" w:hAnsi="Times New Roman"/>
        </w:rPr>
        <w:t>K</w:t>
      </w:r>
      <w:r>
        <w:rPr>
          <w:rFonts w:hint="eastAsia" w:ascii="Times New Roman" w:hAnsi="Times New Roman"/>
        </w:rPr>
        <w:t>nocking down G3BP2 promoted</w:t>
      </w:r>
      <w:r>
        <w:rPr>
          <w:rFonts w:ascii="Times New Roman" w:hAnsi="Times New Roman"/>
        </w:rPr>
        <w:t xml:space="preserve"> the</w:t>
      </w:r>
      <w:r>
        <w:rPr>
          <w:rFonts w:hint="eastAsia" w:ascii="Times New Roman" w:hAnsi="Times New Roman"/>
        </w:rPr>
        <w:t xml:space="preserve"> phosphorylation of Tuberin</w:t>
      </w:r>
      <w:r>
        <w:rPr>
          <w:rFonts w:ascii="Times New Roman" w:hAnsi="Times New Roman"/>
        </w:rPr>
        <w:t xml:space="preserve">, but </w:t>
      </w:r>
      <w:r>
        <w:rPr>
          <w:rFonts w:hint="eastAsia" w:ascii="Times New Roman" w:hAnsi="Times New Roman"/>
        </w:rPr>
        <w:t>inhibit</w:t>
      </w:r>
      <w:r>
        <w:rPr>
          <w:rFonts w:ascii="Times New Roman" w:hAnsi="Times New Roman"/>
        </w:rPr>
        <w:t>ed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 xml:space="preserve">phosphorylation of substrate 4EBP1 of MTORC1. Overexpression of G3BP2 inhibited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 xml:space="preserve">phosphorylation of Tuberin and promoted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>phosphorylation of 4EBP1</w:t>
      </w:r>
      <w:r>
        <w:rPr>
          <w:rFonts w:ascii="Times New Roman" w:hAnsi="Times New Roman"/>
        </w:rPr>
        <w:t>.</w:t>
      </w:r>
    </w:p>
    <w:p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Figure S4: Structures of </w:t>
      </w:r>
      <w:r>
        <w:rPr>
          <w:rFonts w:ascii="Times New Roman" w:hAnsi="Times New Roman"/>
          <w:b/>
          <w:bCs/>
          <w:i/>
          <w:iCs/>
        </w:rPr>
        <w:t>tRF-27</w:t>
      </w:r>
      <w:r>
        <w:rPr>
          <w:rFonts w:ascii="Times New Roman" w:hAnsi="Times New Roman"/>
          <w:b/>
          <w:bCs/>
        </w:rPr>
        <w:t xml:space="preserve"> and G3BPs</w:t>
      </w:r>
    </w:p>
    <w:p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. </w:t>
      </w:r>
      <w:r>
        <w:rPr>
          <w:rFonts w:hint="eastAsia" w:ascii="Times New Roman" w:hAnsi="Times New Roman"/>
          <w:i/>
          <w:iCs/>
        </w:rPr>
        <w:t>t</w:t>
      </w:r>
      <w:r>
        <w:rPr>
          <w:rFonts w:ascii="Times New Roman" w:hAnsi="Times New Roman"/>
          <w:i/>
          <w:iCs/>
        </w:rPr>
        <w:t>RF-27</w:t>
      </w:r>
      <w:r>
        <w:rPr>
          <w:rFonts w:ascii="Times New Roman" w:hAnsi="Times New Roman"/>
        </w:rPr>
        <w:t xml:space="preserve"> with 5'-FAM was transfected into JIMT1 cells; the G3BP2 protein was immunofluorescence-stained; both were predominantly present in the cytoplasm. </w:t>
      </w:r>
      <w:r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Silver-stained strips for RNA pull-down assay using SKBR3.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</w:rPr>
        <w:t xml:space="preserve">. Online docking tools (http://hdock.phys.hust.edu.cn/) were used to predict the structures of the four RNAs. Complete tRF-27 had a loop, which was destroyed when </w:t>
      </w:r>
      <w:bookmarkStart w:id="0" w:name="_Hlk127809530"/>
      <w:r>
        <w:rPr>
          <w:rFonts w:ascii="Times New Roman" w:hAnsi="Times New Roman"/>
        </w:rPr>
        <w:t>tRF-27 lost the middle nine bases.</w:t>
      </w:r>
      <w:bookmarkEnd w:id="0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D</w:t>
      </w:r>
      <w:r>
        <w:rPr>
          <w:rFonts w:ascii="Times New Roman" w:hAnsi="Times New Roman"/>
        </w:rPr>
        <w:t xml:space="preserve">. NTF2 </w:t>
      </w:r>
      <w:r>
        <w:rPr>
          <w:rFonts w:hint="eastAsia" w:ascii="Times New Roman" w:hAnsi="Times New Roman"/>
        </w:rPr>
        <w:t>domain</w:t>
      </w:r>
      <w:r>
        <w:rPr>
          <w:rFonts w:ascii="Times New Roman" w:hAnsi="Times New Roman"/>
        </w:rPr>
        <w:t xml:space="preserve"> of G3BP1</w:t>
      </w:r>
      <w:r>
        <w:t xml:space="preserve"> </w:t>
      </w:r>
      <w:r>
        <w:rPr>
          <w:rFonts w:ascii="Times New Roman" w:hAnsi="Times New Roman"/>
        </w:rPr>
        <w:t>(PDB id:5fw5) and G3BP2</w:t>
      </w:r>
      <w:r>
        <w:t xml:space="preserve"> </w:t>
      </w:r>
      <w:r>
        <w:rPr>
          <w:rFonts w:ascii="Times New Roman" w:hAnsi="Times New Roman"/>
        </w:rPr>
        <w:t>(PDB id:5drv). PDB files were downloaded from Swiss-Model (</w:t>
      </w:r>
      <w:r>
        <w:fldChar w:fldCharType="begin"/>
      </w:r>
      <w:r>
        <w:instrText xml:space="preserve"> HYPERLINK "https://swissmodel.expasy.org/" </w:instrText>
      </w:r>
      <w:r>
        <w:fldChar w:fldCharType="separate"/>
      </w:r>
      <w:r>
        <w:rPr>
          <w:rStyle w:val="6"/>
        </w:rPr>
        <w:t>https://swissmodel.expasy.org/</w:t>
      </w:r>
      <w:r>
        <w:rPr>
          <w:rStyle w:val="6"/>
        </w:rPr>
        <w:fldChar w:fldCharType="end"/>
      </w:r>
      <w:r>
        <w:rPr>
          <w:rFonts w:ascii="Times New Roman" w:hAnsi="Times New Roman"/>
        </w:rPr>
        <w:t>).</w:t>
      </w:r>
    </w:p>
    <w:p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spacing w:line="480" w:lineRule="auto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</w:rPr>
        <w:t>F</w:t>
      </w:r>
      <w:r>
        <w:rPr>
          <w:rFonts w:ascii="Times New Roman" w:hAnsi="Times New Roman"/>
          <w:b/>
          <w:bCs/>
        </w:rPr>
        <w:t>igure S5:</w:t>
      </w:r>
      <w:r>
        <w:rPr>
          <w:rFonts w:hint="eastAsia"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Silver-stained strips</w:t>
      </w:r>
      <w:r>
        <w:rPr>
          <w:rFonts w:hint="eastAsia" w:ascii="Times New Roman" w:hAnsi="Times New Roman"/>
          <w:b/>
          <w:bCs/>
        </w:rPr>
        <w:t xml:space="preserve"> of </w:t>
      </w:r>
      <w:r>
        <w:rPr>
          <w:rFonts w:ascii="Times New Roman" w:hAnsi="Times New Roman"/>
          <w:b/>
          <w:bCs/>
        </w:rPr>
        <w:t>p</w:t>
      </w:r>
      <w:r>
        <w:rPr>
          <w:rFonts w:hint="eastAsia" w:ascii="Times New Roman" w:hAnsi="Times New Roman"/>
          <w:b/>
          <w:bCs/>
        </w:rPr>
        <w:t>ull</w:t>
      </w:r>
      <w:r>
        <w:rPr>
          <w:rFonts w:ascii="Times New Roman" w:hAnsi="Times New Roman"/>
          <w:b/>
          <w:bCs/>
        </w:rPr>
        <w:t>-</w:t>
      </w:r>
      <w:r>
        <w:rPr>
          <w:rFonts w:hint="eastAsia" w:ascii="Times New Roman" w:hAnsi="Times New Roman"/>
          <w:b/>
          <w:bCs/>
        </w:rPr>
        <w:t>down and co-IP assays</w:t>
      </w:r>
      <w:r>
        <w:rPr>
          <w:rFonts w:ascii="Times New Roman" w:hAnsi="Times New Roman"/>
          <w:b/>
          <w:bCs/>
        </w:rPr>
        <w:t xml:space="preserve"> </w:t>
      </w:r>
    </w:p>
    <w:p>
      <w:pPr>
        <w:spacing w:line="480" w:lineRule="auto"/>
        <w:rPr>
          <w:rFonts w:ascii="Times New Roman" w:hAnsi="Times New Roman"/>
        </w:rPr>
      </w:pPr>
      <w:r>
        <w:rPr>
          <w:rFonts w:hint="eastAsia"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. Pull-down assay with the probes of </w:t>
      </w:r>
      <w:r>
        <w:rPr>
          <w:rFonts w:ascii="Times New Roman" w:hAnsi="Times New Roman"/>
          <w:i/>
          <w:iCs/>
        </w:rPr>
        <w:t>tRF-27</w:t>
      </w:r>
      <w:r>
        <w:rPr>
          <w:rFonts w:ascii="Times New Roman" w:hAnsi="Times New Roman"/>
        </w:rPr>
        <w:t>. The input lysates were extracted from HEK293T cells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transfected with plasmids of full-length and truncated G3BP2</w:t>
      </w:r>
      <w:r>
        <w:rPr>
          <w:rFonts w:hint="eastAsia"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</w:rPr>
        <w:t>. HA-TAG co-IP assays. The input lysates were extracted from HEK293T cells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transfected with plasmids of full-length and truncated G3BP2</w:t>
      </w:r>
      <w:r>
        <w:rPr>
          <w:rFonts w:hint="eastAsia"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</w:rPr>
        <w:t xml:space="preserve">. Pull-down assay with the probes of </w:t>
      </w:r>
      <w:r>
        <w:rPr>
          <w:rFonts w:ascii="Times New Roman" w:hAnsi="Times New Roman"/>
          <w:i/>
          <w:iCs/>
        </w:rPr>
        <w:t>tRF-27</w:t>
      </w:r>
      <w:r>
        <w:rPr>
          <w:rFonts w:ascii="Times New Roman" w:hAnsi="Times New Roman"/>
        </w:rPr>
        <w:t>. The input lysates were extracted from HEK293T cells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transfected with Plasmids of full-length and truncated G3BP1</w:t>
      </w:r>
      <w:r>
        <w:rPr>
          <w:rFonts w:hint="eastAsia"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 xml:space="preserve">D. </w:t>
      </w:r>
      <w:r>
        <w:rPr>
          <w:rFonts w:ascii="Times New Roman" w:hAnsi="Times New Roman"/>
        </w:rPr>
        <w:t>G3BP2-expressing plasmids and G3BP2(</w:t>
      </w:r>
      <w:r>
        <w:rPr>
          <w:rFonts w:hint="eastAsia" w:ascii="宋体" w:hAnsi="宋体"/>
        </w:rPr>
        <w:t>Δ</w:t>
      </w:r>
      <w:r>
        <w:rPr>
          <w:rFonts w:ascii="Times New Roman" w:hAnsi="Times New Roman"/>
        </w:rPr>
        <w:t>11-133) expressing plasmids were transfected into SKBR3 cells in a trastuzumab-</w:t>
      </w:r>
      <w:r>
        <w:rPr>
          <w:rFonts w:hint="eastAsia" w:ascii="Times New Roman" w:hAnsi="Times New Roman"/>
        </w:rPr>
        <w:t>expos</w:t>
      </w:r>
      <w:r>
        <w:rPr>
          <w:rFonts w:ascii="Times New Roman" w:hAnsi="Times New Roman"/>
        </w:rPr>
        <w:t xml:space="preserve">ed environment. Cell colony formation assay was performed. The experiment was repeated for three times. Data were shown as mean ± SEM; *P&lt;0.05, **P&lt;0.01, ***P&lt;0.001. </w:t>
      </w:r>
      <w:r>
        <w:rPr>
          <w:rFonts w:ascii="Times New Roman" w:hAnsi="Times New Roman"/>
          <w:b/>
          <w:bCs/>
        </w:rPr>
        <w:t>E</w:t>
      </w:r>
      <w:r>
        <w:rPr>
          <w:rFonts w:ascii="Times New Roman" w:hAnsi="Times New Roman"/>
        </w:rPr>
        <w:t xml:space="preserve">. EdU assay showed the proliferation of cells in the </w:t>
      </w:r>
      <w:r>
        <w:rPr>
          <w:rFonts w:ascii="Times New Roman" w:hAnsi="Times New Roman"/>
          <w:i/>
          <w:iCs/>
        </w:rPr>
        <w:t xml:space="preserve">tRF-27 </w:t>
      </w:r>
      <w:r>
        <w:rPr>
          <w:rFonts w:ascii="Times New Roman" w:hAnsi="Times New Roman"/>
        </w:rPr>
        <w:t>overexpression group was significantly inhibited, but not in the group overexpressing G3BP2 that lost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NTF2</w:t>
      </w:r>
      <w:r>
        <w:rPr>
          <w:rFonts w:hint="eastAsia" w:ascii="Times New Roman" w:hAnsi="Times New Roman"/>
        </w:rPr>
        <w:t xml:space="preserve"> domain</w:t>
      </w:r>
      <w:r>
        <w:rPr>
          <w:rFonts w:ascii="Times New Roman" w:hAnsi="Times New Roman"/>
        </w:rPr>
        <w:t>.</w:t>
      </w:r>
    </w:p>
    <w:p>
      <w:pPr>
        <w:rPr>
          <w:rFonts w:ascii="Calibri" w:hAnsi="Calibri"/>
        </w:rPr>
      </w:pPr>
      <w:r>
        <w:t xml:space="preserve"> </w:t>
      </w:r>
    </w:p>
    <w:p>
      <w:pPr>
        <w:spacing w:line="480" w:lineRule="auto"/>
        <w:rPr>
          <w:rFonts w:ascii="等线" w:hAnsi="等线"/>
        </w:rPr>
      </w:pPr>
      <w:r>
        <w:rPr>
          <w:rFonts w:hint="eastAsia" w:ascii="Times New Roman" w:hAnsi="Times New Roman"/>
          <w:b/>
          <w:bCs/>
        </w:rPr>
        <w:t>F</w:t>
      </w:r>
      <w:r>
        <w:rPr>
          <w:rFonts w:ascii="Times New Roman" w:hAnsi="Times New Roman"/>
          <w:b/>
          <w:bCs/>
        </w:rPr>
        <w:t xml:space="preserve">igure S6: High expression of </w:t>
      </w:r>
      <w:r>
        <w:rPr>
          <w:rFonts w:ascii="Times New Roman" w:hAnsi="Times New Roman"/>
          <w:b/>
          <w:bCs/>
          <w:i/>
          <w:iCs/>
        </w:rPr>
        <w:t>tRF-27</w:t>
      </w:r>
      <w:r>
        <w:rPr>
          <w:rFonts w:ascii="Times New Roman" w:hAnsi="Times New Roman"/>
          <w:b/>
          <w:bCs/>
        </w:rPr>
        <w:t xml:space="preserve"> blocked lysosomal localization of TSC complexes by competitively combining G3BPs with LAMPs.</w:t>
      </w:r>
    </w:p>
    <w:p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A. </w:t>
      </w:r>
      <w:r>
        <w:rPr>
          <w:rFonts w:ascii="Times New Roman" w:hAnsi="Times New Roman"/>
        </w:rPr>
        <w:t xml:space="preserve">Trastuzumab inhibited the PI3K/AKT/mTOR signaling pathway in SKBR3 cells. In trastuzumab-resistant JIMT1 cells, we observed abnormal activation of this signaling pathway. </w:t>
      </w:r>
      <w:r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</w:rPr>
        <w:t xml:space="preserve">. Abnormal activation of the MTORC1 pathway. The cells were stimulated by trastuzumab for 0 min, 10 min, 20 min, 40 min, 2 h, 4 h; protein was extracted for Western blotting. </w:t>
      </w:r>
      <w:r>
        <w:rPr>
          <w:rFonts w:hint="eastAsia" w:ascii="Times New Roman" w:hAnsi="Times New Roman"/>
          <w:b/>
          <w:bCs/>
          <w:lang w:val="en-US" w:eastAsia="zh-CN"/>
        </w:rPr>
        <w:t>C</w:t>
      </w:r>
      <w:r>
        <w:rPr>
          <w:rFonts w:ascii="Times New Roman" w:hAnsi="Times New Roman"/>
        </w:rPr>
        <w:t xml:space="preserve">. Cells were treated with rapamycin, an inhibitor of MTORC1, in combination with trastuzumab, and the pro-proliferation effect of </w:t>
      </w:r>
      <w:r>
        <w:rPr>
          <w:rFonts w:ascii="Times New Roman" w:hAnsi="Times New Roman"/>
          <w:i/>
          <w:iCs/>
        </w:rPr>
        <w:t>tRF-27</w:t>
      </w:r>
      <w:r>
        <w:rPr>
          <w:rFonts w:ascii="Times New Roman" w:hAnsi="Times New Roman"/>
        </w:rPr>
        <w:t xml:space="preserve"> on cells was largely eliminated. The experiment was repeated 3 times. Data were shown as mean ± SEM; *P&lt;0.05, **P&lt;0.01, ***P&lt;0.001.</w:t>
      </w:r>
    </w:p>
    <w:p>
      <w:pPr>
        <w:spacing w:line="480" w:lineRule="auto"/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OTQ2ZWRhY2RlYWViMzYyNThkNjQ1YzAwNTI1NDcifQ=="/>
  </w:docVars>
  <w:rsids>
    <w:rsidRoot w:val="00000000"/>
    <w:rsid w:val="36455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17"/>
    <w:basedOn w:val="4"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2023-05-03T10:02:59Z</dcterms:created>
  <dc:creator>heyao</dc:creator>
  <cp:lastModifiedBy>我要好好看文献</cp:lastModifiedBy>
  <dcterms:modified xsi:type="dcterms:W3CDTF">2023-05-03T10:03:31Z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57734BB4000C471BB5EE60BABC44A7D5_12</vt:lpwstr>
  </property>
</Properties>
</file>