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FD495" w14:textId="77777777" w:rsidR="00540CB1" w:rsidRDefault="00EF1301" w:rsidP="00540CB1">
      <w:pPr>
        <w:widowControl w:val="0"/>
        <w:spacing w:line="36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Supplementary information to:</w:t>
      </w:r>
      <w:r w:rsidR="00540CB1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 xml:space="preserve"> </w:t>
      </w:r>
    </w:p>
    <w:p w14:paraId="0384299D" w14:textId="17373B04" w:rsidR="00540CB1" w:rsidRPr="00540CB1" w:rsidRDefault="00EF1301" w:rsidP="00540CB1">
      <w:pPr>
        <w:widowControl w:val="0"/>
        <w:spacing w:line="36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 w:rsidRPr="00540CB1">
        <w:rPr>
          <w:rFonts w:ascii="Times New Roman" w:eastAsia="Times New Roman" w:hAnsi="Times New Roman" w:cs="Times New Roman"/>
          <w:b/>
          <w:color w:val="222222"/>
          <w:highlight w:val="white"/>
        </w:rPr>
        <w:t>“</w:t>
      </w:r>
      <w:r w:rsidR="00540CB1" w:rsidRPr="00540CB1">
        <w:rPr>
          <w:b/>
          <w:bCs/>
          <w:sz w:val="24"/>
          <w:szCs w:val="24"/>
        </w:rPr>
        <w:t>Climate change impacts on ocean light in Arctic ecosystems beyond sea ice</w:t>
      </w:r>
      <w:r w:rsidR="00540CB1" w:rsidRPr="00540CB1">
        <w:rPr>
          <w:b/>
          <w:bCs/>
          <w:sz w:val="24"/>
          <w:szCs w:val="24"/>
        </w:rPr>
        <w:t>”</w:t>
      </w:r>
    </w:p>
    <w:p w14:paraId="003D23F0" w14:textId="77777777" w:rsidR="00540CB1" w:rsidRDefault="00540CB1" w:rsidP="00540CB1">
      <w:pPr>
        <w:pStyle w:val="Body"/>
        <w:widowControl/>
        <w:shd w:val="clear" w:color="auto" w:fill="FFFFFF" w:themeFill="background1"/>
        <w:spacing w:before="30" w:line="360" w:lineRule="auto"/>
        <w:ind w:firstLine="0"/>
        <w:rPr>
          <w:bCs/>
          <w:color w:val="201F1E"/>
          <w:sz w:val="22"/>
          <w:szCs w:val="22"/>
          <w:vertAlign w:val="superscript"/>
        </w:rPr>
      </w:pPr>
      <w:r w:rsidRPr="00540CB1">
        <w:rPr>
          <w:bCs/>
          <w:color w:val="201F1E"/>
          <w:sz w:val="22"/>
          <w:szCs w:val="22"/>
        </w:rPr>
        <w:t>Trond Kristiansen</w:t>
      </w:r>
      <w:r w:rsidRPr="00540CB1">
        <w:rPr>
          <w:bCs/>
          <w:color w:val="201F1E"/>
          <w:sz w:val="22"/>
          <w:szCs w:val="22"/>
          <w:vertAlign w:val="superscript"/>
        </w:rPr>
        <w:t>1</w:t>
      </w:r>
      <w:r w:rsidRPr="00540CB1">
        <w:rPr>
          <w:bCs/>
          <w:color w:val="201F1E"/>
          <w:sz w:val="22"/>
          <w:szCs w:val="22"/>
        </w:rPr>
        <w:t xml:space="preserve">, </w:t>
      </w:r>
      <w:proofErr w:type="spellStart"/>
      <w:r w:rsidRPr="00540CB1">
        <w:rPr>
          <w:bCs/>
          <w:color w:val="201F1E"/>
          <w:sz w:val="22"/>
          <w:szCs w:val="22"/>
        </w:rPr>
        <w:t>Øystein</w:t>
      </w:r>
      <w:proofErr w:type="spellEnd"/>
      <w:r w:rsidRPr="00540CB1">
        <w:rPr>
          <w:bCs/>
          <w:color w:val="201F1E"/>
          <w:sz w:val="22"/>
          <w:szCs w:val="22"/>
        </w:rPr>
        <w:t xml:space="preserve"> Varpe</w:t>
      </w:r>
      <w:r w:rsidRPr="00540CB1">
        <w:rPr>
          <w:bCs/>
          <w:color w:val="201F1E"/>
          <w:sz w:val="22"/>
          <w:szCs w:val="22"/>
          <w:vertAlign w:val="superscript"/>
        </w:rPr>
        <w:t>2,3</w:t>
      </w:r>
      <w:r w:rsidRPr="00540CB1">
        <w:rPr>
          <w:bCs/>
          <w:color w:val="201F1E"/>
          <w:sz w:val="22"/>
          <w:szCs w:val="22"/>
        </w:rPr>
        <w:t xml:space="preserve">, </w:t>
      </w:r>
      <w:r w:rsidRPr="00540CB1">
        <w:rPr>
          <w:bCs/>
          <w:color w:val="201F1E"/>
          <w:sz w:val="22"/>
          <w:szCs w:val="22"/>
          <w:lang w:val="da-DK"/>
        </w:rPr>
        <w:t xml:space="preserve">Elizabeth R. </w:t>
      </w:r>
      <w:proofErr w:type="spellStart"/>
      <w:r w:rsidRPr="00540CB1">
        <w:rPr>
          <w:bCs/>
          <w:color w:val="201F1E"/>
          <w:sz w:val="22"/>
          <w:szCs w:val="22"/>
          <w:lang w:val="da-DK"/>
        </w:rPr>
        <w:t>Selig</w:t>
      </w:r>
      <w:proofErr w:type="spellEnd"/>
      <w:r w:rsidRPr="00540CB1">
        <w:rPr>
          <w:bCs/>
          <w:color w:val="201F1E"/>
          <w:sz w:val="22"/>
          <w:szCs w:val="22"/>
          <w:vertAlign w:val="superscript"/>
        </w:rPr>
        <w:t>4</w:t>
      </w:r>
      <w:r w:rsidRPr="00540CB1">
        <w:rPr>
          <w:bCs/>
          <w:color w:val="201F1E"/>
          <w:sz w:val="22"/>
          <w:szCs w:val="22"/>
        </w:rPr>
        <w:t>, Benjamin J. Laurel</w:t>
      </w:r>
      <w:r w:rsidRPr="00540CB1">
        <w:rPr>
          <w:bCs/>
          <w:color w:val="201F1E"/>
          <w:sz w:val="22"/>
          <w:szCs w:val="22"/>
          <w:vertAlign w:val="superscript"/>
        </w:rPr>
        <w:t>5</w:t>
      </w:r>
      <w:r w:rsidRPr="00540CB1">
        <w:rPr>
          <w:bCs/>
          <w:color w:val="201F1E"/>
          <w:sz w:val="22"/>
          <w:szCs w:val="22"/>
          <w:lang w:val="da-DK"/>
        </w:rPr>
        <w:t>, William J. Sydeman</w:t>
      </w:r>
      <w:r w:rsidRPr="00540CB1">
        <w:rPr>
          <w:bCs/>
          <w:color w:val="201F1E"/>
          <w:sz w:val="22"/>
          <w:szCs w:val="22"/>
          <w:vertAlign w:val="superscript"/>
        </w:rPr>
        <w:t>1</w:t>
      </w:r>
      <w:r w:rsidRPr="00540CB1">
        <w:rPr>
          <w:bCs/>
          <w:color w:val="201F1E"/>
          <w:sz w:val="22"/>
          <w:szCs w:val="22"/>
          <w:lang w:val="it-IT"/>
        </w:rPr>
        <w:t xml:space="preserve">, Michaela I. </w:t>
      </w:r>
      <w:proofErr w:type="spellStart"/>
      <w:r w:rsidRPr="00540CB1">
        <w:rPr>
          <w:bCs/>
          <w:color w:val="201F1E"/>
          <w:sz w:val="22"/>
          <w:szCs w:val="22"/>
          <w:lang w:val="it-IT"/>
        </w:rPr>
        <w:t>Hegglin</w:t>
      </w:r>
      <w:proofErr w:type="spellEnd"/>
      <w:r w:rsidRPr="00540CB1">
        <w:rPr>
          <w:bCs/>
          <w:color w:val="201F1E"/>
          <w:sz w:val="22"/>
          <w:szCs w:val="22"/>
          <w:vertAlign w:val="superscript"/>
        </w:rPr>
        <w:t>6,7</w:t>
      </w:r>
      <w:r w:rsidRPr="00540CB1">
        <w:rPr>
          <w:bCs/>
          <w:color w:val="201F1E"/>
          <w:sz w:val="22"/>
          <w:szCs w:val="22"/>
        </w:rPr>
        <w:t>, and Phil Wallhead</w:t>
      </w:r>
      <w:r w:rsidRPr="00540CB1">
        <w:rPr>
          <w:bCs/>
          <w:color w:val="201F1E"/>
          <w:sz w:val="22"/>
          <w:szCs w:val="22"/>
          <w:vertAlign w:val="superscript"/>
        </w:rPr>
        <w:t>8</w:t>
      </w:r>
    </w:p>
    <w:p w14:paraId="623CC60F" w14:textId="77777777" w:rsidR="00540CB1" w:rsidRPr="00540CB1" w:rsidRDefault="00540CB1" w:rsidP="00540CB1">
      <w:pPr>
        <w:pStyle w:val="Body"/>
        <w:widowControl/>
        <w:shd w:val="clear" w:color="auto" w:fill="FFFFFF" w:themeFill="background1"/>
        <w:spacing w:before="30" w:line="360" w:lineRule="auto"/>
        <w:ind w:firstLine="0"/>
        <w:rPr>
          <w:bCs/>
          <w:color w:val="201F1E"/>
          <w:sz w:val="22"/>
          <w:szCs w:val="22"/>
          <w:vertAlign w:val="superscript"/>
        </w:rPr>
      </w:pPr>
    </w:p>
    <w:p w14:paraId="44984EA2" w14:textId="77777777" w:rsidR="00540CB1" w:rsidRPr="00540CB1" w:rsidRDefault="00540CB1" w:rsidP="00540CB1">
      <w:pPr>
        <w:pStyle w:val="Body"/>
        <w:widowControl/>
        <w:shd w:val="clear" w:color="auto" w:fill="FFFFFF"/>
        <w:spacing w:before="30" w:line="360" w:lineRule="auto"/>
        <w:ind w:firstLine="0"/>
        <w:rPr>
          <w:color w:val="201F1E"/>
          <w:u w:color="201F1E"/>
          <w:vertAlign w:val="superscript"/>
        </w:rPr>
      </w:pPr>
      <w:r w:rsidRPr="00540CB1">
        <w:rPr>
          <w:color w:val="201F1E"/>
          <w:u w:color="201F1E"/>
          <w:vertAlign w:val="superscript"/>
        </w:rPr>
        <w:t>1 Farallon Institute, Petaluma, USA</w:t>
      </w:r>
    </w:p>
    <w:p w14:paraId="220D6948" w14:textId="77777777" w:rsidR="00540CB1" w:rsidRPr="00540CB1" w:rsidRDefault="00540CB1" w:rsidP="00540CB1">
      <w:pPr>
        <w:pStyle w:val="Body"/>
        <w:widowControl/>
        <w:shd w:val="clear" w:color="auto" w:fill="FFFFFF"/>
        <w:spacing w:before="30" w:line="360" w:lineRule="auto"/>
        <w:ind w:firstLine="0"/>
        <w:rPr>
          <w:color w:val="201F1E"/>
          <w:u w:color="201F1E"/>
          <w:vertAlign w:val="superscript"/>
        </w:rPr>
      </w:pPr>
      <w:r w:rsidRPr="00540CB1">
        <w:rPr>
          <w:color w:val="201F1E"/>
          <w:u w:color="201F1E"/>
          <w:vertAlign w:val="superscript"/>
        </w:rPr>
        <w:t xml:space="preserve">2 Department of Biological Sciences, University of Bergen, Bergen, Norway </w:t>
      </w:r>
    </w:p>
    <w:p w14:paraId="778CBB81" w14:textId="77777777" w:rsidR="00540CB1" w:rsidRPr="00540CB1" w:rsidRDefault="00540CB1" w:rsidP="00540CB1">
      <w:pPr>
        <w:pStyle w:val="Body"/>
        <w:widowControl/>
        <w:shd w:val="clear" w:color="auto" w:fill="FFFFFF"/>
        <w:spacing w:before="30" w:line="360" w:lineRule="auto"/>
        <w:ind w:firstLine="0"/>
        <w:rPr>
          <w:color w:val="201F1E"/>
          <w:u w:color="201F1E"/>
          <w:vertAlign w:val="superscript"/>
        </w:rPr>
      </w:pPr>
      <w:r w:rsidRPr="00540CB1">
        <w:rPr>
          <w:color w:val="201F1E"/>
          <w:u w:color="201F1E"/>
          <w:vertAlign w:val="superscript"/>
        </w:rPr>
        <w:t>3 Norwegian Institute for Nature Research, Bergen, Norway</w:t>
      </w:r>
    </w:p>
    <w:p w14:paraId="6D024796" w14:textId="77777777" w:rsidR="00540CB1" w:rsidRPr="00540CB1" w:rsidRDefault="00540CB1" w:rsidP="00540CB1">
      <w:pPr>
        <w:pStyle w:val="Body"/>
        <w:widowControl/>
        <w:shd w:val="clear" w:color="auto" w:fill="FFFFFF"/>
        <w:spacing w:before="30" w:line="360" w:lineRule="auto"/>
        <w:ind w:firstLine="0"/>
        <w:rPr>
          <w:color w:val="201F1E"/>
          <w:u w:color="201F1E"/>
          <w:vertAlign w:val="superscript"/>
        </w:rPr>
      </w:pPr>
      <w:r w:rsidRPr="00540CB1">
        <w:rPr>
          <w:color w:val="201F1E"/>
          <w:u w:color="201F1E"/>
          <w:vertAlign w:val="superscript"/>
        </w:rPr>
        <w:t>4 Stanford Center for Ocean Solutions, Stanford University, Stanford, USA</w:t>
      </w:r>
    </w:p>
    <w:p w14:paraId="0B812BEC" w14:textId="77777777" w:rsidR="00540CB1" w:rsidRPr="00540CB1" w:rsidRDefault="00540CB1" w:rsidP="00540CB1">
      <w:pPr>
        <w:pStyle w:val="Body"/>
        <w:widowControl/>
        <w:shd w:val="clear" w:color="auto" w:fill="FFFFFF"/>
        <w:spacing w:before="30" w:line="360" w:lineRule="auto"/>
        <w:ind w:firstLine="0"/>
        <w:rPr>
          <w:color w:val="201F1E"/>
          <w:u w:color="201F1E"/>
          <w:vertAlign w:val="superscript"/>
        </w:rPr>
      </w:pPr>
      <w:r w:rsidRPr="00540CB1">
        <w:rPr>
          <w:color w:val="201F1E"/>
          <w:u w:color="201F1E"/>
          <w:vertAlign w:val="superscript"/>
        </w:rPr>
        <w:t>5 Alaska Fisheries Science Center, NOAA, Newport, USA</w:t>
      </w:r>
    </w:p>
    <w:p w14:paraId="757EBBE5" w14:textId="77777777" w:rsidR="00540CB1" w:rsidRPr="00540CB1" w:rsidRDefault="00540CB1" w:rsidP="00540CB1">
      <w:pPr>
        <w:pStyle w:val="Body"/>
        <w:widowControl/>
        <w:shd w:val="clear" w:color="auto" w:fill="FFFFFF"/>
        <w:spacing w:before="30" w:line="360" w:lineRule="auto"/>
        <w:ind w:firstLine="0"/>
        <w:rPr>
          <w:color w:val="201F1E"/>
          <w:u w:color="201F1E"/>
          <w:vertAlign w:val="superscript"/>
        </w:rPr>
      </w:pPr>
      <w:r w:rsidRPr="00540CB1">
        <w:rPr>
          <w:color w:val="201F1E"/>
          <w:u w:color="201F1E"/>
          <w:vertAlign w:val="superscript"/>
        </w:rPr>
        <w:t>6 Institute of Energy and Climate Research, IEK-7 Stratosphere, Research Centre Julich, Julich, Germany</w:t>
      </w:r>
    </w:p>
    <w:p w14:paraId="19FB451E" w14:textId="77777777" w:rsidR="00540CB1" w:rsidRPr="00540CB1" w:rsidRDefault="00540CB1" w:rsidP="00540CB1">
      <w:pPr>
        <w:pStyle w:val="Body"/>
        <w:widowControl/>
        <w:shd w:val="clear" w:color="auto" w:fill="FFFFFF"/>
        <w:spacing w:before="30" w:line="360" w:lineRule="auto"/>
        <w:ind w:firstLine="0"/>
        <w:rPr>
          <w:color w:val="201F1E"/>
          <w:u w:color="201F1E"/>
          <w:vertAlign w:val="superscript"/>
        </w:rPr>
      </w:pPr>
      <w:r w:rsidRPr="00540CB1">
        <w:rPr>
          <w:color w:val="201F1E"/>
          <w:u w:color="201F1E"/>
          <w:vertAlign w:val="superscript"/>
        </w:rPr>
        <w:t>7 Department of Meteorology, University of Reading, Reading, UK</w:t>
      </w:r>
    </w:p>
    <w:p w14:paraId="6DCAB56A" w14:textId="66CC4936" w:rsidR="009D0E91" w:rsidRPr="00A72303" w:rsidRDefault="00540CB1" w:rsidP="00A72303">
      <w:pPr>
        <w:pStyle w:val="Body"/>
        <w:widowControl/>
        <w:spacing w:before="30" w:line="360" w:lineRule="auto"/>
        <w:ind w:firstLine="0"/>
        <w:rPr>
          <w:b/>
          <w:bCs/>
          <w:color w:val="201F1E"/>
          <w:u w:color="201F1E"/>
          <w:vertAlign w:val="superscript"/>
        </w:rPr>
      </w:pPr>
      <w:r w:rsidRPr="00540CB1">
        <w:rPr>
          <w:vertAlign w:val="superscript"/>
        </w:rPr>
        <w:t xml:space="preserve">8 </w:t>
      </w:r>
      <w:r w:rsidRPr="00540CB1">
        <w:rPr>
          <w:color w:val="201F1E"/>
          <w:u w:color="201F1E"/>
          <w:vertAlign w:val="superscript"/>
        </w:rPr>
        <w:t>Norwegian Institute for Water Research, Oslo, Norway</w:t>
      </w:r>
    </w:p>
    <w:p w14:paraId="6DCAB56B" w14:textId="77777777" w:rsidR="009D0E91" w:rsidRDefault="009D0E91">
      <w:pPr>
        <w:widowControl w:val="0"/>
        <w:shd w:val="clear" w:color="auto" w:fill="FFFFFF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82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95"/>
        <w:gridCol w:w="2370"/>
        <w:gridCol w:w="2145"/>
        <w:gridCol w:w="1725"/>
      </w:tblGrid>
      <w:tr w:rsidR="009D0E91" w14:paraId="6DCAB570" w14:textId="77777777">
        <w:trPr>
          <w:trHeight w:val="315"/>
        </w:trPr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6C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CMIP6 model</w:t>
            </w:r>
          </w:p>
        </w:tc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6D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Institution</w:t>
            </w:r>
          </w:p>
        </w:tc>
        <w:tc>
          <w:tcPr>
            <w:tcW w:w="2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6E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Experiment ID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6F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Member ID</w:t>
            </w:r>
          </w:p>
        </w:tc>
      </w:tr>
      <w:tr w:rsidR="009D0E91" w14:paraId="6DCAB575" w14:textId="77777777">
        <w:trPr>
          <w:trHeight w:val="660"/>
        </w:trPr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71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ACCESS-ESM1-5</w:t>
            </w:r>
          </w:p>
        </w:tc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72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1155CC"/>
                <w:sz w:val="24"/>
                <w:szCs w:val="24"/>
                <w:u w:val="single"/>
                <w:shd w:val="clear" w:color="auto" w:fill="F9F9F9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9F9F9"/>
              </w:rPr>
              <w:t xml:space="preserve">Australian Community Climate and Earth System Simulator </w:t>
            </w:r>
            <w:hyperlink r:id="rId4"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shd w:val="clear" w:color="auto" w:fill="F9F9F9"/>
                  <w:vertAlign w:val="superscript"/>
                </w:rPr>
                <w:t>1</w:t>
              </w:r>
            </w:hyperlink>
          </w:p>
        </w:tc>
        <w:tc>
          <w:tcPr>
            <w:tcW w:w="2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73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SSP2-4.5, SSP5-8.5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74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r1i1p1f1</w:t>
            </w:r>
          </w:p>
        </w:tc>
      </w:tr>
      <w:tr w:rsidR="009D0E91" w14:paraId="6DCAB57A" w14:textId="77777777">
        <w:trPr>
          <w:trHeight w:val="840"/>
        </w:trPr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76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CanESM5</w:t>
            </w:r>
          </w:p>
        </w:tc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77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1155CC"/>
                <w:sz w:val="24"/>
                <w:szCs w:val="24"/>
                <w:u w:val="single"/>
                <w:shd w:val="clear" w:color="auto" w:fill="F9F9F9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9F9F9"/>
              </w:rPr>
              <w:t xml:space="preserve">The Canadian Earth System Model version 5 </w:t>
            </w:r>
            <w:hyperlink r:id="rId5"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shd w:val="clear" w:color="auto" w:fill="F9F9F9"/>
                  <w:vertAlign w:val="superscript"/>
                </w:rPr>
                <w:t>2</w:t>
              </w:r>
            </w:hyperlink>
          </w:p>
        </w:tc>
        <w:tc>
          <w:tcPr>
            <w:tcW w:w="2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78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SSP2-4.5, SSP5-8.5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79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r10i1p2f1</w:t>
            </w:r>
          </w:p>
        </w:tc>
      </w:tr>
      <w:tr w:rsidR="009D0E91" w14:paraId="6DCAB57F" w14:textId="77777777">
        <w:trPr>
          <w:trHeight w:val="480"/>
        </w:trPr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7B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MPI-ESM1-2-LR</w:t>
            </w:r>
          </w:p>
        </w:tc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7C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1155CC"/>
                <w:sz w:val="24"/>
                <w:szCs w:val="24"/>
                <w:u w:val="single"/>
                <w:shd w:val="clear" w:color="auto" w:fill="F9F9F9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9F9F9"/>
              </w:rPr>
              <w:t xml:space="preserve">Max Planck Institute Earth System Model Low-res </w:t>
            </w:r>
            <w:hyperlink r:id="rId6"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shd w:val="clear" w:color="auto" w:fill="F9F9F9"/>
                  <w:vertAlign w:val="superscript"/>
                </w:rPr>
                <w:t>3</w:t>
              </w:r>
            </w:hyperlink>
          </w:p>
        </w:tc>
        <w:tc>
          <w:tcPr>
            <w:tcW w:w="2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7D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SSP2-4.5, SSP5-8.5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7E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r2i1p1f1</w:t>
            </w:r>
          </w:p>
        </w:tc>
      </w:tr>
      <w:tr w:rsidR="009D0E91" w14:paraId="6DCAB584" w14:textId="77777777">
        <w:trPr>
          <w:trHeight w:val="690"/>
        </w:trPr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80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UKESM1-0-LL</w:t>
            </w:r>
          </w:p>
        </w:tc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81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1155CC"/>
                <w:sz w:val="24"/>
                <w:szCs w:val="24"/>
                <w:u w:val="single"/>
                <w:shd w:val="clear" w:color="auto" w:fill="F9F9F9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9F9F9"/>
              </w:rPr>
              <w:t xml:space="preserve">U.K. Community Earth System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9F9F9"/>
              </w:rPr>
              <w:t>Modeling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9F9F9"/>
              </w:rPr>
              <w:t xml:space="preserve"> for CMIP6 </w:t>
            </w:r>
            <w:hyperlink r:id="rId7"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shd w:val="clear" w:color="auto" w:fill="F9F9F9"/>
                  <w:vertAlign w:val="superscript"/>
                </w:rPr>
                <w:t>4</w:t>
              </w:r>
            </w:hyperlink>
          </w:p>
        </w:tc>
        <w:tc>
          <w:tcPr>
            <w:tcW w:w="2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82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SSP2-4.5, SSP5-8.5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AB583" w14:textId="77777777" w:rsidR="009D0E91" w:rsidRDefault="00EF130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r1i1p1f2</w:t>
            </w:r>
          </w:p>
        </w:tc>
      </w:tr>
    </w:tbl>
    <w:p w14:paraId="6DCAB585" w14:textId="77777777" w:rsidR="009D0E91" w:rsidRDefault="00EF1301">
      <w:pPr>
        <w:widowControl w:val="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S1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An overview of the CMIP6 models, experiment, and ensemble members used to derive the shortwave light calculations in the ocean. For each model, two climate experiments were used, the SSP2-4.5 and SSP5-8.5, while the ensemble member id varied between model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s.</w:t>
      </w:r>
    </w:p>
    <w:p w14:paraId="6DCAB586" w14:textId="77777777" w:rsidR="009D0E91" w:rsidRDefault="009D0E91">
      <w:pPr>
        <w:widowControl w:val="0"/>
        <w:rPr>
          <w:rFonts w:ascii="Times New Roman" w:eastAsia="Times New Roman" w:hAnsi="Times New Roman" w:cs="Times New Roman"/>
          <w:sz w:val="24"/>
          <w:szCs w:val="24"/>
        </w:rPr>
      </w:pPr>
    </w:p>
    <w:p w14:paraId="6DCAB587" w14:textId="77777777" w:rsidR="009D0E91" w:rsidRDefault="009D0E91">
      <w:pPr>
        <w:widowControl w:val="0"/>
        <w:rPr>
          <w:rFonts w:ascii="Times New Roman" w:eastAsia="Times New Roman" w:hAnsi="Times New Roman" w:cs="Times New Roman"/>
          <w:sz w:val="24"/>
          <w:szCs w:val="24"/>
        </w:rPr>
      </w:pPr>
    </w:p>
    <w:p w14:paraId="6DCAB588" w14:textId="77777777" w:rsidR="009D0E91" w:rsidRDefault="009D0E91">
      <w:pPr>
        <w:widowControl w:val="0"/>
        <w:rPr>
          <w:rFonts w:ascii="Times New Roman" w:eastAsia="Times New Roman" w:hAnsi="Times New Roman" w:cs="Times New Roman"/>
          <w:sz w:val="24"/>
          <w:szCs w:val="24"/>
        </w:rPr>
      </w:pPr>
    </w:p>
    <w:p w14:paraId="6DCAB589" w14:textId="4087F117" w:rsidR="009D0E91" w:rsidRDefault="00EF1301">
      <w:pPr>
        <w:widowControl w:val="0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color w:val="222222"/>
          <w:sz w:val="24"/>
          <w:szCs w:val="24"/>
          <w:highlight w:val="white"/>
        </w:rPr>
        <w:lastRenderedPageBreak/>
        <w:drawing>
          <wp:inline distT="114300" distB="114300" distL="114300" distR="114300" wp14:anchorId="6DCAB5B3" wp14:editId="6DCAB5B4">
            <wp:extent cx="5731200" cy="8648700"/>
            <wp:effectExtent l="0" t="0" r="0" b="0"/>
            <wp:docPr id="8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648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 xml:space="preserve">Figure S1: Large-scale changes in physics and biology.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Annual ensemble average shown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lastRenderedPageBreak/>
        <w:t>with 95th percentile confidence intervals across CMIP6 models/realizations (Table 1) averaged over the Northern Bering/Chukchi LME (left), and the Barents Sea LME (right). The panels show projected values of a) air temperature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(C), b)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wind velocity (m/s), c) cloud cover (%), d) sea-ice concentration (%), e) sea ice thickness (m), f), and chlorophyll (kg/m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) used as input to the Radiative Transfer Model.</w:t>
      </w:r>
    </w:p>
    <w:p w14:paraId="6DCAB58A" w14:textId="77777777" w:rsidR="009D0E91" w:rsidRDefault="009D0E91">
      <w:pPr>
        <w:widowControl w:val="0"/>
        <w:rPr>
          <w:rFonts w:ascii="Times New Roman" w:eastAsia="Times New Roman" w:hAnsi="Times New Roman" w:cs="Times New Roman"/>
          <w:i/>
          <w:color w:val="222222"/>
          <w:sz w:val="24"/>
          <w:szCs w:val="24"/>
          <w:highlight w:val="white"/>
        </w:rPr>
      </w:pPr>
    </w:p>
    <w:p w14:paraId="6DCAB58B" w14:textId="77777777" w:rsidR="009D0E91" w:rsidRDefault="009D0E91">
      <w:pPr>
        <w:widowControl w:val="0"/>
        <w:rPr>
          <w:rFonts w:ascii="Times New Roman" w:eastAsia="Times New Roman" w:hAnsi="Times New Roman" w:cs="Times New Roman"/>
          <w:i/>
          <w:color w:val="222222"/>
          <w:sz w:val="24"/>
          <w:szCs w:val="24"/>
          <w:highlight w:val="white"/>
        </w:rPr>
      </w:pPr>
    </w:p>
    <w:p w14:paraId="6DCAB58C" w14:textId="77777777" w:rsidR="009D0E91" w:rsidRDefault="009D0E91">
      <w:pPr>
        <w:widowControl w:val="0"/>
        <w:rPr>
          <w:rFonts w:ascii="Times New Roman" w:eastAsia="Times New Roman" w:hAnsi="Times New Roman" w:cs="Times New Roman"/>
          <w:i/>
          <w:color w:val="222222"/>
          <w:sz w:val="24"/>
          <w:szCs w:val="24"/>
          <w:highlight w:val="white"/>
        </w:rPr>
      </w:pPr>
    </w:p>
    <w:p w14:paraId="6DCAB58D" w14:textId="77777777" w:rsidR="009D0E91" w:rsidRDefault="00EF1301">
      <w:pPr>
        <w:widowControl w:val="0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i/>
          <w:noProof/>
          <w:color w:val="222222"/>
          <w:sz w:val="24"/>
          <w:szCs w:val="24"/>
          <w:highlight w:val="white"/>
        </w:rPr>
        <w:drawing>
          <wp:inline distT="114300" distB="114300" distL="114300" distR="114300" wp14:anchorId="6DCAB5B5" wp14:editId="6DCAB5B6">
            <wp:extent cx="5731200" cy="3124200"/>
            <wp:effectExtent l="0" t="0" r="0" b="0"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124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CAB58E" w14:textId="77777777" w:rsidR="009D0E91" w:rsidRDefault="009D0E91">
      <w:pPr>
        <w:widowControl w:val="0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highlight w:val="white"/>
        </w:rPr>
      </w:pPr>
    </w:p>
    <w:p w14:paraId="6DCAB58F" w14:textId="77777777" w:rsidR="009D0E91" w:rsidRDefault="00EF1301">
      <w:pPr>
        <w:widowControl w:val="0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Figure S2: Seasonal changes in ocean light.</w:t>
      </w:r>
      <w:r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Heatmaps showing the historical (1980-2000) monthly mean (leftmost column of each heatmap) and future decadal average changes in PAR (Wm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-2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) for Northern Bering/Chukchi (left) and Barents Seas (right). Changes rel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ative to historical values (1980-2000) are shown for each decade between 2000-2090 at 10-year intervals. Months with no change relative to historical values have no annotated values. Heatmap depicts only results for SSP2-4.5.</w:t>
      </w:r>
    </w:p>
    <w:p w14:paraId="6DCAB590" w14:textId="77777777" w:rsidR="009D0E91" w:rsidRDefault="009D0E91">
      <w:pPr>
        <w:widowControl w:val="0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highlight w:val="white"/>
        </w:rPr>
      </w:pPr>
    </w:p>
    <w:p w14:paraId="6DCAB591" w14:textId="77777777" w:rsidR="009D0E91" w:rsidRDefault="009D0E91">
      <w:pPr>
        <w:widowControl w:val="0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</w:p>
    <w:p w14:paraId="6DCAB592" w14:textId="77777777" w:rsidR="009D0E91" w:rsidRDefault="009D0E91">
      <w:pPr>
        <w:widowControl w:val="0"/>
        <w:spacing w:before="40"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6DCAB593" w14:textId="77777777" w:rsidR="009D0E91" w:rsidRDefault="00EF1301">
      <w:pPr>
        <w:widowControl w:val="0"/>
        <w:spacing w:before="40"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noProof/>
          <w:sz w:val="24"/>
          <w:szCs w:val="24"/>
        </w:rPr>
        <w:lastRenderedPageBreak/>
        <w:drawing>
          <wp:inline distT="114300" distB="114300" distL="114300" distR="114300" wp14:anchorId="6DCAB5B7" wp14:editId="6DCAB5B8">
            <wp:extent cx="5731200" cy="2578100"/>
            <wp:effectExtent l="0" t="0" r="0" b="0"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578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CAB594" w14:textId="329A3365" w:rsidR="009D0E91" w:rsidRDefault="00EF1301">
      <w:pPr>
        <w:widowControl w:val="0"/>
        <w:spacing w:before="40" w:line="36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S3: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Temporal changes in </w:t>
      </w:r>
      <w:r w:rsidR="00546D2E">
        <w:rPr>
          <w:rFonts w:ascii="Times New Roman" w:eastAsia="Times New Roman" w:hAnsi="Times New Roman" w:cs="Times New Roman"/>
          <w:b/>
          <w:sz w:val="24"/>
          <w:szCs w:val="24"/>
        </w:rPr>
        <w:t>area with minimum light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Expected changes in the total area (km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) that receives on average more than 0.1 Wm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PAR per year to illustrate the overall changes in the light environment; the left axis shows the total area in km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, while the right axis sh</w:t>
      </w:r>
      <w:r>
        <w:rPr>
          <w:rFonts w:ascii="Times New Roman" w:eastAsia="Times New Roman" w:hAnsi="Times New Roman" w:cs="Times New Roman"/>
          <w:sz w:val="24"/>
          <w:szCs w:val="24"/>
        </w:rPr>
        <w:t>ows the percentage change in the area relative to the average area for the period 1980-2000. The large marine ecosystems shown are the Northern Bering/Chukchi (left) and Barents Seas (right) for two scenarios of climate change, SSP2-4.5 (purple) and SSP5-8</w:t>
      </w:r>
      <w:r>
        <w:rPr>
          <w:rFonts w:ascii="Times New Roman" w:eastAsia="Times New Roman" w:hAnsi="Times New Roman" w:cs="Times New Roman"/>
          <w:sz w:val="24"/>
          <w:szCs w:val="24"/>
        </w:rPr>
        <w:t>.5 (light blue). Average values are shown as thicker lines with a 95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percentile confidence interval in shading and values are averaged across the LME with a 5-year rolling mean applied.</w:t>
      </w:r>
    </w:p>
    <w:p w14:paraId="6DCAB595" w14:textId="77777777" w:rsidR="009D0E91" w:rsidRDefault="00EF1301">
      <w:pPr>
        <w:widowContro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114300" distB="114300" distL="114300" distR="114300" wp14:anchorId="6DCAB5B9" wp14:editId="6DCAB5BA">
            <wp:extent cx="5731200" cy="4851400"/>
            <wp:effectExtent l="0" t="0" r="0" b="0"/>
            <wp:docPr id="10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 t="18" b="18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851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CAB596" w14:textId="6C75FA06" w:rsidR="009D0E91" w:rsidRDefault="00EF1301" w:rsidP="00D960EE">
      <w:pPr>
        <w:widowContro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S4: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Temporal changes in UV.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Upper panels: Expected changes </w:t>
      </w:r>
      <w:r>
        <w:rPr>
          <w:rFonts w:ascii="Times New Roman" w:eastAsia="Times New Roman" w:hAnsi="Times New Roman" w:cs="Times New Roman"/>
          <w:sz w:val="24"/>
          <w:szCs w:val="24"/>
        </w:rPr>
        <w:t>in UV (Wm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light in the ocean for the Eastern Bering (left), Northern Bering/Chukchi LME (middle), and the Barents Sea LME (right) for two scenarios of climate change, SSP2-4.5 (blue) and SSP5-8.5 (orange). Average values are shown as thicker lines with </w:t>
      </w:r>
      <w:r>
        <w:rPr>
          <w:rFonts w:ascii="Times New Roman" w:eastAsia="Times New Roman" w:hAnsi="Times New Roman" w:cs="Times New Roman"/>
          <w:sz w:val="24"/>
          <w:szCs w:val="24"/>
        </w:rPr>
        <w:t>a 95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percentile confidence interval in shading and values are averaged across the LME with a 5-year rolling mean applied. The scale on the right show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960EE">
        <w:rPr>
          <w:rFonts w:ascii="Times New Roman" w:eastAsia="Times New Roman" w:hAnsi="Times New Roman" w:cs="Times New Roman"/>
          <w:sz w:val="24"/>
          <w:szCs w:val="24"/>
        </w:rPr>
        <w:t>c</w:t>
      </w:r>
      <w:r w:rsidR="00D960EE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hanges </w:t>
      </w:r>
      <w:r w:rsidR="00D960EE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(%) </w:t>
      </w:r>
      <w:r w:rsidR="00D960EE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relative to historical values (1980-2000)</w:t>
      </w:r>
      <w:r w:rsidR="00D960E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Lower panels:  Monthly averaged distributi</w:t>
      </w:r>
      <w:r>
        <w:rPr>
          <w:rFonts w:ascii="Times New Roman" w:eastAsia="Times New Roman" w:hAnsi="Times New Roman" w:cs="Times New Roman"/>
          <w:sz w:val="24"/>
          <w:szCs w:val="24"/>
        </w:rPr>
        <w:t>on of UV for three time periods 2020-2030, 2050-2060, and 2080-2090 for the areas of the Eastern Bering Sea, the Northern Bering/Chukchi Sea, and Barents Sea LMEs. The Gaussian probability distributions can cause values to be less than zero.</w:t>
      </w:r>
    </w:p>
    <w:p w14:paraId="6DCAB597" w14:textId="77777777" w:rsidR="009D0E91" w:rsidRDefault="009D0E91">
      <w:pPr>
        <w:widowControl w:val="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6DCAB598" w14:textId="77777777" w:rsidR="009D0E91" w:rsidRDefault="009D0E91">
      <w:pPr>
        <w:widowControl w:val="0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</w:p>
    <w:p w14:paraId="6DCAB599" w14:textId="77777777" w:rsidR="009D0E91" w:rsidRDefault="00EF1301">
      <w:pPr>
        <w:widowControl w:val="0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color w:val="222222"/>
          <w:sz w:val="24"/>
          <w:szCs w:val="24"/>
          <w:highlight w:val="white"/>
        </w:rPr>
        <w:lastRenderedPageBreak/>
        <w:drawing>
          <wp:inline distT="114300" distB="114300" distL="114300" distR="114300" wp14:anchorId="6DCAB5BB" wp14:editId="6DCAB5BC">
            <wp:extent cx="5731200" cy="6616700"/>
            <wp:effectExtent l="0" t="0" r="0" b="0"/>
            <wp:docPr id="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 l="30" r="3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6616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CAB59A" w14:textId="7D9EE905" w:rsidR="009D0E91" w:rsidRDefault="00EF1301">
      <w:pPr>
        <w:widowControl w:val="0"/>
        <w:spacing w:before="4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 xml:space="preserve">Figure S5: </w:t>
      </w:r>
      <w:r w:rsidR="00671411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Expected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 xml:space="preserve"> changes in temperature and chlorophyll abundance</w:t>
      </w:r>
      <w:r w:rsidR="00315290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 xml:space="preserve"> under SSP2-4.5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 xml:space="preserve">. 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Heatmaps show the historical (1980-2000) monthly mean (leftmost column of each heatmap) and future decadal average changes in temperature (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o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C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) in (a) the Barents Sea and (b) Northern Be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ring/Chukchi Sea and chlorophyll (mg/m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) for (c) Barents and (d) Northern Bering/Chukchi Seas under SSP2-4.5. Changes relative to historical values (1980-2000) are shown for each decade between 2000-2090 at 10-year intervals. Months with no change r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elative to historical values have no annotated value.</w:t>
      </w:r>
    </w:p>
    <w:p w14:paraId="6DCAB59B" w14:textId="77777777" w:rsidR="009D0E91" w:rsidRDefault="009D0E91">
      <w:pPr>
        <w:widowControl w:val="0"/>
        <w:spacing w:before="40" w:line="360" w:lineRule="auto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highlight w:val="white"/>
        </w:rPr>
      </w:pPr>
    </w:p>
    <w:p w14:paraId="6DCAB59C" w14:textId="77777777" w:rsidR="009D0E91" w:rsidRDefault="009D0E91">
      <w:pPr>
        <w:widowControl w:val="0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</w:p>
    <w:p w14:paraId="6DCAB59D" w14:textId="77777777" w:rsidR="009D0E91" w:rsidRDefault="00EF1301">
      <w:pPr>
        <w:widowControl w:val="0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noProof/>
          <w:color w:val="222222"/>
          <w:sz w:val="24"/>
          <w:szCs w:val="24"/>
          <w:highlight w:val="white"/>
        </w:rPr>
        <w:drawing>
          <wp:inline distT="114300" distB="114300" distL="114300" distR="114300" wp14:anchorId="6DCAB5BD" wp14:editId="6DCAB5BE">
            <wp:extent cx="5731200" cy="2997200"/>
            <wp:effectExtent l="0" t="0" r="0" b="0"/>
            <wp:docPr id="3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97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CAB59E" w14:textId="2EC8F17B" w:rsidR="009D0E91" w:rsidRDefault="00EF1301">
      <w:pPr>
        <w:widowControl w:val="0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 w:rsidRPr="00F67420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highlight w:val="white"/>
        </w:rPr>
        <w:t xml:space="preserve">Figure S6: </w:t>
      </w:r>
      <w:r w:rsidR="00F67420" w:rsidRPr="00F67420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highlight w:val="white"/>
        </w:rPr>
        <w:t xml:space="preserve">Comparison </w:t>
      </w:r>
      <w:r w:rsidR="00F67420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highlight w:val="white"/>
        </w:rPr>
        <w:t xml:space="preserve">ERA5 </w:t>
      </w:r>
      <w:r w:rsidR="00F67420" w:rsidRPr="00F67420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highlight w:val="white"/>
        </w:rPr>
        <w:t>and calculated shortwave radiation</w:t>
      </w:r>
      <w:r w:rsidR="002B7FB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highlight w:val="white"/>
        </w:rPr>
        <w:t xml:space="preserve"> Northern Bering/Chukchi Sea</w:t>
      </w:r>
      <w:r w:rsidR="00F67420" w:rsidRPr="00F67420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highlight w:val="white"/>
        </w:rPr>
        <w:t>.</w:t>
      </w:r>
      <w:r w:rsidR="00F67420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highlight w:val="white"/>
        </w:rPr>
        <w:t xml:space="preserve"> </w:t>
      </w:r>
      <w:r w:rsidRPr="00F67420">
        <w:rPr>
          <w:rFonts w:ascii="Times New Roman" w:eastAsia="Times New Roman" w:hAnsi="Times New Roman" w:cs="Times New Roman"/>
          <w:iCs/>
          <w:color w:val="222222"/>
          <w:sz w:val="24"/>
          <w:szCs w:val="24"/>
          <w:highlight w:val="white"/>
        </w:rPr>
        <w:t>Calculated incoming shortwave radiation (GHI</w:t>
      </w:r>
      <w:r w:rsidR="00F67420" w:rsidRPr="00F67420">
        <w:rPr>
          <w:rFonts w:ascii="Times New Roman" w:eastAsia="Times New Roman" w:hAnsi="Times New Roman" w:cs="Times New Roman"/>
          <w:iCs/>
          <w:color w:val="222222"/>
          <w:sz w:val="24"/>
          <w:szCs w:val="24"/>
          <w:highlight w:val="white"/>
        </w:rPr>
        <w:t>, 200-2700 nm</w:t>
      </w:r>
      <w:r w:rsidRPr="00F67420">
        <w:rPr>
          <w:rFonts w:ascii="Times New Roman" w:eastAsia="Times New Roman" w:hAnsi="Times New Roman" w:cs="Times New Roman"/>
          <w:iCs/>
          <w:color w:val="222222"/>
          <w:sz w:val="24"/>
          <w:szCs w:val="24"/>
          <w:highlight w:val="white"/>
        </w:rPr>
        <w:t>) using historical CMIP6 model results compared with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ERA5 mean downward shortwave radiation at the surface (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msdwswsrf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) for the Northern Bering/Chukchi Sea LME (left). On the right is the calculated UV (280-440 nm) irradiance compared with the ERA5 equivalent mean shortwave downward UV at the surface (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msdwuv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rf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).  Darker shaded areas indicate the 95% confidence interval, while the transparent larger shaded area indicates the 1-99% percentiles of the GHI and UV.</w:t>
      </w:r>
    </w:p>
    <w:p w14:paraId="6DCAB59F" w14:textId="77777777" w:rsidR="009D0E91" w:rsidRDefault="009D0E91">
      <w:pPr>
        <w:widowControl w:val="0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6DCAB5A0" w14:textId="77777777" w:rsidR="009D0E91" w:rsidRDefault="00EF1301">
      <w:pPr>
        <w:widowControl w:val="0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noProof/>
          <w:color w:val="222222"/>
          <w:sz w:val="24"/>
          <w:szCs w:val="24"/>
          <w:highlight w:val="white"/>
        </w:rPr>
        <w:drawing>
          <wp:inline distT="114300" distB="114300" distL="114300" distR="114300" wp14:anchorId="6DCAB5BF" wp14:editId="6DCAB5C0">
            <wp:extent cx="5731200" cy="3022600"/>
            <wp:effectExtent l="0" t="0" r="0" b="0"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022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CAB5A1" w14:textId="50C83E19" w:rsidR="009D0E91" w:rsidRDefault="00EF1301">
      <w:pPr>
        <w:widowControl w:val="0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 w:rsidRPr="002B7FB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highlight w:val="white"/>
        </w:rPr>
        <w:t>Figure S7: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 xml:space="preserve"> </w:t>
      </w:r>
      <w:r w:rsidR="002B7FBF" w:rsidRPr="00F67420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highlight w:val="white"/>
        </w:rPr>
        <w:t xml:space="preserve">Comparison </w:t>
      </w:r>
      <w:r w:rsidR="002B7FB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highlight w:val="white"/>
        </w:rPr>
        <w:t xml:space="preserve">ERA5 </w:t>
      </w:r>
      <w:r w:rsidR="002B7FBF" w:rsidRPr="00F67420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highlight w:val="white"/>
        </w:rPr>
        <w:t>and calculated shortwave radiation</w:t>
      </w:r>
      <w:r w:rsidR="002B7FB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highlight w:val="white"/>
        </w:rPr>
        <w:t xml:space="preserve"> Barents Sea</w:t>
      </w:r>
      <w:r w:rsidR="002B7FBF" w:rsidRPr="00F67420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highlight w:val="white"/>
        </w:rPr>
        <w:t>.</w:t>
      </w:r>
      <w:r w:rsidR="002B7FBF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Calculated incoming shortwave radiation (GHI</w:t>
      </w:r>
      <w:r w:rsidR="00BE5132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, 200-2700 nm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) using historical CMIP6 model results com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pared with ERA5 mean downward shortwave radiation at the surface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lastRenderedPageBreak/>
        <w:t>(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msdwswsrf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) for the Barents Sea LME (left). On the right is the calculated UV (280-440 nm) irradiance compared with the ERA5 equivalent mean shortwave downward UV at the surface (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msdwuvrf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). 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Strongly shaded areas indicate the 95% confidence interval, while the transparent larger shaded area indicates the 1-99% percentiles of the GHI and UV.</w:t>
      </w:r>
    </w:p>
    <w:p w14:paraId="6DCAB5A2" w14:textId="77777777" w:rsidR="009D0E91" w:rsidRDefault="009D0E91">
      <w:pPr>
        <w:widowControl w:val="0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6DCAB5A3" w14:textId="78C48484" w:rsidR="009D0E91" w:rsidRDefault="00EF1301">
      <w:pPr>
        <w:widowControl w:val="0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noProof/>
          <w:color w:val="222222"/>
          <w:sz w:val="24"/>
          <w:szCs w:val="24"/>
          <w:highlight w:val="white"/>
        </w:rPr>
        <w:drawing>
          <wp:inline distT="114300" distB="114300" distL="114300" distR="114300" wp14:anchorId="6DCAB5C1" wp14:editId="6DCAB5C2">
            <wp:extent cx="5731200" cy="4254500"/>
            <wp:effectExtent l="0" t="0" r="0" b="0"/>
            <wp:docPr id="1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254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42677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Figure S8:</w:t>
      </w:r>
      <w:r w:rsidRPr="0042677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 xml:space="preserve"> </w:t>
      </w:r>
      <w:r w:rsidR="00984DCE" w:rsidRPr="0042677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Bias shortwave radiation (GHI) between ERA5 and model.</w:t>
      </w:r>
      <w:r w:rsidR="00984DCE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</w:t>
      </w:r>
      <w:r w:rsidRPr="002B7FBF">
        <w:rPr>
          <w:rFonts w:ascii="Times New Roman" w:eastAsia="Baloo" w:hAnsi="Times New Roman" w:cs="Times New Roman"/>
          <w:color w:val="222222"/>
          <w:sz w:val="24"/>
          <w:szCs w:val="24"/>
          <w:highlight w:val="white"/>
        </w:rPr>
        <w:t xml:space="preserve">Calculated bias </w:t>
      </w:r>
      <w:r w:rsidR="002332AA">
        <w:rPr>
          <w:rFonts w:ascii="Times New Roman" w:eastAsia="Baloo" w:hAnsi="Times New Roman" w:cs="Times New Roman"/>
          <w:color w:val="222222"/>
          <w:sz w:val="24"/>
          <w:szCs w:val="24"/>
          <w:highlight w:val="white"/>
        </w:rPr>
        <w:t xml:space="preserve">(W/m2) </w:t>
      </w:r>
      <w:r w:rsidRPr="002B7FBF">
        <w:rPr>
          <w:rFonts w:ascii="Times New Roman" w:eastAsia="Baloo" w:hAnsi="Times New Roman" w:cs="Times New Roman"/>
          <w:color w:val="222222"/>
          <w:sz w:val="24"/>
          <w:szCs w:val="24"/>
          <w:highlight w:val="white"/>
        </w:rPr>
        <w:t>in incoming shortwave radiation (GHI</w:t>
      </w:r>
      <w:r w:rsidR="00984DCE">
        <w:rPr>
          <w:rFonts w:ascii="Times New Roman" w:eastAsia="Baloo" w:hAnsi="Times New Roman" w:cs="Times New Roman"/>
          <w:color w:val="222222"/>
          <w:sz w:val="24"/>
          <w:szCs w:val="24"/>
          <w:highlight w:val="white"/>
        </w:rPr>
        <w:t xml:space="preserve">, </w:t>
      </w:r>
      <w:r w:rsidR="00984DCE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200-2700 nm</w:t>
      </w:r>
      <w:r w:rsidRPr="002B7FBF">
        <w:rPr>
          <w:rFonts w:ascii="Times New Roman" w:eastAsia="Baloo" w:hAnsi="Times New Roman" w:cs="Times New Roman"/>
          <w:color w:val="222222"/>
          <w:sz w:val="24"/>
          <w:szCs w:val="24"/>
          <w:highlight w:val="white"/>
        </w:rPr>
        <w:t>) between historical CMIP6 model results compared with ERA5 mean downward shortwave radiation at the surface (</w:t>
      </w:r>
      <w:proofErr w:type="spellStart"/>
      <w:r w:rsidRPr="002B7FBF">
        <w:rPr>
          <w:rFonts w:ascii="Times New Roman" w:eastAsia="Baloo" w:hAnsi="Times New Roman" w:cs="Times New Roman"/>
          <w:color w:val="222222"/>
          <w:sz w:val="24"/>
          <w:szCs w:val="24"/>
          <w:highlight w:val="white"/>
        </w:rPr>
        <w:t>msdwswsrf</w:t>
      </w:r>
      <w:proofErr w:type="spellEnd"/>
      <w:r w:rsidRPr="002B7FBF">
        <w:rPr>
          <w:rFonts w:ascii="Times New Roman" w:eastAsia="Baloo" w:hAnsi="Times New Roman" w:cs="Times New Roman"/>
          <w:color w:val="222222"/>
          <w:sz w:val="24"/>
          <w:szCs w:val="24"/>
          <w:highlight w:val="white"/>
        </w:rPr>
        <w:t>) North of 40</w:t>
      </w:r>
      <w:r w:rsidR="00984DCE" w:rsidRPr="00984DCE">
        <w:rPr>
          <w:rFonts w:ascii="Times New Roman" w:eastAsia="Baloo" w:hAnsi="Times New Roman" w:cs="Times New Roman"/>
          <w:color w:val="222222"/>
          <w:sz w:val="24"/>
          <w:szCs w:val="24"/>
          <w:highlight w:val="white"/>
          <w:vertAlign w:val="superscript"/>
        </w:rPr>
        <w:t>o</w:t>
      </w:r>
      <w:r w:rsidRPr="002B7FBF">
        <w:rPr>
          <w:rFonts w:ascii="Times New Roman" w:eastAsia="Baloo" w:hAnsi="Times New Roman" w:cs="Times New Roman"/>
          <w:color w:val="222222"/>
          <w:sz w:val="24"/>
          <w:szCs w:val="24"/>
          <w:highlight w:val="white"/>
        </w:rPr>
        <w:t xml:space="preserve">N for the period </w:t>
      </w:r>
      <w:r w:rsidRPr="002B7FBF">
        <w:rPr>
          <w:rFonts w:ascii="Times New Roman" w:eastAsia="Times New Roman" w:hAnsi="Times New Roman" w:cs="Times New Roman"/>
          <w:sz w:val="24"/>
          <w:szCs w:val="24"/>
        </w:rPr>
        <w:t>1979-2020.</w:t>
      </w:r>
    </w:p>
    <w:p w14:paraId="6DCAB5A4" w14:textId="77777777" w:rsidR="009D0E91" w:rsidRDefault="009D0E91">
      <w:pPr>
        <w:widowControl w:val="0"/>
        <w:rPr>
          <w:rFonts w:ascii="Times New Roman" w:eastAsia="Times New Roman" w:hAnsi="Times New Roman" w:cs="Times New Roman"/>
          <w:sz w:val="24"/>
          <w:szCs w:val="24"/>
        </w:rPr>
      </w:pPr>
    </w:p>
    <w:p w14:paraId="6DCAB5A5" w14:textId="77777777" w:rsidR="009D0E91" w:rsidRDefault="00EF1301">
      <w:pPr>
        <w:widowControl w:val="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noProof/>
          <w:sz w:val="24"/>
          <w:szCs w:val="24"/>
        </w:rPr>
        <w:lastRenderedPageBreak/>
        <w:drawing>
          <wp:inline distT="114300" distB="114300" distL="114300" distR="114300" wp14:anchorId="6DCAB5C3" wp14:editId="6DCAB5C4">
            <wp:extent cx="5731200" cy="7251700"/>
            <wp:effectExtent l="0" t="0" r="0" b="0"/>
            <wp:docPr id="4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251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CAB5A6" w14:textId="23435F81" w:rsidR="009D0E91" w:rsidRDefault="00EF1301">
      <w:pPr>
        <w:widowControl w:val="0"/>
        <w:spacing w:before="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S9</w:t>
      </w:r>
      <w:r w:rsidRPr="001A782D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1A78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76019" w:rsidRPr="001A782D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Impacts of temperature </w:t>
      </w:r>
      <w:r w:rsidR="00C76019" w:rsidRPr="001A782D">
        <w:rPr>
          <w:rStyle w:val="None"/>
          <w:rFonts w:ascii="Times New Roman" w:hAnsi="Times New Roman" w:cs="Times New Roman"/>
          <w:b/>
          <w:sz w:val="24"/>
          <w:szCs w:val="24"/>
        </w:rPr>
        <w:t xml:space="preserve">and </w:t>
      </w:r>
      <w:r w:rsidR="00C76019" w:rsidRPr="001A782D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light on the egg survival and larval </w:t>
      </w:r>
      <w:r w:rsidR="00C76019" w:rsidRPr="001A782D">
        <w:rPr>
          <w:rStyle w:val="None"/>
          <w:rFonts w:ascii="Times New Roman" w:hAnsi="Times New Roman" w:cs="Times New Roman"/>
          <w:b/>
          <w:sz w:val="24"/>
          <w:szCs w:val="24"/>
        </w:rPr>
        <w:t xml:space="preserve">growth </w:t>
      </w:r>
      <w:r w:rsidR="00C76019" w:rsidRPr="001A782D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potential </w:t>
      </w:r>
      <w:r w:rsidR="00C76019" w:rsidRPr="001A782D">
        <w:rPr>
          <w:rStyle w:val="None"/>
          <w:rFonts w:ascii="Times New Roman" w:hAnsi="Times New Roman" w:cs="Times New Roman"/>
          <w:b/>
          <w:sz w:val="24"/>
          <w:szCs w:val="24"/>
        </w:rPr>
        <w:t xml:space="preserve">for </w:t>
      </w:r>
      <w:r w:rsidR="001A782D" w:rsidRPr="001A782D">
        <w:rPr>
          <w:rStyle w:val="None"/>
          <w:rFonts w:ascii="Times New Roman" w:hAnsi="Times New Roman" w:cs="Times New Roman"/>
          <w:b/>
          <w:bCs/>
          <w:sz w:val="24"/>
          <w:szCs w:val="24"/>
        </w:rPr>
        <w:t>Walleye pollock and Atlantic Cod</w:t>
      </w:r>
      <w:r w:rsidR="00C76019" w:rsidRPr="001A782D">
        <w:rPr>
          <w:rStyle w:val="None"/>
          <w:rFonts w:ascii="Times New Roman" w:hAnsi="Times New Roman" w:cs="Times New Roman"/>
          <w:b/>
          <w:bCs/>
          <w:sz w:val="24"/>
          <w:szCs w:val="24"/>
        </w:rPr>
        <w:t>.</w:t>
      </w:r>
      <w:r w:rsidR="00C76019" w:rsidRPr="001A782D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r w:rsidRPr="001A782D">
        <w:rPr>
          <w:rFonts w:ascii="Times New Roman" w:eastAsia="Times New Roman" w:hAnsi="Times New Roman" w:cs="Times New Roman"/>
          <w:sz w:val="24"/>
          <w:szCs w:val="24"/>
        </w:rPr>
        <w:t>Northern Bering/Chukchi Sea (Walleye pollock, top panels) and Barents Sea (Atlantic cod, lower panels): Left panels show ocean temperature (</w:t>
      </w:r>
      <w:proofErr w:type="spellStart"/>
      <w:r w:rsidRPr="001A782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o</w:t>
      </w:r>
      <w:r w:rsidRPr="001A782D">
        <w:rPr>
          <w:rFonts w:ascii="Times New Roman" w:eastAsia="Times New Roman" w:hAnsi="Times New Roman" w:cs="Times New Roman"/>
          <w:sz w:val="24"/>
          <w:szCs w:val="24"/>
        </w:rPr>
        <w:t>C</w:t>
      </w:r>
      <w:proofErr w:type="spellEnd"/>
      <w:r w:rsidRPr="001A782D">
        <w:rPr>
          <w:rFonts w:ascii="Times New Roman" w:eastAsia="Times New Roman" w:hAnsi="Times New Roman" w:cs="Times New Roman"/>
          <w:sz w:val="24"/>
          <w:szCs w:val="24"/>
        </w:rPr>
        <w:t>) at 5 m depth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potential egg survival (% d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eastAsia="Times New Roman" w:hAnsi="Times New Roman" w:cs="Times New Roman"/>
          <w:sz w:val="24"/>
          <w:szCs w:val="24"/>
        </w:rPr>
        <w:t>) during winter (Jan, Feb, Mar). The right panels show the perce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 change in open water with a minimum PAR threshold required for larval visual feeding at 5 m depth and juvenile growth potential during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spring (Apr, May, Jun) (% d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eastAsia="Times New Roman" w:hAnsi="Times New Roman" w:cs="Times New Roman"/>
          <w:sz w:val="24"/>
          <w:szCs w:val="24"/>
        </w:rPr>
        <w:t>) of Pacific cod (upper panel) and Atlantic cod (lower panel). Thick lines show the aver</w:t>
      </w:r>
      <w:r>
        <w:rPr>
          <w:rFonts w:ascii="Times New Roman" w:eastAsia="Times New Roman" w:hAnsi="Times New Roman" w:cs="Times New Roman"/>
          <w:sz w:val="24"/>
          <w:szCs w:val="24"/>
        </w:rPr>
        <w:t>age values across all winter or spring months for each scenario SSP2-4.5 (blue) and SSP5-8.5 (orange) while shaded regions show the 95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percentile within the winter/spring months. Survival during the egg stage and growth potential was calculated using fun</w:t>
      </w:r>
      <w:r>
        <w:rPr>
          <w:rFonts w:ascii="Times New Roman" w:eastAsia="Times New Roman" w:hAnsi="Times New Roman" w:cs="Times New Roman"/>
          <w:sz w:val="24"/>
          <w:szCs w:val="24"/>
        </w:rPr>
        <w:t>ctional relationships from laboratory studies and observations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44,45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DCAB5A7" w14:textId="77777777" w:rsidR="009D0E91" w:rsidRDefault="009D0E91">
      <w:pPr>
        <w:widowControl w:val="0"/>
        <w:spacing w:before="40"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6DCAB5A8" w14:textId="77777777" w:rsidR="009D0E91" w:rsidRDefault="00EF1301">
      <w:pPr>
        <w:widowControl w:val="0"/>
        <w:spacing w:before="40"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noProof/>
          <w:sz w:val="24"/>
          <w:szCs w:val="24"/>
        </w:rPr>
        <w:lastRenderedPageBreak/>
        <w:drawing>
          <wp:inline distT="114300" distB="114300" distL="114300" distR="114300" wp14:anchorId="6DCAB5C5" wp14:editId="6DCAB5C6">
            <wp:extent cx="4055952" cy="8805863"/>
            <wp:effectExtent l="0" t="0" r="0" b="0"/>
            <wp:docPr id="2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55952" cy="88058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CAB5A9" w14:textId="7AE44115" w:rsidR="009D0E91" w:rsidRPr="003916CC" w:rsidRDefault="00EF1301">
      <w:pPr>
        <w:widowControl w:val="0"/>
        <w:spacing w:before="40" w:line="36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3916CC">
        <w:rPr>
          <w:rFonts w:ascii="Times New Roman" w:eastAsia="Times New Roman" w:hAnsi="Times New Roman" w:cs="Times New Roman"/>
          <w:b/>
          <w:iCs/>
          <w:sz w:val="24"/>
          <w:szCs w:val="24"/>
        </w:rPr>
        <w:lastRenderedPageBreak/>
        <w:t>Figure S10:</w:t>
      </w:r>
      <w:r w:rsidRPr="003916CC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3916CC" w:rsidRPr="002C1B9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Temporal </w:t>
      </w:r>
      <w:r w:rsidR="002C1B95" w:rsidRPr="002C1B9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changes in PAR and UV-B at 5 m depths.</w:t>
      </w:r>
      <w:r w:rsidR="002C1B95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3916CC">
        <w:rPr>
          <w:rFonts w:ascii="Times New Roman" w:eastAsia="Times New Roman" w:hAnsi="Times New Roman" w:cs="Times New Roman"/>
          <w:iCs/>
          <w:sz w:val="24"/>
          <w:szCs w:val="24"/>
        </w:rPr>
        <w:t>Northern Bering/Chukchi (top panels) and Barents Seas (lower panels): Left panels show percent change (%, left axis) in visible light (PAR) for each scenario SSP2-4.5 (blue</w:t>
      </w:r>
      <w:r w:rsidRPr="003916CC">
        <w:rPr>
          <w:rFonts w:ascii="Times New Roman" w:eastAsia="Times New Roman" w:hAnsi="Times New Roman" w:cs="Times New Roman"/>
          <w:iCs/>
          <w:sz w:val="24"/>
          <w:szCs w:val="24"/>
        </w:rPr>
        <w:t xml:space="preserve">) and SSP5-8.5 (orange) at 5 m depth relative the 1980-2000 average for the winter months (Jan, Feb, Mar) assuming an attenuation coefficient of k=0.18. The right axis shows the percent relative change in UV-B irradiance at the surface (purple </w:t>
      </w:r>
      <w:proofErr w:type="spellStart"/>
      <w:r w:rsidRPr="003916CC">
        <w:rPr>
          <w:rFonts w:ascii="Times New Roman" w:eastAsia="Times New Roman" w:hAnsi="Times New Roman" w:cs="Times New Roman"/>
          <w:iCs/>
          <w:sz w:val="24"/>
          <w:szCs w:val="24"/>
        </w:rPr>
        <w:t>color</w:t>
      </w:r>
      <w:proofErr w:type="spellEnd"/>
      <w:r w:rsidRPr="003916CC">
        <w:rPr>
          <w:rFonts w:ascii="Times New Roman" w:eastAsia="Times New Roman" w:hAnsi="Times New Roman" w:cs="Times New Roman"/>
          <w:iCs/>
          <w:sz w:val="24"/>
          <w:szCs w:val="24"/>
        </w:rPr>
        <w:t>, %) re</w:t>
      </w:r>
      <w:r w:rsidRPr="003916CC">
        <w:rPr>
          <w:rFonts w:ascii="Times New Roman" w:eastAsia="Times New Roman" w:hAnsi="Times New Roman" w:cs="Times New Roman"/>
          <w:iCs/>
          <w:sz w:val="24"/>
          <w:szCs w:val="24"/>
        </w:rPr>
        <w:t xml:space="preserve">lative to 1980-2000. The right panel shows </w:t>
      </w:r>
      <w:proofErr w:type="gramStart"/>
      <w:r w:rsidRPr="003916CC">
        <w:rPr>
          <w:rFonts w:ascii="Times New Roman" w:eastAsia="Times New Roman" w:hAnsi="Times New Roman" w:cs="Times New Roman"/>
          <w:iCs/>
          <w:sz w:val="24"/>
          <w:szCs w:val="24"/>
        </w:rPr>
        <w:t>similar to</w:t>
      </w:r>
      <w:proofErr w:type="gramEnd"/>
      <w:r w:rsidRPr="003916CC">
        <w:rPr>
          <w:rFonts w:ascii="Times New Roman" w:eastAsia="Times New Roman" w:hAnsi="Times New Roman" w:cs="Times New Roman"/>
          <w:iCs/>
          <w:sz w:val="24"/>
          <w:szCs w:val="24"/>
        </w:rPr>
        <w:t xml:space="preserve"> the left but for spring months (Apr, May, Jun). Thick lines show the 5-year running mean across all winter or spring months for each scenario SSP2-4.5 (blue, purple) and SSP5-8.5 (orange, red) while sha</w:t>
      </w:r>
      <w:r w:rsidRPr="003916CC">
        <w:rPr>
          <w:rFonts w:ascii="Times New Roman" w:eastAsia="Times New Roman" w:hAnsi="Times New Roman" w:cs="Times New Roman"/>
          <w:iCs/>
          <w:sz w:val="24"/>
          <w:szCs w:val="24"/>
        </w:rPr>
        <w:t>ded regions show the 95</w:t>
      </w:r>
      <w:r w:rsidRPr="003916CC">
        <w:rPr>
          <w:rFonts w:ascii="Times New Roman" w:eastAsia="Times New Roman" w:hAnsi="Times New Roman" w:cs="Times New Roman"/>
          <w:iCs/>
          <w:sz w:val="24"/>
          <w:szCs w:val="24"/>
          <w:vertAlign w:val="superscript"/>
        </w:rPr>
        <w:t>th</w:t>
      </w:r>
      <w:r w:rsidRPr="003916CC">
        <w:rPr>
          <w:rFonts w:ascii="Times New Roman" w:eastAsia="Times New Roman" w:hAnsi="Times New Roman" w:cs="Times New Roman"/>
          <w:iCs/>
          <w:sz w:val="24"/>
          <w:szCs w:val="24"/>
        </w:rPr>
        <w:t xml:space="preserve"> percentile within the winter/spring months.</w:t>
      </w:r>
    </w:p>
    <w:p w14:paraId="6DCAB5AA" w14:textId="77777777" w:rsidR="009D0E91" w:rsidRDefault="009D0E91">
      <w:pPr>
        <w:widowControl w:val="0"/>
        <w:spacing w:before="40"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6DCAB5AB" w14:textId="77777777" w:rsidR="009D0E91" w:rsidRDefault="009D0E91">
      <w:pPr>
        <w:widowControl w:val="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6DCAB5AC" w14:textId="77777777" w:rsidR="009D0E91" w:rsidRDefault="00EF130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 w:line="480" w:lineRule="auto"/>
        <w:ind w:left="480" w:hanging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18">
        <w:proofErr w:type="spellStart"/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Ziehn</w:t>
        </w:r>
        <w:proofErr w:type="spellEnd"/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, T. </w:t>
        </w:r>
      </w:hyperlink>
      <w:hyperlink r:id="rId19">
        <w:r>
          <w:rPr>
            <w:rFonts w:ascii="Times New Roman" w:eastAsia="Times New Roman" w:hAnsi="Times New Roman" w:cs="Times New Roman"/>
            <w:i/>
            <w:color w:val="000000"/>
            <w:sz w:val="24"/>
            <w:szCs w:val="24"/>
          </w:rPr>
          <w:t>et al.</w:t>
        </w:r>
      </w:hyperlink>
      <w:hyperlink r:id="rId20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 The Australian Earth System Model: ACCESS-ESM1.5. doi:</w:t>
        </w:r>
      </w:hyperlink>
      <w:hyperlink r:id="rId21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10.1071/ES19035</w:t>
        </w:r>
      </w:hyperlink>
      <w:hyperlink r:id="rId22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.</w:t>
        </w:r>
      </w:hyperlink>
    </w:p>
    <w:p w14:paraId="6DCAB5AD" w14:textId="77777777" w:rsidR="009D0E91" w:rsidRDefault="00EF130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480" w:hanging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23">
        <w:proofErr w:type="spellStart"/>
        <w:r w:rsidRPr="00540CB1">
          <w:rPr>
            <w:rFonts w:ascii="Times New Roman" w:eastAsia="Times New Roman" w:hAnsi="Times New Roman" w:cs="Times New Roman"/>
            <w:color w:val="000000"/>
            <w:sz w:val="24"/>
            <w:szCs w:val="24"/>
            <w:lang w:val="nb-NO"/>
          </w:rPr>
          <w:t>Swart</w:t>
        </w:r>
        <w:proofErr w:type="spellEnd"/>
        <w:r w:rsidRPr="00540CB1">
          <w:rPr>
            <w:rFonts w:ascii="Times New Roman" w:eastAsia="Times New Roman" w:hAnsi="Times New Roman" w:cs="Times New Roman"/>
            <w:color w:val="000000"/>
            <w:sz w:val="24"/>
            <w:szCs w:val="24"/>
            <w:lang w:val="nb-NO"/>
          </w:rPr>
          <w:t xml:space="preserve">, N. C. </w:t>
        </w:r>
      </w:hyperlink>
      <w:hyperlink r:id="rId24">
        <w:r w:rsidRPr="00540CB1">
          <w:rPr>
            <w:rFonts w:ascii="Times New Roman" w:eastAsia="Times New Roman" w:hAnsi="Times New Roman" w:cs="Times New Roman"/>
            <w:i/>
            <w:color w:val="000000"/>
            <w:sz w:val="24"/>
            <w:szCs w:val="24"/>
            <w:lang w:val="nb-NO"/>
          </w:rPr>
          <w:t>et al.</w:t>
        </w:r>
      </w:hyperlink>
      <w:hyperlink r:id="rId25">
        <w:r w:rsidRPr="00540CB1">
          <w:rPr>
            <w:rFonts w:ascii="Times New Roman" w:eastAsia="Times New Roman" w:hAnsi="Times New Roman" w:cs="Times New Roman"/>
            <w:color w:val="000000"/>
            <w:sz w:val="24"/>
            <w:szCs w:val="24"/>
            <w:lang w:val="nb-NO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The Canadian Earth System Model version 5 (CanESM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5.0.3). </w:t>
        </w:r>
      </w:hyperlink>
      <w:hyperlink r:id="rId26">
        <w:proofErr w:type="spellStart"/>
        <w:r>
          <w:rPr>
            <w:rFonts w:ascii="Times New Roman" w:eastAsia="Times New Roman" w:hAnsi="Times New Roman" w:cs="Times New Roman"/>
            <w:i/>
            <w:color w:val="000000"/>
            <w:sz w:val="24"/>
            <w:szCs w:val="24"/>
          </w:rPr>
          <w:t>Geosci</w:t>
        </w:r>
        <w:proofErr w:type="spellEnd"/>
        <w:r>
          <w:rPr>
            <w:rFonts w:ascii="Times New Roman" w:eastAsia="Times New Roman" w:hAnsi="Times New Roman" w:cs="Times New Roman"/>
            <w:i/>
            <w:color w:val="000000"/>
            <w:sz w:val="24"/>
            <w:szCs w:val="24"/>
          </w:rPr>
          <w:t>. Model Dev.</w:t>
        </w:r>
      </w:hyperlink>
      <w:hyperlink r:id="rId27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hyperlink r:id="rId28">
        <w:r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12</w:t>
        </w:r>
      </w:hyperlink>
      <w:hyperlink r:id="rId29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, 4823–4873 (2019).</w:t>
        </w:r>
      </w:hyperlink>
    </w:p>
    <w:p w14:paraId="6DCAB5AE" w14:textId="77777777" w:rsidR="009D0E91" w:rsidRDefault="00EF130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480" w:hanging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30">
        <w:proofErr w:type="spellStart"/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Mauritsen</w:t>
        </w:r>
        <w:proofErr w:type="spellEnd"/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, T. </w:t>
        </w:r>
      </w:hyperlink>
      <w:hyperlink r:id="rId31">
        <w:r>
          <w:rPr>
            <w:rFonts w:ascii="Times New Roman" w:eastAsia="Times New Roman" w:hAnsi="Times New Roman" w:cs="Times New Roman"/>
            <w:i/>
            <w:color w:val="000000"/>
            <w:sz w:val="24"/>
            <w:szCs w:val="24"/>
          </w:rPr>
          <w:t>et al.</w:t>
        </w:r>
      </w:hyperlink>
      <w:hyperlink r:id="rId32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 Developments in the MPI-M Earth System Model version 1.2 (MPI-ESM1.2) and Its Response to Increasing CO2. </w:t>
        </w:r>
      </w:hyperlink>
      <w:hyperlink r:id="rId33">
        <w:r>
          <w:rPr>
            <w:rFonts w:ascii="Times New Roman" w:eastAsia="Times New Roman" w:hAnsi="Times New Roman" w:cs="Times New Roman"/>
            <w:i/>
            <w:color w:val="000000"/>
            <w:sz w:val="24"/>
            <w:szCs w:val="24"/>
          </w:rPr>
          <w:t xml:space="preserve">J Adv Model Earth </w:t>
        </w:r>
        <w:proofErr w:type="spellStart"/>
        <w:r>
          <w:rPr>
            <w:rFonts w:ascii="Times New Roman" w:eastAsia="Times New Roman" w:hAnsi="Times New Roman" w:cs="Times New Roman"/>
            <w:i/>
            <w:color w:val="000000"/>
            <w:sz w:val="24"/>
            <w:szCs w:val="24"/>
          </w:rPr>
          <w:t>Syst</w:t>
        </w:r>
        <w:proofErr w:type="spellEnd"/>
      </w:hyperlink>
      <w:hyperlink r:id="rId34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hyperlink r:id="rId35">
        <w:r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11</w:t>
        </w:r>
      </w:hyperlink>
      <w:hyperlink r:id="rId36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, 998–1038 (2019).</w:t>
        </w:r>
      </w:hyperlink>
    </w:p>
    <w:p w14:paraId="6DCAB5AF" w14:textId="77777777" w:rsidR="009D0E91" w:rsidRDefault="00EF130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480" w:hanging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37">
        <w:proofErr w:type="spellStart"/>
        <w:r w:rsidRPr="00540CB1">
          <w:rPr>
            <w:rFonts w:ascii="Times New Roman" w:eastAsia="Times New Roman" w:hAnsi="Times New Roman" w:cs="Times New Roman"/>
            <w:color w:val="000000"/>
            <w:sz w:val="24"/>
            <w:szCs w:val="24"/>
            <w:lang w:val="nb-NO"/>
          </w:rPr>
          <w:t>Sellar</w:t>
        </w:r>
        <w:proofErr w:type="spellEnd"/>
        <w:r w:rsidRPr="00540CB1">
          <w:rPr>
            <w:rFonts w:ascii="Times New Roman" w:eastAsia="Times New Roman" w:hAnsi="Times New Roman" w:cs="Times New Roman"/>
            <w:color w:val="000000"/>
            <w:sz w:val="24"/>
            <w:szCs w:val="24"/>
            <w:lang w:val="nb-NO"/>
          </w:rPr>
          <w:t xml:space="preserve">, A. A. </w:t>
        </w:r>
      </w:hyperlink>
      <w:hyperlink r:id="rId38">
        <w:r w:rsidRPr="00540CB1">
          <w:rPr>
            <w:rFonts w:ascii="Times New Roman" w:eastAsia="Times New Roman" w:hAnsi="Times New Roman" w:cs="Times New Roman"/>
            <w:i/>
            <w:color w:val="000000"/>
            <w:sz w:val="24"/>
            <w:szCs w:val="24"/>
            <w:lang w:val="nb-NO"/>
          </w:rPr>
          <w:t>et al.</w:t>
        </w:r>
      </w:hyperlink>
      <w:hyperlink r:id="rId39">
        <w:r w:rsidRPr="00540CB1">
          <w:rPr>
            <w:rFonts w:ascii="Times New Roman" w:eastAsia="Times New Roman" w:hAnsi="Times New Roman" w:cs="Times New Roman"/>
            <w:color w:val="000000"/>
            <w:sz w:val="24"/>
            <w:szCs w:val="24"/>
            <w:lang w:val="nb-NO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UKESM1: Description and evaluation of the </w:t>
        </w:r>
        <w:proofErr w:type="spellStart"/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U.k.</w:t>
        </w:r>
        <w:proofErr w:type="spellEnd"/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 earth system model. </w:t>
        </w:r>
      </w:hyperlink>
      <w:hyperlink r:id="rId40">
        <w:r>
          <w:rPr>
            <w:rFonts w:ascii="Times New Roman" w:eastAsia="Times New Roman" w:hAnsi="Times New Roman" w:cs="Times New Roman"/>
            <w:i/>
            <w:color w:val="000000"/>
            <w:sz w:val="24"/>
            <w:szCs w:val="24"/>
          </w:rPr>
          <w:t>J. Adv. Mode</w:t>
        </w:r>
        <w:r>
          <w:rPr>
            <w:rFonts w:ascii="Times New Roman" w:eastAsia="Times New Roman" w:hAnsi="Times New Roman" w:cs="Times New Roman"/>
            <w:i/>
            <w:color w:val="000000"/>
            <w:sz w:val="24"/>
            <w:szCs w:val="24"/>
          </w:rPr>
          <w:t>l. Earth Syst.</w:t>
        </w:r>
      </w:hyperlink>
      <w:hyperlink r:id="rId41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hyperlink r:id="rId42">
        <w:r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11</w:t>
        </w:r>
      </w:hyperlink>
      <w:hyperlink r:id="rId43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, 4513–4558 (2019).</w:t>
        </w:r>
      </w:hyperlink>
    </w:p>
    <w:p w14:paraId="6DCAB5B0" w14:textId="77777777" w:rsidR="009D0E91" w:rsidRDefault="00EF130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480" w:hanging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44">
        <w:proofErr w:type="spellStart"/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McCrystall</w:t>
        </w:r>
        <w:proofErr w:type="spellEnd"/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, M. R., Stroeve, J., Serreze, M., Forbes, B. C. &amp; Screen, J. A. New climate models reveal faster and larger increases in Arctic precipitation than previously projected. </w:t>
        </w:r>
      </w:hyperlink>
      <w:hyperlink r:id="rId45">
        <w:r>
          <w:rPr>
            <w:rFonts w:ascii="Times New Roman" w:eastAsia="Times New Roman" w:hAnsi="Times New Roman" w:cs="Times New Roman"/>
            <w:i/>
            <w:color w:val="000000"/>
            <w:sz w:val="24"/>
            <w:szCs w:val="24"/>
          </w:rPr>
          <w:t xml:space="preserve">Nat. </w:t>
        </w:r>
        <w:proofErr w:type="spellStart"/>
        <w:r>
          <w:rPr>
            <w:rFonts w:ascii="Times New Roman" w:eastAsia="Times New Roman" w:hAnsi="Times New Roman" w:cs="Times New Roman"/>
            <w:i/>
            <w:color w:val="000000"/>
            <w:sz w:val="24"/>
            <w:szCs w:val="24"/>
          </w:rPr>
          <w:t>Commun</w:t>
        </w:r>
        <w:proofErr w:type="spellEnd"/>
        <w:r>
          <w:rPr>
            <w:rFonts w:ascii="Times New Roman" w:eastAsia="Times New Roman" w:hAnsi="Times New Roman" w:cs="Times New Roman"/>
            <w:i/>
            <w:color w:val="000000"/>
            <w:sz w:val="24"/>
            <w:szCs w:val="24"/>
          </w:rPr>
          <w:t>.</w:t>
        </w:r>
      </w:hyperlink>
      <w:hyperlink r:id="rId46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hyperlink r:id="rId47">
        <w:r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12</w:t>
        </w:r>
      </w:hyperlink>
      <w:hyperlink r:id="rId48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, 6765 (2021).</w:t>
        </w:r>
      </w:hyperlink>
    </w:p>
    <w:p w14:paraId="6DCAB5B1" w14:textId="77777777" w:rsidR="009D0E91" w:rsidRDefault="00EF130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480" w:lineRule="auto"/>
        <w:ind w:left="480" w:hanging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49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Dai, A., Luo, D., Song, M. &amp; Liu, J. Arctic amplification is caused by sea-ice loss under increasing CO2. </w:t>
        </w:r>
      </w:hyperlink>
      <w:hyperlink r:id="rId50">
        <w:r>
          <w:rPr>
            <w:rFonts w:ascii="Times New Roman" w:eastAsia="Times New Roman" w:hAnsi="Times New Roman" w:cs="Times New Roman"/>
            <w:i/>
            <w:color w:val="000000"/>
            <w:sz w:val="24"/>
            <w:szCs w:val="24"/>
          </w:rPr>
          <w:t xml:space="preserve">Nat. </w:t>
        </w:r>
        <w:proofErr w:type="spellStart"/>
        <w:r>
          <w:rPr>
            <w:rFonts w:ascii="Times New Roman" w:eastAsia="Times New Roman" w:hAnsi="Times New Roman" w:cs="Times New Roman"/>
            <w:i/>
            <w:color w:val="000000"/>
            <w:sz w:val="24"/>
            <w:szCs w:val="24"/>
          </w:rPr>
          <w:t>Commun</w:t>
        </w:r>
        <w:proofErr w:type="spellEnd"/>
        <w:r>
          <w:rPr>
            <w:rFonts w:ascii="Times New Roman" w:eastAsia="Times New Roman" w:hAnsi="Times New Roman" w:cs="Times New Roman"/>
            <w:i/>
            <w:color w:val="000000"/>
            <w:sz w:val="24"/>
            <w:szCs w:val="24"/>
          </w:rPr>
          <w:t>.</w:t>
        </w:r>
      </w:hyperlink>
      <w:hyperlink r:id="rId51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hyperlink r:id="rId52">
        <w:r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10</w:t>
        </w:r>
      </w:hyperlink>
      <w:hyperlink r:id="rId53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, 121 (2019).</w:t>
        </w:r>
      </w:hyperlink>
    </w:p>
    <w:p w14:paraId="6DCAB5B2" w14:textId="77777777" w:rsidR="009D0E91" w:rsidRDefault="009D0E9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i/>
          <w:sz w:val="24"/>
          <w:szCs w:val="24"/>
        </w:rPr>
      </w:pPr>
    </w:p>
    <w:sectPr w:rsidR="009D0E9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loo">
    <w:panose1 w:val="03080502040302020200"/>
    <w:charset w:val="4D"/>
    <w:family w:val="script"/>
    <w:pitch w:val="variable"/>
    <w:sig w:usb0="A040007F" w:usb1="4000207B" w:usb2="00000000" w:usb3="00000000" w:csb0="0000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E91"/>
    <w:rsid w:val="001A782D"/>
    <w:rsid w:val="002332AA"/>
    <w:rsid w:val="002B7FBF"/>
    <w:rsid w:val="002C1B95"/>
    <w:rsid w:val="00315290"/>
    <w:rsid w:val="003916CC"/>
    <w:rsid w:val="0042677C"/>
    <w:rsid w:val="00540CB1"/>
    <w:rsid w:val="00546D2E"/>
    <w:rsid w:val="00671411"/>
    <w:rsid w:val="008069E0"/>
    <w:rsid w:val="00960FFA"/>
    <w:rsid w:val="00984DCE"/>
    <w:rsid w:val="009D0E91"/>
    <w:rsid w:val="00A72303"/>
    <w:rsid w:val="00BE5132"/>
    <w:rsid w:val="00C369E3"/>
    <w:rsid w:val="00C76019"/>
    <w:rsid w:val="00D960EE"/>
    <w:rsid w:val="00EC5C0E"/>
    <w:rsid w:val="00EF1301"/>
    <w:rsid w:val="00F6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CAB566"/>
  <w15:docId w15:val="{8224C403-0E19-0646-A0FB-310A011CC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Body">
    <w:name w:val="Body"/>
    <w:rsid w:val="00540CB1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line="240" w:lineRule="auto"/>
      <w:ind w:firstLine="284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None">
    <w:name w:val="None"/>
    <w:rsid w:val="00C760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hyperlink" Target="http://paperpile.com/b/Gjnr9T/ZKIDr" TargetMode="External"/><Relationship Id="rId26" Type="http://schemas.openxmlformats.org/officeDocument/2006/relationships/hyperlink" Target="http://paperpile.com/b/Gjnr9T/1gOWv" TargetMode="External"/><Relationship Id="rId39" Type="http://schemas.openxmlformats.org/officeDocument/2006/relationships/hyperlink" Target="http://paperpile.com/b/Gjnr9T/nL4lA" TargetMode="External"/><Relationship Id="rId21" Type="http://schemas.openxmlformats.org/officeDocument/2006/relationships/hyperlink" Target="http://dx.doi.org/10.1071/ES19035" TargetMode="External"/><Relationship Id="rId34" Type="http://schemas.openxmlformats.org/officeDocument/2006/relationships/hyperlink" Target="http://paperpile.com/b/Gjnr9T/FA5FC" TargetMode="External"/><Relationship Id="rId42" Type="http://schemas.openxmlformats.org/officeDocument/2006/relationships/hyperlink" Target="http://paperpile.com/b/Gjnr9T/nL4lA" TargetMode="External"/><Relationship Id="rId47" Type="http://schemas.openxmlformats.org/officeDocument/2006/relationships/hyperlink" Target="http://paperpile.com/b/Gjnr9T/nJiTS" TargetMode="External"/><Relationship Id="rId50" Type="http://schemas.openxmlformats.org/officeDocument/2006/relationships/hyperlink" Target="http://paperpile.com/b/Gjnr9T/0deA7" TargetMode="External"/><Relationship Id="rId55" Type="http://schemas.openxmlformats.org/officeDocument/2006/relationships/theme" Target="theme/theme1.xml"/><Relationship Id="rId7" Type="http://schemas.openxmlformats.org/officeDocument/2006/relationships/hyperlink" Target="https://paperpile.com/c/Gjnr9T/nL4lA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9" Type="http://schemas.openxmlformats.org/officeDocument/2006/relationships/hyperlink" Target="http://paperpile.com/b/Gjnr9T/1gOWv" TargetMode="External"/><Relationship Id="rId11" Type="http://schemas.openxmlformats.org/officeDocument/2006/relationships/image" Target="media/image4.png"/><Relationship Id="rId24" Type="http://schemas.openxmlformats.org/officeDocument/2006/relationships/hyperlink" Target="http://paperpile.com/b/Gjnr9T/1gOWv" TargetMode="External"/><Relationship Id="rId32" Type="http://schemas.openxmlformats.org/officeDocument/2006/relationships/hyperlink" Target="http://paperpile.com/b/Gjnr9T/FA5FC" TargetMode="External"/><Relationship Id="rId37" Type="http://schemas.openxmlformats.org/officeDocument/2006/relationships/hyperlink" Target="http://paperpile.com/b/Gjnr9T/nL4lA" TargetMode="External"/><Relationship Id="rId40" Type="http://schemas.openxmlformats.org/officeDocument/2006/relationships/hyperlink" Target="http://paperpile.com/b/Gjnr9T/nL4lA" TargetMode="External"/><Relationship Id="rId45" Type="http://schemas.openxmlformats.org/officeDocument/2006/relationships/hyperlink" Target="http://paperpile.com/b/Gjnr9T/nJiTS" TargetMode="External"/><Relationship Id="rId53" Type="http://schemas.openxmlformats.org/officeDocument/2006/relationships/hyperlink" Target="http://paperpile.com/b/Gjnr9T/0deA7" TargetMode="External"/><Relationship Id="rId5" Type="http://schemas.openxmlformats.org/officeDocument/2006/relationships/hyperlink" Target="https://paperpile.com/c/Gjnr9T/1gOWv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://paperpile.com/b/Gjnr9T/ZKIDr" TargetMode="External"/><Relationship Id="rId31" Type="http://schemas.openxmlformats.org/officeDocument/2006/relationships/hyperlink" Target="http://paperpile.com/b/Gjnr9T/FA5FC" TargetMode="External"/><Relationship Id="rId44" Type="http://schemas.openxmlformats.org/officeDocument/2006/relationships/hyperlink" Target="http://paperpile.com/b/Gjnr9T/nJiTS" TargetMode="External"/><Relationship Id="rId52" Type="http://schemas.openxmlformats.org/officeDocument/2006/relationships/hyperlink" Target="http://paperpile.com/b/Gjnr9T/0deA7" TargetMode="External"/><Relationship Id="rId4" Type="http://schemas.openxmlformats.org/officeDocument/2006/relationships/hyperlink" Target="https://paperpile.com/c/Gjnr9T/ZKIDr" TargetMode="Externa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yperlink" Target="http://paperpile.com/b/Gjnr9T/ZKIDr" TargetMode="External"/><Relationship Id="rId27" Type="http://schemas.openxmlformats.org/officeDocument/2006/relationships/hyperlink" Target="http://paperpile.com/b/Gjnr9T/1gOWv" TargetMode="External"/><Relationship Id="rId30" Type="http://schemas.openxmlformats.org/officeDocument/2006/relationships/hyperlink" Target="http://paperpile.com/b/Gjnr9T/FA5FC" TargetMode="External"/><Relationship Id="rId35" Type="http://schemas.openxmlformats.org/officeDocument/2006/relationships/hyperlink" Target="http://paperpile.com/b/Gjnr9T/FA5FC" TargetMode="External"/><Relationship Id="rId43" Type="http://schemas.openxmlformats.org/officeDocument/2006/relationships/hyperlink" Target="http://paperpile.com/b/Gjnr9T/nL4lA" TargetMode="External"/><Relationship Id="rId48" Type="http://schemas.openxmlformats.org/officeDocument/2006/relationships/hyperlink" Target="http://paperpile.com/b/Gjnr9T/nJiTS" TargetMode="External"/><Relationship Id="rId8" Type="http://schemas.openxmlformats.org/officeDocument/2006/relationships/image" Target="media/image1.png"/><Relationship Id="rId51" Type="http://schemas.openxmlformats.org/officeDocument/2006/relationships/hyperlink" Target="http://paperpile.com/b/Gjnr9T/0deA7" TargetMode="External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hyperlink" Target="http://paperpile.com/b/Gjnr9T/1gOWv" TargetMode="External"/><Relationship Id="rId33" Type="http://schemas.openxmlformats.org/officeDocument/2006/relationships/hyperlink" Target="http://paperpile.com/b/Gjnr9T/FA5FC" TargetMode="External"/><Relationship Id="rId38" Type="http://schemas.openxmlformats.org/officeDocument/2006/relationships/hyperlink" Target="http://paperpile.com/b/Gjnr9T/nL4lA" TargetMode="External"/><Relationship Id="rId46" Type="http://schemas.openxmlformats.org/officeDocument/2006/relationships/hyperlink" Target="http://paperpile.com/b/Gjnr9T/nJiTS" TargetMode="External"/><Relationship Id="rId20" Type="http://schemas.openxmlformats.org/officeDocument/2006/relationships/hyperlink" Target="http://paperpile.com/b/Gjnr9T/ZKIDr" TargetMode="External"/><Relationship Id="rId41" Type="http://schemas.openxmlformats.org/officeDocument/2006/relationships/hyperlink" Target="http://paperpile.com/b/Gjnr9T/nL4lA" TargetMode="External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paperpile.com/c/Gjnr9T/FA5FC" TargetMode="External"/><Relationship Id="rId15" Type="http://schemas.openxmlformats.org/officeDocument/2006/relationships/image" Target="media/image8.png"/><Relationship Id="rId23" Type="http://schemas.openxmlformats.org/officeDocument/2006/relationships/hyperlink" Target="http://paperpile.com/b/Gjnr9T/1gOWv" TargetMode="External"/><Relationship Id="rId28" Type="http://schemas.openxmlformats.org/officeDocument/2006/relationships/hyperlink" Target="http://paperpile.com/b/Gjnr9T/1gOWv" TargetMode="External"/><Relationship Id="rId36" Type="http://schemas.openxmlformats.org/officeDocument/2006/relationships/hyperlink" Target="http://paperpile.com/b/Gjnr9T/FA5FC" TargetMode="External"/><Relationship Id="rId49" Type="http://schemas.openxmlformats.org/officeDocument/2006/relationships/hyperlink" Target="http://paperpile.com/b/Gjnr9T/0deA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12</Pages>
  <Words>1625</Words>
  <Characters>9267</Characters>
  <Application>Microsoft Office Word</Application>
  <DocSecurity>0</DocSecurity>
  <Lines>77</Lines>
  <Paragraphs>21</Paragraphs>
  <ScaleCrop>false</ScaleCrop>
  <Company/>
  <LinksUpToDate>false</LinksUpToDate>
  <CharactersWithSpaces>10871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Trond Kristiansen</cp:lastModifiedBy>
  <cp:revision>22</cp:revision>
  <dcterms:created xsi:type="dcterms:W3CDTF">2023-04-27T03:09:00Z</dcterms:created>
  <dcterms:modified xsi:type="dcterms:W3CDTF">2023-05-02T04:58:00Z</dcterms:modified>
</cp:coreProperties>
</file>