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Times New Roman" w:hAnsi="Times New Roman" w:cs="Times New Roman"/>
          <w:b/>
          <w:sz w:val="28"/>
          <w:szCs w:val="28"/>
        </w:rPr>
      </w:pPr>
      <w:bookmarkStart w:id="0" w:name="OLE_LINK2"/>
      <w:r>
        <w:rPr>
          <w:rFonts w:ascii="Times New Roman" w:hAnsi="Times New Roman" w:cs="Times New Roman"/>
          <w:b/>
          <w:sz w:val="28"/>
          <w:szCs w:val="28"/>
        </w:rPr>
        <w:t>Supplementary Materials</w:t>
      </w:r>
    </w:p>
    <w:p>
      <w:pPr>
        <w:spacing w:line="276" w:lineRule="auto"/>
        <w:rPr>
          <w:rFonts w:ascii="Times New Roman" w:hAnsi="Times New Roman" w:cs="Times New Roman"/>
          <w:b/>
          <w:sz w:val="24"/>
          <w:szCs w:val="24"/>
        </w:rPr>
      </w:pPr>
      <w:r>
        <w:rPr>
          <w:rFonts w:ascii="Times New Roman" w:hAnsi="Times New Roman" w:cs="Times New Roman"/>
          <w:b/>
          <w:sz w:val="24"/>
          <w:szCs w:val="24"/>
        </w:rPr>
        <w:t>1. Clinical and radiological variables</w:t>
      </w:r>
    </w:p>
    <w:p>
      <w:pPr>
        <w:autoSpaceDE w:val="0"/>
        <w:autoSpaceDN w:val="0"/>
        <w:adjustRightInd w:val="0"/>
        <w:spacing w:line="276"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Clinical variables include age, gender </w:t>
      </w:r>
      <w:r>
        <w:rPr>
          <w:rFonts w:hint="eastAsia" w:ascii="Times New Roman" w:hAnsi="Times New Roman" w:eastAsia="宋体" w:cs="Times New Roman"/>
          <w:kern w:val="0"/>
          <w:sz w:val="24"/>
          <w:szCs w:val="24"/>
        </w:rPr>
        <w:t>and</w:t>
      </w:r>
      <w:bookmarkStart w:id="1" w:name="_Hlk68354138"/>
      <w:r>
        <w:rPr>
          <w:rFonts w:ascii="Times New Roman" w:hAnsi="Times New Roman" w:eastAsia="宋体" w:cs="Times New Roman"/>
          <w:kern w:val="0"/>
          <w:sz w:val="24"/>
          <w:szCs w:val="24"/>
        </w:rPr>
        <w:t>carcinoembryonic antigen (CEA)</w:t>
      </w:r>
      <w:bookmarkEnd w:id="1"/>
      <w:r>
        <w:rPr>
          <w:rFonts w:ascii="Times New Roman" w:hAnsi="Times New Roman" w:eastAsia="宋体" w:cs="Times New Roman"/>
          <w:kern w:val="0"/>
          <w:sz w:val="24"/>
          <w:szCs w:val="24"/>
        </w:rPr>
        <w:t xml:space="preserve">. We considered a CEA level greater than 5 ng/mL as abnormal. </w:t>
      </w:r>
    </w:p>
    <w:p>
      <w:pPr>
        <w:autoSpaceDE w:val="0"/>
        <w:autoSpaceDN w:val="0"/>
        <w:adjustRightInd w:val="0"/>
        <w:spacing w:line="276"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Radiological variables include MRI-based extramural vascular invasion (mrEMVI) status, circumferential resection margin (CRM) status, distance (DIS), radiological tumor (T) stage and lymph node (N) stage.</w:t>
      </w:r>
      <w:bookmarkStart w:id="2" w:name="OLE_LINK23"/>
      <w:r>
        <w:rPr>
          <w:rFonts w:ascii="Times New Roman" w:hAnsi="Times New Roman" w:eastAsia="宋体" w:cs="Times New Roman"/>
          <w:kern w:val="0"/>
          <w:sz w:val="24"/>
          <w:szCs w:val="24"/>
        </w:rPr>
        <w:t xml:space="preserve"> Positive mrEMVI is defined as (a) the presence of tumor signal intensity within a vascular structure, (b) expanded vessels, and (c) tumoral expansion through and beyond the vessel wall, disrupting the vessel border. Positive</w:t>
      </w:r>
      <w:bookmarkEnd w:id="2"/>
      <w:r>
        <w:rPr>
          <w:rFonts w:ascii="Times New Roman" w:hAnsi="Times New Roman" w:eastAsia="宋体" w:cs="Times New Roman"/>
          <w:kern w:val="0"/>
          <w:sz w:val="24"/>
          <w:szCs w:val="24"/>
        </w:rPr>
        <w:t xml:space="preserve"> CRM is defined as the condition when the tumor, lymph node, EMVI, or tumoral deposits are within 1 mm of the meso-rectal fascia. DIS is defined as the distance from the end of the convex edge of the tumor to the edge of the anus. Radiological T staging are divided into T</w:t>
      </w:r>
      <w:r>
        <w:rPr>
          <w:rFonts w:ascii="Times New Roman" w:hAnsi="Times New Roman" w:eastAsia="宋体" w:cs="Times New Roman"/>
          <w:kern w:val="0"/>
          <w:sz w:val="24"/>
          <w:szCs w:val="24"/>
          <w:vertAlign w:val="subscript"/>
        </w:rPr>
        <w:t>1-2</w:t>
      </w:r>
      <w:r>
        <w:rPr>
          <w:rFonts w:ascii="Times New Roman" w:hAnsi="Times New Roman" w:eastAsia="宋体" w:cs="Times New Roman"/>
          <w:kern w:val="0"/>
          <w:sz w:val="24"/>
          <w:szCs w:val="24"/>
        </w:rPr>
        <w:t xml:space="preserve"> and T</w:t>
      </w:r>
      <w:r>
        <w:rPr>
          <w:rFonts w:ascii="Times New Roman" w:hAnsi="Times New Roman" w:eastAsia="宋体" w:cs="Times New Roman"/>
          <w:kern w:val="0"/>
          <w:sz w:val="24"/>
          <w:szCs w:val="24"/>
          <w:vertAlign w:val="subscript"/>
        </w:rPr>
        <w:t>3-4</w:t>
      </w:r>
      <w:r>
        <w:rPr>
          <w:rFonts w:ascii="Times New Roman" w:hAnsi="Times New Roman" w:eastAsia="宋体" w:cs="Times New Roman"/>
          <w:kern w:val="0"/>
          <w:sz w:val="24"/>
          <w:szCs w:val="24"/>
        </w:rPr>
        <w:t>. Lymph node metastasis is defined as (a) the short-axis diameter of suspicious lymph nodes ≥9 mm; (b) short-axis diameter between 5 and 8 mm, with more than two morphologically suspicious features (including irregular border, round shape, and heterogeneous signal); (c) short-axis diameter &lt; 5 mm, with irregular border, round shape, and heterogeneous signal; and (d) all mucinous lymph nodes which showed T</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WI high signal (any size). These standards are widely accepted and applied in routine clinical practice</w:t>
      </w:r>
      <w:r>
        <w:rPr>
          <w:rFonts w:ascii="Times New Roman" w:hAnsi="Times New Roman" w:eastAsia="宋体" w:cs="Times New Roman"/>
          <w:kern w:val="0"/>
          <w:sz w:val="24"/>
          <w:szCs w:val="24"/>
        </w:rPr>
        <w:fldChar w:fldCharType="begin">
          <w:fldData xml:space="preserve">PEVuZE5vdGU+PENpdGU+PEF1dGhvcj5Ib3J2YXQ8L0F1dGhvcj48WWVhcj4yMDE5PC9ZZWFyPjxS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</w:fldData>
        </w:fldChar>
      </w:r>
      <w:r>
        <w:rPr>
          <w:rFonts w:ascii="Times New Roman" w:hAnsi="Times New Roman" w:eastAsia="宋体" w:cs="Times New Roman"/>
          <w:kern w:val="0"/>
          <w:sz w:val="24"/>
          <w:szCs w:val="24"/>
        </w:rPr>
        <w:instrText xml:space="preserve"> ADDIN EN.CITE </w:instrText>
      </w:r>
      <w:r>
        <w:rPr>
          <w:rFonts w:ascii="Times New Roman" w:hAnsi="Times New Roman" w:eastAsia="宋体" w:cs="Times New Roman"/>
          <w:kern w:val="0"/>
          <w:sz w:val="24"/>
          <w:szCs w:val="24"/>
        </w:rPr>
        <w:fldChar w:fldCharType="begin">
          <w:fldData xml:space="preserve">PEVuZE5vdGU+PENpdGU+PEF1dGhvcj5Ib3J2YXQ8L0F1dGhvcj48WWVhcj4yMDE5PC9ZZWFyPjxS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</w:fldData>
        </w:fldChar>
      </w:r>
      <w:r>
        <w:rPr>
          <w:rFonts w:ascii="Times New Roman" w:hAnsi="Times New Roman" w:eastAsia="宋体" w:cs="Times New Roman"/>
          <w:kern w:val="0"/>
          <w:sz w:val="24"/>
          <w:szCs w:val="24"/>
        </w:rPr>
        <w:instrText xml:space="preserve"> ADDIN EN.CITE.DATA </w:instrTex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fldChar w:fldCharType="separate"/>
      </w:r>
      <w:r>
        <w:rPr>
          <w:rFonts w:ascii="Times New Roman" w:hAnsi="Times New Roman" w:eastAsia="宋体" w:cs="Times New Roman"/>
          <w:kern w:val="0"/>
          <w:sz w:val="24"/>
          <w:szCs w:val="24"/>
        </w:rPr>
        <w:t>[1, 2]</w:t>
      </w:r>
      <w:r>
        <w:rPr>
          <w:rFonts w:ascii="Times New Roman" w:hAnsi="Times New Roman" w:eastAsia="宋体" w:cs="Times New Roman"/>
          <w:kern w:val="0"/>
          <w:sz w:val="24"/>
          <w:szCs w:val="24"/>
        </w:rPr>
        <w:fldChar w:fldCharType="end"/>
      </w:r>
      <w:r>
        <w:rPr>
          <w:rFonts w:ascii="Times New Roman" w:hAnsi="Times New Roman" w:eastAsia="宋体" w:cs="Times New Roman"/>
          <w:kern w:val="0"/>
          <w:sz w:val="24"/>
          <w:szCs w:val="24"/>
        </w:rPr>
        <w:t>.</w:t>
      </w:r>
    </w:p>
    <w:p>
      <w:pPr>
        <w:autoSpaceDE w:val="0"/>
        <w:autoSpaceDN w:val="0"/>
        <w:adjustRightInd w:val="0"/>
        <w:spacing w:line="276" w:lineRule="auto"/>
        <w:rPr>
          <w:rFonts w:ascii="Times New Roman" w:hAnsi="Times New Roman" w:eastAsia="华文宋体" w:cs="Times New Roman"/>
          <w:sz w:val="24"/>
        </w:rPr>
      </w:pPr>
    </w:p>
    <w:p>
      <w:pPr>
        <w:autoSpaceDE w:val="0"/>
        <w:autoSpaceDN w:val="0"/>
        <w:adjustRightInd w:val="0"/>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2. </w:t>
      </w:r>
      <w:bookmarkStart w:id="3" w:name="_Hlk80020305"/>
      <w:r>
        <w:rPr>
          <w:rFonts w:ascii="Times New Roman" w:hAnsi="Times New Roman" w:cs="Times New Roman"/>
          <w:b/>
          <w:bCs/>
          <w:sz w:val="24"/>
          <w:szCs w:val="24"/>
        </w:rPr>
        <w:t>MRI scan</w:t>
      </w:r>
    </w:p>
    <w:p>
      <w:pPr>
        <w:autoSpaceDE w:val="0"/>
        <w:autoSpaceDN w:val="0"/>
        <w:adjustRightInd w:val="0"/>
        <w:ind w:firstLine="482" w:firstLineChars="200"/>
        <w:jc w:val="left"/>
        <w:rPr>
          <w:rFonts w:ascii="Times New Roman" w:hAnsi="Times New Roman" w:cs="Times New Roman"/>
          <w:sz w:val="24"/>
          <w:szCs w:val="24"/>
        </w:rPr>
      </w:pP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 xml:space="preserve">All patients underwent placental MRI using 3.0T MR image systems, either with (Skyra; Siemens Healthineers) equipped with an 8-channel phased-array coil in supine position. </w:t>
      </w:r>
      <w:r>
        <w:rPr>
          <w:rFonts w:ascii="Times New Roman" w:hAnsi="Times New Roman" w:eastAsia="宋体" w:cs="Times New Roman"/>
          <w:kern w:val="0"/>
          <w:sz w:val="24"/>
          <w:szCs w:val="24"/>
        </w:rPr>
        <w:t xml:space="preserve">The MRI sequences including (1) Sagittal T2WI, (2) Axial T2 blade TSE, (3) Axial resolve DWI, (4) Enhanced T1WI. The intravenous injection of Gadolinium contrast agent (Magnevist, Bayer, Germany) </w:t>
      </w:r>
      <w:r>
        <w:rPr>
          <w:rFonts w:ascii="Times New Roman" w:hAnsi="Times New Roman" w:cs="Times New Roman"/>
          <w:sz w:val="24"/>
          <w:szCs w:val="24"/>
        </w:rPr>
        <w:t>were performed for each patient.</w:t>
      </w:r>
      <w:r>
        <w:rPr>
          <w:rFonts w:ascii="Times New Roman" w:hAnsi="Times New Roman" w:eastAsia="宋体" w:cs="Times New Roman"/>
          <w:kern w:val="0"/>
          <w:sz w:val="24"/>
          <w:szCs w:val="24"/>
        </w:rPr>
        <w:t xml:space="preserve"> </w:t>
      </w:r>
      <w:r>
        <w:rPr>
          <w:rFonts w:ascii="Times New Roman" w:hAnsi="Times New Roman" w:cs="Times New Roman"/>
          <w:sz w:val="24"/>
          <w:szCs w:val="24"/>
        </w:rPr>
        <w:t>The detailed parameters for each sequence were illustrated in Table S1.</w:t>
      </w:r>
    </w:p>
    <w:p>
      <w:pPr>
        <w:autoSpaceDE w:val="0"/>
        <w:autoSpaceDN w:val="0"/>
        <w:adjustRightInd w:val="0"/>
        <w:spacing w:line="276" w:lineRule="auto"/>
        <w:rPr>
          <w:rFonts w:ascii="Times New Roman" w:hAnsi="Times New Roman" w:cs="Times New Roman"/>
          <w:b/>
          <w:bCs/>
          <w:sz w:val="24"/>
          <w:szCs w:val="24"/>
        </w:rPr>
      </w:pPr>
    </w:p>
    <w:bookmarkEnd w:id="3"/>
    <w:p>
      <w:pPr>
        <w:autoSpaceDE w:val="0"/>
        <w:autoSpaceDN w:val="0"/>
        <w:adjustRightInd w:val="0"/>
        <w:spacing w:line="276" w:lineRule="auto"/>
        <w:jc w:val="center"/>
        <w:rPr>
          <w:rFonts w:ascii="Times New Roman" w:hAnsi="Times New Roman" w:eastAsia="宋体" w:cs="Times New Roman"/>
          <w:kern w:val="0"/>
          <w:sz w:val="24"/>
          <w:szCs w:val="24"/>
        </w:rPr>
      </w:pPr>
      <w:r>
        <w:rPr>
          <w:rFonts w:ascii="Times New Roman" w:hAnsi="Times New Roman" w:cs="Times New Roman"/>
          <w:b/>
          <w:sz w:val="24"/>
          <w:szCs w:val="24"/>
        </w:rPr>
        <w:t>Table S1.</w:t>
      </w:r>
      <w:r>
        <w:rPr>
          <w:rFonts w:ascii="Times New Roman" w:hAnsi="Times New Roman" w:cs="Times New Roman"/>
          <w:sz w:val="24"/>
          <w:szCs w:val="24"/>
        </w:rPr>
        <w:t xml:space="preserve"> MRI parameters of each sequence</w:t>
      </w:r>
    </w:p>
    <w:tbl>
      <w:tblPr>
        <w:tblStyle w:val="7"/>
        <w:tblW w:w="10774" w:type="dxa"/>
        <w:jc w:val="center"/>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1276"/>
        <w:gridCol w:w="1417"/>
        <w:gridCol w:w="709"/>
        <w:gridCol w:w="851"/>
        <w:gridCol w:w="1134"/>
        <w:gridCol w:w="1276"/>
        <w:gridCol w:w="1701"/>
        <w:gridCol w:w="1134"/>
      </w:tblGrid>
      <w:tr>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1276" w:type="dxa"/>
            <w:tcBorders>
              <w:top w:val="single" w:color="auto" w:sz="12" w:space="0"/>
              <w:bottom w:val="single" w:color="auto" w:sz="12" w:space="0"/>
            </w:tcBorders>
            <w:vAlign w:val="center"/>
          </w:tcPr>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Scanner</w:t>
            </w:r>
          </w:p>
        </w:tc>
        <w:tc>
          <w:tcPr>
            <w:tcW w:w="1276" w:type="dxa"/>
            <w:tcBorders>
              <w:top w:val="single" w:color="auto" w:sz="12" w:space="0"/>
              <w:bottom w:val="single" w:color="auto" w:sz="12" w:space="0"/>
            </w:tcBorders>
            <w:vAlign w:val="center"/>
          </w:tcPr>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Sequence</w:t>
            </w:r>
          </w:p>
        </w:tc>
        <w:tc>
          <w:tcPr>
            <w:tcW w:w="1417" w:type="dxa"/>
            <w:tcBorders>
              <w:top w:val="single" w:color="auto" w:sz="12" w:space="0"/>
              <w:bottom w:val="single" w:color="auto" w:sz="12" w:space="0"/>
            </w:tcBorders>
            <w:vAlign w:val="center"/>
          </w:tcPr>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Orientation</w:t>
            </w:r>
          </w:p>
        </w:tc>
        <w:tc>
          <w:tcPr>
            <w:tcW w:w="709" w:type="dxa"/>
            <w:tcBorders>
              <w:top w:val="single" w:color="auto" w:sz="12" w:space="0"/>
              <w:bottom w:val="single" w:color="auto" w:sz="12" w:space="0"/>
            </w:tcBorders>
            <w:vAlign w:val="center"/>
          </w:tcPr>
          <w:p>
            <w:pPr>
              <w:spacing w:line="27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TR</w:t>
            </w:r>
          </w:p>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(ms)</w:t>
            </w:r>
          </w:p>
        </w:tc>
        <w:tc>
          <w:tcPr>
            <w:tcW w:w="851" w:type="dxa"/>
            <w:tcBorders>
              <w:top w:val="single" w:color="auto" w:sz="12" w:space="0"/>
              <w:bottom w:val="single" w:color="auto" w:sz="12" w:space="0"/>
            </w:tcBorders>
            <w:vAlign w:val="center"/>
          </w:tcPr>
          <w:p>
            <w:pPr>
              <w:spacing w:line="27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TE</w:t>
            </w:r>
          </w:p>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(ms)</w:t>
            </w:r>
          </w:p>
        </w:tc>
        <w:tc>
          <w:tcPr>
            <w:tcW w:w="1134" w:type="dxa"/>
            <w:tcBorders>
              <w:top w:val="single" w:color="auto" w:sz="12" w:space="0"/>
              <w:bottom w:val="single" w:color="auto" w:sz="12" w:space="0"/>
            </w:tcBorders>
            <w:vAlign w:val="center"/>
          </w:tcPr>
          <w:p>
            <w:pPr>
              <w:spacing w:line="27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F</w:t>
            </w:r>
            <w:r>
              <w:rPr>
                <w:rFonts w:ascii="Times New Roman" w:hAnsi="Times New Roman" w:cs="Times New Roman"/>
                <w:b/>
                <w:color w:val="000000" w:themeColor="text1"/>
                <w:sz w:val="24"/>
                <w:szCs w:val="24"/>
                <w14:textFill>
                  <w14:solidFill>
                    <w14:schemeClr w14:val="tx1"/>
                  </w14:solidFill>
                </w14:textFill>
              </w:rPr>
              <w:t>OV</w:t>
            </w:r>
          </w:p>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(mm</w:t>
            </w:r>
            <w:r>
              <w:rPr>
                <w:rFonts w:ascii="Times New Roman" w:hAnsi="Times New Roman" w:cs="Times New Roman"/>
                <w:b/>
                <w:color w:val="000000" w:themeColor="text1"/>
                <w:sz w:val="24"/>
                <w:szCs w:val="24"/>
                <w:vertAlign w:val="superscript"/>
                <w14:textFill>
                  <w14:solidFill>
                    <w14:schemeClr w14:val="tx1"/>
                  </w14:solidFill>
                </w14:textFill>
              </w:rPr>
              <w:t>2</w:t>
            </w:r>
            <w:r>
              <w:rPr>
                <w:rFonts w:ascii="Times New Roman" w:hAnsi="Times New Roman" w:eastAsia="宋体" w:cs="Times New Roman"/>
                <w:b/>
                <w:color w:val="000000" w:themeColor="text1"/>
                <w:sz w:val="24"/>
                <w:szCs w:val="24"/>
                <w14:textFill>
                  <w14:solidFill>
                    <w14:schemeClr w14:val="tx1"/>
                  </w14:solidFill>
                </w14:textFill>
              </w:rPr>
              <w:t>)</w:t>
            </w:r>
          </w:p>
        </w:tc>
        <w:tc>
          <w:tcPr>
            <w:tcW w:w="1276" w:type="dxa"/>
            <w:tcBorders>
              <w:top w:val="single" w:color="auto" w:sz="12" w:space="0"/>
              <w:bottom w:val="single" w:color="auto" w:sz="12" w:space="0"/>
            </w:tcBorders>
            <w:vAlign w:val="center"/>
          </w:tcPr>
          <w:p>
            <w:pPr>
              <w:spacing w:line="27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Thickness</w:t>
            </w:r>
          </w:p>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(mm)</w:t>
            </w:r>
          </w:p>
        </w:tc>
        <w:tc>
          <w:tcPr>
            <w:tcW w:w="1701" w:type="dxa"/>
            <w:tcBorders>
              <w:top w:val="single" w:color="auto" w:sz="12" w:space="0"/>
              <w:bottom w:val="single" w:color="auto" w:sz="12" w:space="0"/>
            </w:tcBorders>
            <w:vAlign w:val="center"/>
          </w:tcPr>
          <w:p>
            <w:pPr>
              <w:spacing w:line="27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I</w:t>
            </w:r>
            <w:r>
              <w:rPr>
                <w:rFonts w:ascii="Times New Roman" w:hAnsi="Times New Roman" w:eastAsia="宋体" w:cs="Times New Roman"/>
                <w:b/>
                <w:color w:val="000000" w:themeColor="text1"/>
                <w:kern w:val="0"/>
                <w:sz w:val="24"/>
                <w:szCs w:val="24"/>
                <w14:textFill>
                  <w14:solidFill>
                    <w14:schemeClr w14:val="tx1"/>
                  </w14:solidFill>
                </w14:textFill>
              </w:rPr>
              <w:t>nterslice gap</w:t>
            </w:r>
          </w:p>
          <w:p>
            <w:pPr>
              <w:spacing w:line="276" w:lineRule="auto"/>
              <w:jc w:val="center"/>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b/>
                <w:color w:val="000000" w:themeColor="text1"/>
                <w:sz w:val="24"/>
                <w:szCs w:val="24"/>
                <w14:textFill>
                  <w14:solidFill>
                    <w14:schemeClr w14:val="tx1"/>
                  </w14:solidFill>
                </w14:textFill>
              </w:rPr>
              <w:t>(mm)</w:t>
            </w:r>
          </w:p>
        </w:tc>
        <w:tc>
          <w:tcPr>
            <w:tcW w:w="1134" w:type="dxa"/>
            <w:tcBorders>
              <w:top w:val="single" w:color="auto" w:sz="12" w:space="0"/>
              <w:bottom w:val="single" w:color="auto" w:sz="12" w:space="0"/>
            </w:tcBorders>
            <w:vAlign w:val="center"/>
          </w:tcPr>
          <w:p>
            <w:pPr>
              <w:spacing w:line="276" w:lineRule="auto"/>
              <w:jc w:val="center"/>
              <w:rPr>
                <w:rFonts w:ascii="Times New Roman" w:hAnsi="Times New Roman" w:eastAsia="宋体" w:cs="Times New Roman"/>
                <w:b/>
                <w:bCs/>
                <w:color w:val="000000" w:themeColor="text1"/>
                <w:sz w:val="24"/>
                <w:szCs w:val="24"/>
                <w14:textFill>
                  <w14:solidFill>
                    <w14:schemeClr w14:val="tx1"/>
                  </w14:solidFill>
                </w14:textFill>
              </w:rPr>
            </w:pPr>
            <w:r>
              <w:rPr>
                <w:rFonts w:ascii="Times New Roman" w:hAnsi="Times New Roman" w:eastAsia="宋体" w:cs="Times New Roman"/>
                <w:b/>
                <w:bCs/>
                <w:sz w:val="24"/>
                <w:szCs w:val="24"/>
              </w:rPr>
              <w:t>Matrix</w:t>
            </w:r>
          </w:p>
        </w:tc>
      </w:tr>
      <w:tr>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276" w:type="dxa"/>
            <w:vMerge w:val="restart"/>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SIEMENS 3.0T</w:t>
            </w:r>
          </w:p>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(Skyra)</w:t>
            </w: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T</w:t>
            </w:r>
            <w:r>
              <w:rPr>
                <w:rFonts w:ascii="Times New Roman" w:hAnsi="Times New Roman" w:eastAsia="宋体" w:cs="Times New Roman"/>
                <w:color w:val="000000" w:themeColor="text1"/>
                <w:sz w:val="24"/>
                <w:szCs w:val="24"/>
                <w:vertAlign w:val="subscript"/>
                <w14:textFill>
                  <w14:solidFill>
                    <w14:schemeClr w14:val="tx1"/>
                  </w14:solidFill>
                </w14:textFill>
              </w:rPr>
              <w:t>2</w:t>
            </w:r>
            <w:r>
              <w:rPr>
                <w:rFonts w:ascii="Times New Roman" w:hAnsi="Times New Roman" w:eastAsia="宋体" w:cs="Times New Roman"/>
                <w:color w:val="000000" w:themeColor="text1"/>
                <w:sz w:val="24"/>
                <w:szCs w:val="24"/>
                <w14:textFill>
                  <w14:solidFill>
                    <w14:schemeClr w14:val="tx1"/>
                  </w14:solidFill>
                </w14:textFill>
              </w:rPr>
              <w:t>WI</w:t>
            </w:r>
          </w:p>
        </w:tc>
        <w:tc>
          <w:tcPr>
            <w:tcW w:w="1417" w:type="dxa"/>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Sagittal</w:t>
            </w:r>
          </w:p>
        </w:tc>
        <w:tc>
          <w:tcPr>
            <w:tcW w:w="709"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6060</w:t>
            </w:r>
          </w:p>
        </w:tc>
        <w:tc>
          <w:tcPr>
            <w:tcW w:w="85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90</w:t>
            </w:r>
          </w:p>
        </w:tc>
        <w:tc>
          <w:tcPr>
            <w:tcW w:w="1134" w:type="dxa"/>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180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180</w:t>
            </w: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w:t>
            </w:r>
          </w:p>
        </w:tc>
        <w:tc>
          <w:tcPr>
            <w:tcW w:w="170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0.6</w:t>
            </w:r>
          </w:p>
        </w:tc>
        <w:tc>
          <w:tcPr>
            <w:tcW w:w="1134"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320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224</w:t>
            </w:r>
          </w:p>
        </w:tc>
      </w:tr>
      <w:tr>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6" w:type="dxa"/>
            <w:vMerge w:val="continue"/>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T</w:t>
            </w:r>
            <w:r>
              <w:rPr>
                <w:rFonts w:ascii="Times New Roman" w:hAnsi="Times New Roman" w:eastAsia="宋体" w:cs="Times New Roman"/>
                <w:color w:val="000000" w:themeColor="text1"/>
                <w:sz w:val="24"/>
                <w:szCs w:val="24"/>
                <w:vertAlign w:val="sub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WI</w:t>
            </w:r>
          </w:p>
        </w:tc>
        <w:tc>
          <w:tcPr>
            <w:tcW w:w="1417" w:type="dxa"/>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Axial</w:t>
            </w:r>
          </w:p>
        </w:tc>
        <w:tc>
          <w:tcPr>
            <w:tcW w:w="709"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4790</w:t>
            </w:r>
          </w:p>
        </w:tc>
        <w:tc>
          <w:tcPr>
            <w:tcW w:w="85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134</w:t>
            </w:r>
          </w:p>
        </w:tc>
        <w:tc>
          <w:tcPr>
            <w:tcW w:w="1134" w:type="dxa"/>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200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200</w:t>
            </w: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w:t>
            </w:r>
          </w:p>
        </w:tc>
        <w:tc>
          <w:tcPr>
            <w:tcW w:w="170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0.6</w:t>
            </w:r>
          </w:p>
        </w:tc>
        <w:tc>
          <w:tcPr>
            <w:tcW w:w="1134"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384</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451</w:t>
            </w:r>
          </w:p>
        </w:tc>
      </w:tr>
      <w:tr>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6" w:type="dxa"/>
            <w:vMerge w:val="continue"/>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T</w:t>
            </w:r>
            <w:r>
              <w:rPr>
                <w:rFonts w:ascii="Times New Roman" w:hAnsi="Times New Roman" w:eastAsia="宋体" w:cs="Times New Roman"/>
                <w:color w:val="000000" w:themeColor="text1"/>
                <w:sz w:val="24"/>
                <w:szCs w:val="24"/>
                <w:vertAlign w:val="subscript"/>
                <w14:textFill>
                  <w14:solidFill>
                    <w14:schemeClr w14:val="tx1"/>
                  </w14:solidFill>
                </w14:textFill>
              </w:rPr>
              <w:t>1</w:t>
            </w:r>
            <w:r>
              <w:rPr>
                <w:rFonts w:ascii="Times New Roman" w:hAnsi="Times New Roman" w:eastAsia="宋体" w:cs="Times New Roman"/>
                <w:color w:val="000000" w:themeColor="text1"/>
                <w:sz w:val="24"/>
                <w:szCs w:val="24"/>
                <w14:textFill>
                  <w14:solidFill>
                    <w14:schemeClr w14:val="tx1"/>
                  </w14:solidFill>
                </w14:textFill>
              </w:rPr>
              <w:t>WI</w:t>
            </w:r>
          </w:p>
        </w:tc>
        <w:tc>
          <w:tcPr>
            <w:tcW w:w="1417" w:type="dxa"/>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Axial</w:t>
            </w:r>
          </w:p>
        </w:tc>
        <w:tc>
          <w:tcPr>
            <w:tcW w:w="709"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662</w:t>
            </w:r>
          </w:p>
        </w:tc>
        <w:tc>
          <w:tcPr>
            <w:tcW w:w="85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9.6</w:t>
            </w:r>
          </w:p>
        </w:tc>
        <w:tc>
          <w:tcPr>
            <w:tcW w:w="1134" w:type="dxa"/>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180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180</w:t>
            </w: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w:t>
            </w:r>
          </w:p>
        </w:tc>
        <w:tc>
          <w:tcPr>
            <w:tcW w:w="170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0.6</w:t>
            </w:r>
          </w:p>
        </w:tc>
        <w:tc>
          <w:tcPr>
            <w:tcW w:w="1134"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320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224</w:t>
            </w:r>
          </w:p>
        </w:tc>
      </w:tr>
      <w:tr>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6" w:type="dxa"/>
            <w:vMerge w:val="continue"/>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p>
        </w:tc>
        <w:tc>
          <w:tcPr>
            <w:tcW w:w="1276" w:type="dxa"/>
            <w:shd w:val="clear" w:color="auto" w:fill="auto"/>
            <w:vAlign w:val="center"/>
          </w:tcPr>
          <w:p>
            <w:pPr>
              <w:spacing w:line="276" w:lineRule="auto"/>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z w:val="24"/>
                <w:szCs w:val="24"/>
                <w:lang w:val="en-US" w:eastAsia="zh-CN"/>
              </w:rPr>
              <w:t>DWI</w:t>
            </w:r>
          </w:p>
        </w:tc>
        <w:tc>
          <w:tcPr>
            <w:tcW w:w="1417" w:type="dxa"/>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Axial</w:t>
            </w:r>
          </w:p>
        </w:tc>
        <w:tc>
          <w:tcPr>
            <w:tcW w:w="709"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7330</w:t>
            </w:r>
          </w:p>
        </w:tc>
        <w:tc>
          <w:tcPr>
            <w:tcW w:w="85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56</w:t>
            </w:r>
            <w:r>
              <w:rPr>
                <w:rFonts w:ascii="Times New Roman" w:hAnsi="Times New Roman" w:cs="Times New Roman"/>
                <w:color w:val="000000" w:themeColor="text1"/>
                <w:sz w:val="24"/>
                <w:szCs w:val="24"/>
                <w14:textFill>
                  <w14:solidFill>
                    <w14:schemeClr w14:val="tx1"/>
                  </w14:solidFill>
                </w14:textFill>
              </w:rPr>
              <w:t>.0</w:t>
            </w:r>
          </w:p>
        </w:tc>
        <w:tc>
          <w:tcPr>
            <w:tcW w:w="1134" w:type="dxa"/>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200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200</w:t>
            </w: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w:t>
            </w:r>
          </w:p>
        </w:tc>
        <w:tc>
          <w:tcPr>
            <w:tcW w:w="170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0.8</w:t>
            </w:r>
          </w:p>
        </w:tc>
        <w:tc>
          <w:tcPr>
            <w:tcW w:w="1134"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112</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100</w:t>
            </w:r>
          </w:p>
        </w:tc>
      </w:tr>
      <w:tr>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6" w:type="dxa"/>
            <w:vMerge w:val="continue"/>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cs="Times New Roman"/>
                <w:sz w:val="24"/>
                <w:szCs w:val="24"/>
              </w:rPr>
              <w:t>T</w:t>
            </w:r>
            <w:r>
              <w:rPr>
                <w:rFonts w:ascii="Times New Roman" w:hAnsi="Times New Roman" w:cs="Times New Roman"/>
                <w:sz w:val="24"/>
                <w:szCs w:val="24"/>
                <w:vertAlign w:val="subscript"/>
              </w:rPr>
              <w:t>1</w:t>
            </w:r>
            <w:r>
              <w:rPr>
                <w:rFonts w:ascii="Times New Roman" w:hAnsi="Times New Roman" w:cs="Times New Roman"/>
                <w:sz w:val="24"/>
                <w:szCs w:val="24"/>
              </w:rPr>
              <w:t>CE</w:t>
            </w:r>
          </w:p>
        </w:tc>
        <w:tc>
          <w:tcPr>
            <w:tcW w:w="1417" w:type="dxa"/>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Axial</w:t>
            </w:r>
          </w:p>
        </w:tc>
        <w:tc>
          <w:tcPr>
            <w:tcW w:w="709"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616</w:t>
            </w:r>
          </w:p>
        </w:tc>
        <w:tc>
          <w:tcPr>
            <w:tcW w:w="85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9.6</w:t>
            </w:r>
          </w:p>
        </w:tc>
        <w:tc>
          <w:tcPr>
            <w:tcW w:w="1134" w:type="dxa"/>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180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180</w:t>
            </w:r>
          </w:p>
        </w:tc>
        <w:tc>
          <w:tcPr>
            <w:tcW w:w="1276"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w:t>
            </w:r>
          </w:p>
        </w:tc>
        <w:tc>
          <w:tcPr>
            <w:tcW w:w="1701"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0.6</w:t>
            </w:r>
          </w:p>
        </w:tc>
        <w:tc>
          <w:tcPr>
            <w:tcW w:w="1134" w:type="dxa"/>
            <w:shd w:val="clear" w:color="auto" w:fill="auto"/>
            <w:vAlign w:val="center"/>
          </w:tcPr>
          <w:p>
            <w:pPr>
              <w:spacing w:line="276"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320</w:t>
            </w:r>
            <w:r>
              <w:rPr>
                <w:rFonts w:ascii="Times New Roman" w:hAnsi="Times New Roman" w:eastAsia="宋体" w:cs="Times New Roman"/>
                <w:color w:val="000000" w:themeColor="text1"/>
                <w:sz w:val="24"/>
                <w:szCs w:val="24"/>
                <w14:textFill>
                  <w14:solidFill>
                    <w14:schemeClr w14:val="tx1"/>
                  </w14:solidFill>
                </w14:textFill>
              </w:rPr>
              <w:sym w:font="Symbol" w:char="F0B4"/>
            </w:r>
            <w:r>
              <w:rPr>
                <w:rFonts w:ascii="Times New Roman" w:hAnsi="Times New Roman" w:eastAsia="宋体" w:cs="Times New Roman"/>
                <w:color w:val="000000" w:themeColor="text1"/>
                <w:sz w:val="24"/>
                <w:szCs w:val="24"/>
                <w14:textFill>
                  <w14:solidFill>
                    <w14:schemeClr w14:val="tx1"/>
                  </w14:solidFill>
                </w14:textFill>
              </w:rPr>
              <w:t>224</w:t>
            </w:r>
          </w:p>
        </w:tc>
      </w:tr>
    </w:tbl>
    <w:p>
      <w:pPr>
        <w:autoSpaceDE w:val="0"/>
        <w:autoSpaceDN w:val="0"/>
        <w:adjustRightInd w:val="0"/>
        <w:spacing w:line="276" w:lineRule="auto"/>
        <w:ind w:firstLine="420" w:firstLineChars="200"/>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Note. TR, repetition time; TE, echo time; FOV, field of view.</w:t>
      </w:r>
      <w:r>
        <w:rPr>
          <w:rFonts w:ascii="Times New Roman" w:hAnsi="Times New Roman" w:eastAsia="等线" w:cs="Times New Roman"/>
          <w:color w:val="000000"/>
          <w:kern w:val="0"/>
          <w:szCs w:val="21"/>
        </w:rPr>
        <w:br w:type="page"/>
      </w:r>
    </w:p>
    <w:p>
      <w:pPr>
        <w:tabs>
          <w:tab w:val="left" w:pos="312"/>
        </w:tabs>
        <w:spacing w:line="276" w:lineRule="auto"/>
        <w:rPr>
          <w:rFonts w:ascii="Times New Roman" w:hAnsi="Times New Roman" w:cs="Times New Roman"/>
          <w:b/>
          <w:bCs/>
          <w:sz w:val="24"/>
          <w:szCs w:val="24"/>
        </w:rPr>
      </w:pPr>
      <w:r>
        <w:rPr>
          <w:rFonts w:ascii="Times New Roman" w:hAnsi="Times New Roman" w:cs="Times New Roman"/>
          <w:b/>
          <w:bCs/>
          <w:sz w:val="24"/>
          <w:szCs w:val="24"/>
        </w:rPr>
        <w:t>3. Image preprocessing and segmentation</w:t>
      </w:r>
    </w:p>
    <w:p>
      <w:pPr>
        <w:widowControl/>
        <w:adjustRightInd w:val="0"/>
        <w:snapToGrid w:val="0"/>
        <w:spacing w:line="276" w:lineRule="auto"/>
        <w:ind w:firstLine="480" w:firstLineChars="200"/>
        <w:rPr>
          <w:rFonts w:ascii="Times New Roman" w:hAnsi="Times New Roman" w:cs="Times New Roman"/>
          <w:kern w:val="0"/>
          <w:sz w:val="24"/>
          <w:szCs w:val="24"/>
        </w:rPr>
      </w:pPr>
      <w:bookmarkStart w:id="4" w:name="_Hlk80083249"/>
      <w:r>
        <w:rPr>
          <w:rFonts w:ascii="Times New Roman" w:hAnsi="Times New Roman" w:cs="Times New Roman"/>
          <w:sz w:val="24"/>
          <w:szCs w:val="24"/>
        </w:rPr>
        <w:t>Image preprocessing including resample, intensity normalization and gray-level discretization were performed with AK</w:t>
      </w:r>
      <w:r>
        <w:rPr>
          <w:rFonts w:ascii="Times New Roman" w:hAnsi="Times New Roman" w:eastAsia="宋体" w:cs="Times New Roman"/>
          <w:kern w:val="0"/>
          <w:sz w:val="24"/>
          <w:szCs w:val="24"/>
        </w:rPr>
        <w:t xml:space="preserve"> software</w:t>
      </w:r>
      <w:bookmarkEnd w:id="4"/>
      <w:r>
        <w:rPr>
          <w:rFonts w:ascii="Times New Roman" w:hAnsi="Times New Roman" w:eastAsia="宋体" w:cs="Times New Roman"/>
          <w:kern w:val="0"/>
          <w:sz w:val="24"/>
          <w:szCs w:val="24"/>
        </w:rPr>
        <w:t xml:space="preserve"> (Analysis Kit, GE Healthcare). To be more specific, image preprocessing was performed by resampling the images with a resolution of 1×1×1 mm</w:t>
      </w:r>
      <w:r>
        <w:rPr>
          <w:rFonts w:ascii="Times New Roman" w:hAnsi="Times New Roman" w:eastAsia="宋体" w:cs="Times New Roman"/>
          <w:kern w:val="0"/>
          <w:sz w:val="24"/>
          <w:szCs w:val="24"/>
          <w:vertAlign w:val="superscript"/>
        </w:rPr>
        <w:t>3</w:t>
      </w:r>
      <w:r>
        <w:rPr>
          <w:rFonts w:ascii="Times New Roman" w:hAnsi="Times New Roman" w:eastAsia="宋体" w:cs="Times New Roman"/>
          <w:kern w:val="0"/>
          <w:sz w:val="24"/>
          <w:szCs w:val="24"/>
        </w:rPr>
        <w:t xml:space="preserve"> through the linear interpolation method and by discretizing and normalizing the image gray level to order 32. </w:t>
      </w:r>
      <w:r>
        <w:rPr>
          <w:rFonts w:ascii="Times New Roman" w:hAnsi="Times New Roman" w:cs="Times New Roman"/>
          <w:sz w:val="24"/>
          <w:szCs w:val="24"/>
          <w:lang w:bidi="ar"/>
        </w:rPr>
        <w:t xml:space="preserve">Extracted texture features were standardized, which removed the unit limits of the data of each feature and converted it into a dimensionless pure value. This allowed the indexes of different units or orders to be compared and weighted. </w:t>
      </w:r>
      <w:r>
        <w:rPr>
          <w:rFonts w:ascii="Times New Roman" w:hAnsi="Times New Roman" w:cs="Times New Roman"/>
          <w:kern w:val="0"/>
          <w:sz w:val="24"/>
          <w:szCs w:val="24"/>
        </w:rPr>
        <w:t>We used a z-score</w:t>
      </w:r>
      <w:r>
        <w:rPr>
          <w:rFonts w:ascii="Times New Roman" w:hAnsi="Times New Roman" w:cs="Times New Roman"/>
          <w:sz w:val="24"/>
          <w:szCs w:val="24"/>
        </w:rPr>
        <w:t xml:space="preserve"> </w:t>
      </w:r>
      <w:r>
        <w:rPr>
          <w:rFonts w:ascii="Times New Roman" w:hAnsi="Times New Roman" w:cs="Times New Roman"/>
          <w:kern w:val="0"/>
          <w:sz w:val="24"/>
          <w:szCs w:val="24"/>
        </w:rPr>
        <w:t xml:space="preserve">normalization to make the image intensities fit a standard normal distribution with </w:t>
      </w:r>
      <w:r>
        <w:rPr>
          <w:rFonts w:ascii="Times New Roman" w:hAnsi="Times New Roman" w:cs="Times New Roman"/>
          <w:position w:val="-10"/>
          <w:sz w:val="24"/>
          <w:szCs w:val="24"/>
        </w:rPr>
        <w:object>
          <v:shape id="_x0000_i1025" o:spt="75" type="#_x0000_t75" style="height:16.8pt;width:24.6pt;" o:ole="t" filled="f" o:preferrelative="t" stroked="f" coordsize="21600,21600">
            <v:path/>
            <v:fill on="f" focussize="0,0"/>
            <v:stroke on="f" joinstyle="miter"/>
            <v:imagedata r:id="rId5" o:title=""/>
            <o:lock v:ext="edit" aspectratio="t"/>
            <w10:wrap type="none"/>
            <w10:anchorlock/>
          </v:shape>
          <o:OLEObject Type="Embed" ProgID="Equation.DSMT4" ShapeID="_x0000_i1025" DrawAspect="Content" ObjectID="_1468075725" r:id="rId4">
            <o:LockedField>false</o:LockedField>
          </o:OLEObject>
        </w:object>
      </w:r>
      <w:r>
        <w:rPr>
          <w:rFonts w:ascii="Times New Roman" w:hAnsi="Times New Roman" w:cs="Times New Roman"/>
          <w:kern w:val="0"/>
          <w:sz w:val="24"/>
          <w:szCs w:val="24"/>
        </w:rPr>
        <w:t xml:space="preserve"> and</w:t>
      </w:r>
      <w:r>
        <w:rPr>
          <w:rFonts w:ascii="Times New Roman" w:hAnsi="Times New Roman" w:cs="Times New Roman"/>
          <w:sz w:val="24"/>
          <w:szCs w:val="24"/>
        </w:rPr>
        <w:t xml:space="preserve"> </w:t>
      </w:r>
      <w:r>
        <w:rPr>
          <w:rFonts w:ascii="Times New Roman" w:hAnsi="Times New Roman" w:cs="Times New Roman"/>
          <w:position w:val="-6"/>
          <w:sz w:val="24"/>
          <w:szCs w:val="24"/>
        </w:rPr>
        <w:object>
          <v:shape id="_x0000_i1026" o:spt="75" type="#_x0000_t75" style="height:14.4pt;width:24pt;" o:ole="t" filled="f" o:preferrelative="t" stroked="f" coordsize="21600,21600">
            <v:path/>
            <v:fill on="f" focussize="0,0"/>
            <v:stroke on="f" joinstyle="miter"/>
            <v:imagedata r:id="rId7" o:title=""/>
            <o:lock v:ext="edit" aspectratio="t"/>
            <w10:wrap type="none"/>
            <w10:anchorlock/>
          </v:shape>
          <o:OLEObject Type="Embed" ProgID="Equation.DSMT4" ShapeID="_x0000_i1026" DrawAspect="Content" ObjectID="_1468075726" r:id="rId6">
            <o:LockedField>false</o:LockedField>
          </o:OLEObject>
        </w:object>
      </w:r>
      <w:r>
        <w:rPr>
          <w:rFonts w:ascii="Times New Roman" w:hAnsi="Times New Roman" w:cs="Times New Roman"/>
          <w:kern w:val="0"/>
          <w:sz w:val="24"/>
          <w:szCs w:val="24"/>
        </w:rPr>
        <w:t xml:space="preserve">, where </w:t>
      </w:r>
      <w:r>
        <w:rPr>
          <w:rFonts w:ascii="Times New Roman" w:hAnsi="Times New Roman" w:cs="Times New Roman"/>
          <w:position w:val="-10"/>
          <w:sz w:val="24"/>
          <w:szCs w:val="24"/>
        </w:rPr>
        <w:object>
          <v:shape id="_x0000_i1027" o:spt="75" type="#_x0000_t75" style="height:13.2pt;width:12pt;" o:ole="t" filled="f" o:preferrelative="t" stroked="f" coordsize="21600,21600">
            <v:path/>
            <v:fill on="f" focussize="0,0"/>
            <v:stroke on="f" joinstyle="miter"/>
            <v:imagedata r:id="rId9" o:title=""/>
            <o:lock v:ext="edit" aspectratio="t"/>
            <w10:wrap type="none"/>
            <w10:anchorlock/>
          </v:shape>
          <o:OLEObject Type="Embed" ProgID="Equation.DSMT4" ShapeID="_x0000_i1027" DrawAspect="Content" ObjectID="_1468075727" r:id="rId8">
            <o:LockedField>false</o:LockedField>
          </o:OLEObject>
        </w:object>
      </w:r>
      <w:r>
        <w:rPr>
          <w:rFonts w:ascii="Times New Roman" w:hAnsi="Times New Roman" w:cs="Times New Roman"/>
          <w:kern w:val="0"/>
          <w:sz w:val="24"/>
          <w:szCs w:val="24"/>
        </w:rPr>
        <w:t xml:space="preserve"> is the mean value of the images, and </w:t>
      </w:r>
      <w:r>
        <w:rPr>
          <w:rFonts w:ascii="Times New Roman" w:hAnsi="Times New Roman" w:cs="Times New Roman"/>
          <w:position w:val="-6"/>
          <w:sz w:val="24"/>
          <w:szCs w:val="24"/>
        </w:rPr>
        <w:object>
          <v:shape id="_x0000_i1028" o:spt="75" type="#_x0000_t75" style="height:11.4pt;width:12pt;" o:ole="t" filled="f" o:preferrelative="t" stroked="f" coordsize="21600,21600">
            <v:path/>
            <v:fill on="f" focussize="0,0"/>
            <v:stroke on="f" joinstyle="miter"/>
            <v:imagedata r:id="rId11" o:title=""/>
            <o:lock v:ext="edit" aspectratio="t"/>
            <w10:wrap type="none"/>
            <w10:anchorlock/>
          </v:shape>
          <o:OLEObject Type="Embed" ProgID="Equation.DSMT4" ShapeID="_x0000_i1028" DrawAspect="Content" ObjectID="_1468075728" r:id="rId10">
            <o:LockedField>false</o:LockedField>
          </o:OLEObject>
        </w:object>
      </w:r>
      <w:r>
        <w:rPr>
          <w:rFonts w:ascii="Times New Roman" w:hAnsi="Times New Roman" w:cs="Times New Roman"/>
          <w:kern w:val="0"/>
          <w:sz w:val="24"/>
          <w:szCs w:val="24"/>
        </w:rPr>
        <w:t xml:space="preserve"> is the standard deviation. The normalized values (also called z-scores) of the image intensities (</w:t>
      </w:r>
      <w:r>
        <w:rPr>
          <w:rFonts w:ascii="Times New Roman" w:hAnsi="Times New Roman" w:cs="Times New Roman"/>
          <w:i/>
          <w:kern w:val="0"/>
          <w:sz w:val="24"/>
          <w:szCs w:val="24"/>
        </w:rPr>
        <w:t>x</w:t>
      </w:r>
      <w:r>
        <w:rPr>
          <w:rFonts w:ascii="Times New Roman" w:hAnsi="Times New Roman" w:cs="Times New Roman"/>
          <w:kern w:val="0"/>
          <w:sz w:val="24"/>
          <w:szCs w:val="24"/>
        </w:rPr>
        <w:t>) were calculated as follows:</w:t>
      </w:r>
    </w:p>
    <w:p>
      <w:pPr>
        <w:spacing w:line="276" w:lineRule="auto"/>
        <w:jc w:val="center"/>
        <w:rPr>
          <w:rFonts w:ascii="Times New Roman" w:hAnsi="Times New Roman" w:cs="Times New Roman"/>
          <w:sz w:val="24"/>
        </w:rPr>
      </w:pPr>
      <w:r>
        <w:rPr>
          <w:rFonts w:ascii="Times New Roman" w:hAnsi="Times New Roman" w:cs="Times New Roman"/>
          <w:position w:val="-24"/>
          <w:sz w:val="24"/>
        </w:rPr>
        <w:object>
          <v:shape id="_x0000_i1029" o:spt="75" type="#_x0000_t75" style="height:31.8pt;width:47.4pt;" o:ole="t" filled="f" o:preferrelative="t" stroked="f" coordsize="21600,21600">
            <v:path/>
            <v:fill on="f" focussize="0,0"/>
            <v:stroke on="f" joinstyle="miter"/>
            <v:imagedata r:id="rId13" o:title=""/>
            <o:lock v:ext="edit" aspectratio="t"/>
            <w10:wrap type="none"/>
            <w10:anchorlock/>
          </v:shape>
          <o:OLEObject Type="Embed" ProgID="Equation.DSMT4" ShapeID="_x0000_i1029" DrawAspect="Content" ObjectID="_1468075729" r:id="rId12">
            <o:LockedField>false</o:LockedField>
          </o:OLEObject>
        </w:object>
      </w:r>
    </w:p>
    <w:p>
      <w:pPr>
        <w:spacing w:line="276" w:lineRule="auto"/>
        <w:ind w:firstLine="480" w:firstLineChars="200"/>
        <w:rPr>
          <w:rFonts w:ascii="Times New Roman" w:hAnsi="Times New Roman" w:cs="Times New Roman"/>
          <w:kern w:val="0"/>
          <w:sz w:val="24"/>
          <w:szCs w:val="24"/>
        </w:rPr>
      </w:pPr>
      <w:r>
        <w:rPr>
          <w:rFonts w:ascii="Times New Roman" w:hAnsi="Times New Roman" w:cs="Times New Roman"/>
          <w:kern w:val="0"/>
          <w:sz w:val="24"/>
          <w:szCs w:val="24"/>
        </w:rPr>
        <w:t>Image segmentation program is as follows. Firstly, A.K. software was used to rigorously register the images of T</w:t>
      </w:r>
      <w:r>
        <w:rPr>
          <w:rFonts w:ascii="Times New Roman" w:hAnsi="Times New Roman" w:cs="Times New Roman"/>
          <w:kern w:val="0"/>
          <w:sz w:val="24"/>
          <w:szCs w:val="24"/>
          <w:vertAlign w:val="subscript"/>
        </w:rPr>
        <w:t>2</w:t>
      </w:r>
      <w:r>
        <w:rPr>
          <w:rFonts w:ascii="Times New Roman" w:hAnsi="Times New Roman" w:cs="Times New Roman"/>
          <w:kern w:val="0"/>
          <w:sz w:val="24"/>
          <w:szCs w:val="24"/>
        </w:rPr>
        <w:t>WI, T</w:t>
      </w:r>
      <w:r>
        <w:rPr>
          <w:rFonts w:ascii="Times New Roman" w:hAnsi="Times New Roman" w:cs="Times New Roman"/>
          <w:kern w:val="0"/>
          <w:sz w:val="24"/>
          <w:szCs w:val="24"/>
          <w:vertAlign w:val="subscript"/>
        </w:rPr>
        <w:t>1</w:t>
      </w:r>
      <w:r>
        <w:rPr>
          <w:rFonts w:ascii="Times New Roman" w:hAnsi="Times New Roman" w:cs="Times New Roman"/>
          <w:kern w:val="0"/>
          <w:sz w:val="24"/>
          <w:szCs w:val="24"/>
        </w:rPr>
        <w:t xml:space="preserve">WI, </w:t>
      </w:r>
      <w:r>
        <w:rPr>
          <w:rFonts w:hint="eastAsia" w:ascii="Times New Roman" w:hAnsi="Times New Roman" w:cs="Times New Roman"/>
          <w:kern w:val="0"/>
          <w:sz w:val="24"/>
          <w:szCs w:val="24"/>
          <w:lang w:eastAsia="zh-CN"/>
        </w:rPr>
        <w:t>DWI</w:t>
      </w:r>
      <w:r>
        <w:rPr>
          <w:rFonts w:ascii="Times New Roman" w:hAnsi="Times New Roman" w:cs="Times New Roman"/>
          <w:kern w:val="0"/>
          <w:sz w:val="24"/>
          <w:szCs w:val="24"/>
        </w:rPr>
        <w:t>, and T</w:t>
      </w:r>
      <w:r>
        <w:rPr>
          <w:rFonts w:ascii="Times New Roman" w:hAnsi="Times New Roman" w:eastAsia="宋体" w:cs="Times New Roman"/>
          <w:kern w:val="0"/>
          <w:sz w:val="24"/>
          <w:szCs w:val="24"/>
          <w:vertAlign w:val="subscript"/>
        </w:rPr>
        <w:t>1</w:t>
      </w:r>
      <w:r>
        <w:rPr>
          <w:rFonts w:ascii="Times New Roman" w:hAnsi="Times New Roman" w:eastAsia="宋体" w:cs="Times New Roman"/>
          <w:kern w:val="0"/>
          <w:sz w:val="24"/>
          <w:szCs w:val="24"/>
        </w:rPr>
        <w:t>CE</w:t>
      </w:r>
      <w:r>
        <w:rPr>
          <w:rFonts w:ascii="Times New Roman" w:hAnsi="Times New Roman" w:eastAsia="宋体" w:cs="Times New Roman"/>
          <w:snapToGrid w:val="0"/>
          <w:kern w:val="0"/>
          <w:sz w:val="24"/>
          <w:szCs w:val="24"/>
          <w:lang w:eastAsia="en-US"/>
        </w:rPr>
        <w:t xml:space="preserve"> sequences in order to reduce the potential influence of the parameters of a scanning scheme. After that, the standardized T</w:t>
      </w:r>
      <w:r>
        <w:rPr>
          <w:rFonts w:ascii="Times New Roman" w:hAnsi="Times New Roman" w:eastAsia="宋体" w:cs="Times New Roman"/>
          <w:snapToGrid w:val="0"/>
          <w:kern w:val="0"/>
          <w:sz w:val="24"/>
          <w:szCs w:val="24"/>
          <w:vertAlign w:val="subscript"/>
          <w:lang w:eastAsia="en-US"/>
        </w:rPr>
        <w:t>2</w:t>
      </w:r>
      <w:r>
        <w:rPr>
          <w:rFonts w:ascii="Times New Roman" w:hAnsi="Times New Roman" w:eastAsia="宋体" w:cs="Times New Roman"/>
          <w:snapToGrid w:val="0"/>
          <w:kern w:val="0"/>
          <w:sz w:val="24"/>
          <w:szCs w:val="24"/>
          <w:lang w:eastAsia="en-US"/>
        </w:rPr>
        <w:t>WI images were imported into the ITK software to manually segment the entire rectal tumor layer by layer and to determine the volume of interest (VOI). Since the four sequences have been rigorously registered, tumor VOI obtained from T</w:t>
      </w:r>
      <w:r>
        <w:rPr>
          <w:rFonts w:ascii="Times New Roman" w:hAnsi="Times New Roman" w:eastAsia="宋体" w:cs="Times New Roman"/>
          <w:snapToGrid w:val="0"/>
          <w:kern w:val="0"/>
          <w:sz w:val="24"/>
          <w:szCs w:val="24"/>
          <w:vertAlign w:val="subscript"/>
          <w:lang w:eastAsia="en-US"/>
        </w:rPr>
        <w:t>2</w:t>
      </w:r>
      <w:r>
        <w:rPr>
          <w:rFonts w:ascii="Times New Roman" w:hAnsi="Times New Roman" w:eastAsia="宋体" w:cs="Times New Roman"/>
          <w:snapToGrid w:val="0"/>
          <w:kern w:val="0"/>
          <w:sz w:val="24"/>
          <w:szCs w:val="24"/>
          <w:lang w:eastAsia="en-US"/>
        </w:rPr>
        <w:t>WI can be applied directly to other sequences. All cases undertook the same VOI segmentation method.</w:t>
      </w:r>
    </w:p>
    <w:p>
      <w:pPr>
        <w:spacing w:line="276" w:lineRule="auto"/>
        <w:jc w:val="left"/>
        <w:rPr>
          <w:rFonts w:ascii="Times New Roman" w:hAnsi="Times New Roman" w:eastAsia="宋体" w:cs="Times New Roman"/>
          <w:snapToGrid w:val="0"/>
          <w:kern w:val="0"/>
          <w:szCs w:val="21"/>
          <w:lang w:eastAsia="en-US"/>
        </w:rPr>
      </w:pPr>
      <w:bookmarkStart w:id="6" w:name="_GoBack"/>
      <w:bookmarkEnd w:id="6"/>
      <w:r>
        <w:rPr>
          <w:rFonts w:ascii="Times New Roman" w:hAnsi="Times New Roman" w:eastAsia="宋体" w:cs="Times New Roman"/>
          <w:snapToGrid w:val="0"/>
          <w:kern w:val="0"/>
          <w:szCs w:val="21"/>
          <w:lang w:eastAsia="en-US"/>
        </w:rPr>
        <w:br w:type="page"/>
      </w:r>
    </w:p>
    <w:p>
      <w:pPr>
        <w:adjustRightInd w:val="0"/>
        <w:snapToGrid w:val="0"/>
        <w:spacing w:line="360" w:lineRule="auto"/>
        <w:jc w:val="left"/>
        <w:rPr>
          <w:rFonts w:ascii="Times New Roman" w:hAnsi="Times New Roman" w:cs="Times New Roman"/>
          <w:b/>
          <w:bCs/>
          <w:kern w:val="0"/>
          <w:sz w:val="24"/>
        </w:rPr>
      </w:pPr>
      <w:r>
        <w:rPr>
          <w:rFonts w:ascii="Times New Roman" w:hAnsi="Times New Roman" w:eastAsia="宋体" w:cs="Times New Roman"/>
          <w:b/>
          <w:bCs/>
          <w:color w:val="000000"/>
          <w:kern w:val="0"/>
          <w:sz w:val="24"/>
          <w:lang w:bidi="ar"/>
        </w:rPr>
        <w:t>T</w:t>
      </w:r>
      <w:r>
        <w:rPr>
          <w:rFonts w:ascii="Times New Roman" w:hAnsi="Times New Roman" w:cs="Times New Roman"/>
          <w:b/>
          <w:bCs/>
          <w:color w:val="000000"/>
          <w:kern w:val="0"/>
          <w:sz w:val="24"/>
          <w:lang w:bidi="ar"/>
        </w:rPr>
        <w:t>able S2. The information of radiomics features</w:t>
      </w:r>
    </w:p>
    <w:tbl>
      <w:tblPr>
        <w:tblStyle w:val="6"/>
        <w:tblW w:w="8522" w:type="dxa"/>
        <w:tblInd w:w="0" w:type="dxa"/>
        <w:tblLayout w:type="fixed"/>
        <w:tblCellMar>
          <w:top w:w="15" w:type="dxa"/>
          <w:left w:w="15" w:type="dxa"/>
          <w:bottom w:w="15" w:type="dxa"/>
          <w:right w:w="15" w:type="dxa"/>
        </w:tblCellMar>
      </w:tblPr>
      <w:tblGrid>
        <w:gridCol w:w="1664"/>
        <w:gridCol w:w="2783"/>
        <w:gridCol w:w="1559"/>
        <w:gridCol w:w="2516"/>
      </w:tblGrid>
      <w:tr>
        <w:tblPrEx>
          <w:tblCellMar>
            <w:top w:w="15" w:type="dxa"/>
            <w:left w:w="15" w:type="dxa"/>
            <w:bottom w:w="15" w:type="dxa"/>
            <w:right w:w="15" w:type="dxa"/>
          </w:tblCellMar>
        </w:tblPrEx>
        <w:trPr>
          <w:trHeight w:val="285" w:hRule="atLeast"/>
        </w:trPr>
        <w:tc>
          <w:tcPr>
            <w:tcW w:w="1664"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Feature Groups (N)</w:t>
            </w:r>
          </w:p>
        </w:tc>
        <w:tc>
          <w:tcPr>
            <w:tcW w:w="2783"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Feature names</w:t>
            </w:r>
          </w:p>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Feature Groups (N)</w:t>
            </w:r>
          </w:p>
        </w:tc>
        <w:tc>
          <w:tcPr>
            <w:tcW w:w="2516"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Feature names</w:t>
            </w:r>
          </w:p>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firstorder_10Percentile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glszm_GrayLevelNonUniformity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firstorder_90Percentile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glszm_GrayLevelNonUniformityNormalized</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firstorder_Energy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glszm_GrayLevelVariance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firstorder_Entropy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glszm_HighGrayLevelZoneEmphasis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firstorder_InterquartileRange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glszm_LargeAreaEmphasis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firstorder_Kurtosis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glszm_LargeAreaHighGrayLevelEmphasis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firstorder_Maximum</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glszm_LargeAreaLowGrayLevelEmphasis</w:t>
            </w:r>
          </w:p>
        </w:tc>
      </w:tr>
      <w:tr>
        <w:tblPrEx>
          <w:tblCellMar>
            <w:top w:w="15" w:type="dxa"/>
            <w:left w:w="15" w:type="dxa"/>
            <w:bottom w:w="15" w:type="dxa"/>
            <w:right w:w="15" w:type="dxa"/>
          </w:tblCellMar>
        </w:tblPrEx>
        <w:trPr>
          <w:trHeight w:val="90"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 features (N = 18)</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firstorder_MeanAbsoluteDeviation</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 texture features</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glszm_LowGrayLevelZoneEmphasis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firstorder_Mean</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 = 16)</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glszm_SizeZoneNonUniformity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firstorder_Median</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glszm_SizeZoneNonUniformityNormalized</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firstorder_Minimum</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glszm_SmallAreaEmphasis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firstorder_Range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glszm_SmallAreaHighGrayLevelEmphasis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firstorder_RobustMeanAbsoluteDeviation</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glszm_SmallAreaLowGrayLevelEmphasis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firstorder_RootMeanSquared</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glszm_ZoneEntropy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firstorder_Skewness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glszm_ZonePercentage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firstorder_TotalEnergy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glszm_ZoneVariance</w:t>
            </w:r>
          </w:p>
        </w:tc>
      </w:tr>
      <w:tr>
        <w:tblPrEx>
          <w:tblCellMar>
            <w:top w:w="15" w:type="dxa"/>
            <w:left w:w="15" w:type="dxa"/>
            <w:bottom w:w="15" w:type="dxa"/>
            <w:right w:w="15" w:type="dxa"/>
          </w:tblCellMar>
        </w:tblPrEx>
        <w:trPr>
          <w:trHeight w:val="285" w:hRule="atLeast"/>
        </w:trPr>
        <w:tc>
          <w:tcPr>
            <w:tcW w:w="1664"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firstorder_Uniformity</w:t>
            </w:r>
          </w:p>
        </w:tc>
        <w:tc>
          <w:tcPr>
            <w:tcW w:w="1559"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glrlm_GrayLevelNonUniformity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glcm_Autocorrelation</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glrlm_GrayLevelNonUniformityNormalized</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glcm_ClusterProminence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glrlm_GrayLevelVariance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glcm_ClusterShade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glrlm_HighGrayLevelRunEmphasis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glcm_ClusterTendency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glrlm_LongRunEmphasis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glcm_Contrast</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 texture features</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glrlm_LongRunHighGrayLevelEmphasis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 texture features</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glcm_Correlation</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 = 16)</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glrlm_LongRunLowGrayLevelEmphasis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 = 24)</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glcm_DifferenceAverage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glrlm_LowGrayLevelRunEmphasis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glcm_DifferenceEntropy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glrlm_RunEntropy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glcm_DifferenceVariance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glrlm_RunLengthNonUniformity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glcm_Id</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glrlm_RunLengthNonUniformityNormalized</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glcm_Idm</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glrlm_RunPercentage_T2</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glcm_Idmn</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glrlm_RunVariance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glcm_Idn</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glrlm_ShortRunEmphasis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glcm_Imc1</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glrlm_ShortRunHighGrayLevelEmphasis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glcm_Imc2</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glrlm_ShortRunLowGrayLevelEmphasis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glcm_InverseVariance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glcm_JointAverage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glcm_JointEnergy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glcm_JointEntropy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glcm_MCC</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glcm_MaximumProbability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glcm_SumAverage</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glcm_SumEntropy</w:t>
            </w:r>
          </w:p>
        </w:tc>
      </w:tr>
      <w:tr>
        <w:tblPrEx>
          <w:tblCellMar>
            <w:top w:w="15" w:type="dxa"/>
            <w:left w:w="15" w:type="dxa"/>
            <w:bottom w:w="15" w:type="dxa"/>
            <w:right w:w="15" w:type="dxa"/>
          </w:tblCellMar>
        </w:tblPrEx>
        <w:trPr>
          <w:trHeight w:val="285" w:hRule="atLeast"/>
        </w:trPr>
        <w:tc>
          <w:tcPr>
            <w:tcW w:w="1664"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1559"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glcm_SumSquares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gldm_DependenceEntropy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ngtdm_Busyness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gldm_DependenceNonUniformity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ngtdm_Coarseness</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 texture features</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gldm_DependenceNonUniformityNormalized</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NGTDM texture features</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ngtdm_Complexity</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 = 14)</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gldm_DependenceVariance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 = 5)</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ngtdm_Contrast</w:t>
            </w:r>
          </w:p>
        </w:tc>
      </w:tr>
      <w:tr>
        <w:tblPrEx>
          <w:tblCellMar>
            <w:top w:w="15" w:type="dxa"/>
            <w:left w:w="15" w:type="dxa"/>
            <w:bottom w:w="15" w:type="dxa"/>
            <w:right w:w="15" w:type="dxa"/>
          </w:tblCellMar>
        </w:tblPrEx>
        <w:trPr>
          <w:trHeight w:val="90"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gldm_GrayLevelNonUniformity</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ngtdm_Strength</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gldm_GrayLevelVariance</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gldm_HighGrayLevelEmphasis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gldm_LargeDependenceEmphasis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gldm_LargeDependenceHighGrayLevelEmphasis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gldm_LargeDependenceLowGrayLevelEmphasis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gldm_LowGrayLevelEmphasis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gldm_SmallDependenceEmphasis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gldm_SmallDependenceHighGrayLevelEmphasis</w:t>
            </w:r>
          </w:p>
        </w:tc>
        <w:tc>
          <w:tcPr>
            <w:tcW w:w="1559"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nil"/>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783"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gldm_SmallDependenceLowGrayLevelEmphasis</w:t>
            </w:r>
          </w:p>
        </w:tc>
        <w:tc>
          <w:tcPr>
            <w:tcW w:w="1559"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c>
          <w:tcPr>
            <w:tcW w:w="2516" w:type="dxa"/>
            <w:tcBorders>
              <w:top w:val="nil"/>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 </w:t>
            </w:r>
          </w:p>
        </w:tc>
      </w:tr>
      <w:tr>
        <w:tblPrEx>
          <w:tblCellMar>
            <w:top w:w="15" w:type="dxa"/>
            <w:left w:w="15" w:type="dxa"/>
            <w:bottom w:w="15" w:type="dxa"/>
            <w:right w:w="15" w:type="dxa"/>
          </w:tblCellMar>
        </w:tblPrEx>
        <w:trPr>
          <w:trHeight w:val="285" w:hRule="atLeast"/>
        </w:trPr>
        <w:tc>
          <w:tcPr>
            <w:tcW w:w="1664"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Los features (N = 186)</w:t>
            </w:r>
          </w:p>
        </w:tc>
        <w:tc>
          <w:tcPr>
            <w:tcW w:w="2783"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r>
              <w:rPr>
                <w:rFonts w:ascii="Times New Roman" w:hAnsi="Times New Roman" w:cs="Times New Roman"/>
                <w:sz w:val="24"/>
              </w:rPr>
              <w:t>Log-sigma-1.0</w:t>
            </w:r>
            <w:r>
              <w:rPr>
                <w:rFonts w:hint="eastAsia" w:ascii="Times New Roman" w:hAnsi="Times New Roman" w:cs="Times New Roman"/>
                <w:sz w:val="24"/>
              </w:rPr>
              <w:t>，</w:t>
            </w:r>
            <w:r>
              <w:rPr>
                <w:rFonts w:ascii="Times New Roman" w:hAnsi="Times New Roman" w:cs="Times New Roman"/>
                <w:sz w:val="24"/>
              </w:rPr>
              <w:t>2.0_* (N =186)</w:t>
            </w:r>
          </w:p>
        </w:tc>
        <w:tc>
          <w:tcPr>
            <w:tcW w:w="1559"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p>
        </w:tc>
        <w:tc>
          <w:tcPr>
            <w:tcW w:w="2516" w:type="dxa"/>
            <w:tcBorders>
              <w:top w:val="single" w:color="auto" w:sz="8" w:space="0"/>
              <w:left w:val="nil"/>
              <w:bottom w:val="single" w:color="auto" w:sz="8" w:space="0"/>
              <w:right w:val="nil"/>
            </w:tcBorders>
            <w:shd w:val="clear" w:color="auto" w:fill="auto"/>
            <w:noWrap/>
            <w:tcMar>
              <w:top w:w="0" w:type="dxa"/>
              <w:left w:w="108" w:type="dxa"/>
              <w:bottom w:w="0" w:type="dxa"/>
              <w:right w:w="108" w:type="dxa"/>
            </w:tcMar>
            <w:vAlign w:val="center"/>
          </w:tcPr>
          <w:p>
            <w:pPr>
              <w:spacing w:line="360" w:lineRule="auto"/>
              <w:rPr>
                <w:rFonts w:ascii="Times New Roman" w:hAnsi="Times New Roman" w:cs="Times New Roman"/>
                <w:sz w:val="24"/>
              </w:rPr>
            </w:pPr>
          </w:p>
        </w:tc>
      </w:tr>
    </w:tbl>
    <w:p>
      <w:pPr>
        <w:spacing w:line="360" w:lineRule="auto"/>
        <w:rPr>
          <w:rFonts w:ascii="Times New Roman" w:hAnsi="Times New Roman" w:cs="Times New Roman"/>
          <w:sz w:val="24"/>
        </w:rPr>
      </w:pPr>
      <w:r>
        <w:rPr>
          <w:rFonts w:ascii="Times New Roman" w:hAnsi="Times New Roman" w:cs="Times New Roman"/>
          <w:sz w:val="24"/>
        </w:rPr>
        <w:t xml:space="preserve">Note: GLCM, Gray-level co-occurrence matrices; GLRLM, Gray-level run length matrix; GLSZM, Gray-level size zone matrix; GLDM, Gray-level dependence matrix. *The abbreviated representation of feature types </w:t>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p>
    <w:p>
      <w:pPr>
        <w:rPr>
          <w:rFonts w:ascii="Times New Roman" w:hAnsi="Times New Roman" w:cs="Times New Roman"/>
          <w:b/>
          <w:bCs/>
          <w:sz w:val="24"/>
          <w:szCs w:val="24"/>
        </w:rPr>
      </w:pPr>
      <w:r>
        <w:rPr>
          <w:rFonts w:ascii="Times New Roman" w:hAnsi="Times New Roman" w:cs="Times New Roman"/>
          <w:b/>
          <w:bCs/>
          <w:sz w:val="24"/>
          <w:szCs w:val="24"/>
        </w:rPr>
        <w:t>RSD calculation and machine learning method selection</w:t>
      </w:r>
    </w:p>
    <w:p>
      <w:pPr>
        <w:autoSpaceDE w:val="0"/>
        <w:autoSpaceDN w:val="0"/>
        <w:adjustRightInd w:val="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RSD is the absolute value of the coefficient of variation and is often expressed as a percentage according to Eq. 1.</w:t>
      </w:r>
    </w:p>
    <w:tbl>
      <w:tblPr>
        <w:tblStyle w:val="6"/>
        <w:tblW w:w="8520" w:type="dxa"/>
        <w:tblInd w:w="0" w:type="dxa"/>
        <w:tblLayout w:type="fixed"/>
        <w:tblCellMar>
          <w:top w:w="0" w:type="dxa"/>
          <w:left w:w="108" w:type="dxa"/>
          <w:bottom w:w="0" w:type="dxa"/>
          <w:right w:w="108" w:type="dxa"/>
        </w:tblCellMar>
      </w:tblPr>
      <w:tblGrid>
        <w:gridCol w:w="2840"/>
        <w:gridCol w:w="2840"/>
        <w:gridCol w:w="2840"/>
      </w:tblGrid>
      <w:tr>
        <w:tblPrEx>
          <w:tblCellMar>
            <w:top w:w="0" w:type="dxa"/>
            <w:left w:w="108" w:type="dxa"/>
            <w:bottom w:w="0" w:type="dxa"/>
            <w:right w:w="108" w:type="dxa"/>
          </w:tblCellMar>
        </w:tblPrEx>
        <w:trPr>
          <w:trHeight w:val="909" w:hRule="atLeast"/>
        </w:trPr>
        <w:tc>
          <w:tcPr>
            <w:tcW w:w="2840" w:type="dxa"/>
          </w:tcPr>
          <w:p/>
        </w:tc>
        <w:tc>
          <w:tcPr>
            <w:tcW w:w="2841" w:type="dxa"/>
          </w:tcPr>
          <w:p>
            <w:pPr>
              <w:rPr>
                <w:sz w:val="24"/>
              </w:rPr>
            </w:pPr>
          </w:p>
          <w:p>
            <w:pPr>
              <w:rPr>
                <w:sz w:val="24"/>
              </w:rPr>
            </w:pPr>
            <w:r>
              <w:rPr>
                <w:position w:val="-28"/>
                <w:sz w:val="24"/>
              </w:rPr>
              <w:object>
                <v:shape id="_x0000_i1030" o:spt="75" type="#_x0000_t75" style="height:33pt;width:70.2pt;" o:ole="t" filled="f" o:preferrelative="t" stroked="f" coordsize="21600,21600">
                  <v:path/>
                  <v:fill on="f" focussize="0,0"/>
                  <v:stroke on="f" joinstyle="miter"/>
                  <v:imagedata r:id="rId15" o:title=""/>
                  <o:lock v:ext="edit" aspectratio="t"/>
                  <w10:wrap type="none"/>
                  <w10:anchorlock/>
                </v:shape>
                <o:OLEObject Type="Embed" ProgID="Equation.KSEE3" ShapeID="_x0000_i1030" DrawAspect="Content" ObjectID="_1468075730" r:id="rId14">
                  <o:LockedField>false</o:LockedField>
                </o:OLEObject>
              </w:object>
            </w:r>
            <w:r>
              <w:rPr>
                <w:sz w:val="24"/>
              </w:rPr>
              <w:t>100</w:t>
            </w:r>
          </w:p>
          <w:p/>
        </w:tc>
        <w:tc>
          <w:tcPr>
            <w:tcW w:w="2841" w:type="dxa"/>
          </w:tcPr>
          <w:p>
            <w:pPr>
              <w:jc w:val="right"/>
              <w:rPr>
                <w:sz w:val="24"/>
              </w:rPr>
            </w:pPr>
          </w:p>
          <w:p>
            <w:pPr>
              <w:jc w:val="right"/>
              <w:rPr>
                <w:sz w:val="24"/>
              </w:rPr>
            </w:pPr>
          </w:p>
          <w:p>
            <w:pPr>
              <w:jc w:val="right"/>
              <w:rPr>
                <w:rFonts w:ascii="Times New Roman" w:hAnsi="Times New Roman" w:cs="Times New Roman"/>
                <w:sz w:val="24"/>
              </w:rPr>
            </w:pPr>
            <w:r>
              <w:rPr>
                <w:rFonts w:ascii="Times New Roman" w:hAnsi="Times New Roman" w:cs="Times New Roman"/>
                <w:sz w:val="24"/>
              </w:rPr>
              <w:t>Eq. 1</w:t>
            </w:r>
          </w:p>
        </w:tc>
      </w:tr>
    </w:tbl>
    <w:p>
      <w:pPr>
        <w:spacing w:line="360" w:lineRule="auto"/>
        <w:rPr>
          <w:rFonts w:ascii="Times New Roman" w:hAnsi="Times New Roman" w:cs="Times New Roman"/>
          <w:sz w:val="24"/>
        </w:rPr>
      </w:pPr>
      <w:r>
        <w:rPr>
          <w:rFonts w:ascii="Times New Roman" w:hAnsi="Times New Roman" w:cs="Times New Roman"/>
          <w:sz w:val="24"/>
          <w:szCs w:val="24"/>
        </w:rPr>
        <w:t>where σ</w:t>
      </w:r>
      <w:r>
        <w:rPr>
          <w:rFonts w:ascii="Times New Roman" w:hAnsi="Times New Roman" w:cs="Times New Roman"/>
          <w:sz w:val="24"/>
          <w:szCs w:val="24"/>
          <w:vertAlign w:val="subscript"/>
        </w:rPr>
        <w:t xml:space="preserve">AUC </w:t>
      </w:r>
      <w:r>
        <w:rPr>
          <w:rFonts w:ascii="Times New Roman" w:hAnsi="Times New Roman" w:cs="Times New Roman"/>
          <w:sz w:val="24"/>
          <w:szCs w:val="24"/>
        </w:rPr>
        <w:t>and µ</w:t>
      </w:r>
      <w:r>
        <w:rPr>
          <w:rFonts w:ascii="Times New Roman" w:hAnsi="Times New Roman" w:cs="Times New Roman"/>
          <w:sz w:val="24"/>
          <w:szCs w:val="24"/>
          <w:vertAlign w:val="subscript"/>
        </w:rPr>
        <w:t>AUC</w:t>
      </w:r>
      <w:r>
        <w:rPr>
          <w:rFonts w:ascii="Times New Roman" w:hAnsi="Times New Roman" w:cs="Times New Roman"/>
          <w:sz w:val="24"/>
          <w:szCs w:val="24"/>
        </w:rPr>
        <w:t xml:space="preserve"> are the standard deviation and mean of the 500 AUC values, respectively. It should be noted that higher stability corresponds to lower RSD values (3).</w:t>
      </w:r>
    </w:p>
    <w:p>
      <w:pPr>
        <w:tabs>
          <w:tab w:val="left" w:pos="312"/>
        </w:tabs>
        <w:spacing w:line="276" w:lineRule="auto"/>
        <w:rPr>
          <w:rFonts w:ascii="Times New Roman" w:hAnsi="Times New Roman" w:cs="Times New Roman"/>
          <w:b/>
          <w:bCs/>
          <w:sz w:val="24"/>
        </w:rPr>
      </w:pPr>
    </w:p>
    <w:p>
      <w:pPr>
        <w:spacing w:line="276" w:lineRule="auto"/>
        <w:jc w:val="left"/>
        <w:rPr>
          <w:rFonts w:ascii="Times New Roman" w:hAnsi="Times New Roman" w:cs="Times New Roman"/>
          <w:szCs w:val="20"/>
        </w:rPr>
      </w:pPr>
    </w:p>
    <w:p>
      <w:pPr>
        <w:pStyle w:val="10"/>
        <w:spacing w:line="276" w:lineRule="auto"/>
        <w:ind w:left="720" w:firstLine="0" w:firstLineChars="0"/>
        <w:jc w:val="left"/>
        <w:rPr>
          <w:rFonts w:ascii="Times New Roman" w:hAnsi="Times New Roman" w:cs="Times New Roman"/>
          <w:b/>
          <w:bCs/>
          <w:sz w:val="24"/>
          <w:highlight w:val="none"/>
        </w:rPr>
      </w:pPr>
      <w:r>
        <w:rPr>
          <w:rFonts w:ascii="Times New Roman" w:hAnsi="Times New Roman" w:cs="Times New Roman"/>
          <w:b/>
          <w:bCs/>
          <w:sz w:val="24"/>
          <w:highlight w:val="none"/>
        </w:rPr>
        <w:t>Table S2.</w:t>
      </w:r>
      <w:r>
        <w:rPr>
          <w:rFonts w:ascii="Times New Roman" w:hAnsi="Times New Roman" w:cs="Times New Roman"/>
          <w:sz w:val="24"/>
          <w:highlight w:val="none"/>
        </w:rPr>
        <w:t xml:space="preserve"> The detailed information of remaining radiomics features</w:t>
      </w:r>
    </w:p>
    <w:tbl>
      <w:tblPr>
        <w:tblStyle w:val="6"/>
        <w:tblW w:w="8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6046"/>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56" w:type="dxa"/>
            <w:tcBorders>
              <w:top w:val="single" w:color="auto" w:sz="4" w:space="0"/>
              <w:left w:val="nil"/>
              <w:bottom w:val="single" w:color="auto" w:sz="4" w:space="0"/>
              <w:right w:val="nil"/>
            </w:tcBorders>
            <w:shd w:val="clear" w:color="auto" w:fill="auto"/>
            <w:vAlign w:val="center"/>
          </w:tcPr>
          <w:p>
            <w:pPr>
              <w:widowControl/>
              <w:spacing w:line="276" w:lineRule="auto"/>
              <w:rPr>
                <w:rFonts w:hint="default" w:ascii="Times New Roman" w:hAnsi="Times New Roman" w:eastAsia="等线" w:cs="Times New Roman"/>
                <w:b/>
                <w:bCs/>
                <w:kern w:val="0"/>
                <w:szCs w:val="21"/>
              </w:rPr>
            </w:pPr>
            <w:r>
              <w:rPr>
                <w:rFonts w:hint="default" w:ascii="Times New Roman" w:hAnsi="Times New Roman" w:cs="Times New Roman"/>
                <w:b/>
                <w:bCs/>
                <w:szCs w:val="21"/>
              </w:rPr>
              <w:t>Sequence</w:t>
            </w:r>
          </w:p>
        </w:tc>
        <w:tc>
          <w:tcPr>
            <w:tcW w:w="6046" w:type="dxa"/>
            <w:tcBorders>
              <w:top w:val="single" w:color="auto" w:sz="4" w:space="0"/>
              <w:left w:val="nil"/>
              <w:bottom w:val="single" w:color="auto" w:sz="4" w:space="0"/>
              <w:right w:val="nil"/>
            </w:tcBorders>
            <w:shd w:val="clear" w:color="auto" w:fill="auto"/>
            <w:vAlign w:val="center"/>
          </w:tcPr>
          <w:p>
            <w:pPr>
              <w:widowControl/>
              <w:spacing w:line="276" w:lineRule="auto"/>
              <w:rPr>
                <w:rFonts w:hint="default" w:ascii="Times New Roman" w:hAnsi="Times New Roman" w:eastAsia="等线" w:cs="Times New Roman"/>
                <w:b/>
                <w:bCs/>
                <w:kern w:val="0"/>
                <w:szCs w:val="21"/>
              </w:rPr>
            </w:pPr>
            <w:r>
              <w:rPr>
                <w:rFonts w:hint="default" w:ascii="Times New Roman" w:hAnsi="Times New Roman" w:cs="Times New Roman"/>
                <w:b/>
                <w:bCs/>
                <w:szCs w:val="21"/>
              </w:rPr>
              <w:t>Feature</w:t>
            </w:r>
          </w:p>
        </w:tc>
        <w:tc>
          <w:tcPr>
            <w:tcW w:w="1161" w:type="dxa"/>
            <w:tcBorders>
              <w:top w:val="single" w:color="auto" w:sz="4" w:space="0"/>
              <w:left w:val="nil"/>
              <w:bottom w:val="single" w:color="auto" w:sz="4" w:space="0"/>
              <w:right w:val="nil"/>
            </w:tcBorders>
            <w:shd w:val="clear" w:color="auto" w:fill="auto"/>
            <w:vAlign w:val="center"/>
          </w:tcPr>
          <w:p>
            <w:pPr>
              <w:widowControl/>
              <w:spacing w:line="276" w:lineRule="auto"/>
              <w:rPr>
                <w:rFonts w:hint="default" w:ascii="Times New Roman" w:hAnsi="Times New Roman" w:eastAsia="等线" w:cs="Times New Roman"/>
                <w:b/>
                <w:bCs/>
                <w:kern w:val="0"/>
                <w:szCs w:val="21"/>
              </w:rPr>
            </w:pPr>
            <w:r>
              <w:rPr>
                <w:rFonts w:hint="default" w:ascii="Times New Roman" w:hAnsi="Times New Roman" w:cs="Times New Roman"/>
                <w:b/>
                <w:bCs/>
                <w:szCs w:val="21"/>
              </w:rPr>
              <w:t>Category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restart"/>
            <w:tcBorders>
              <w:top w:val="single" w:color="auto" w:sz="4" w:space="0"/>
              <w:left w:val="nil"/>
              <w:right w:val="nil"/>
            </w:tcBorders>
            <w:shd w:val="clear" w:color="auto" w:fill="auto"/>
            <w:vAlign w:val="center"/>
          </w:tcPr>
          <w:p>
            <w:pPr>
              <w:widowControl/>
              <w:spacing w:line="276" w:lineRule="auto"/>
              <w:jc w:val="center"/>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T</w:t>
            </w:r>
            <w:r>
              <w:rPr>
                <w:rFonts w:hint="default" w:ascii="Times New Roman" w:hAnsi="Times New Roman" w:eastAsia="等线" w:cs="Times New Roman"/>
                <w:kern w:val="0"/>
                <w:szCs w:val="21"/>
                <w:vertAlign w:val="subscript"/>
              </w:rPr>
              <w:t>2</w:t>
            </w:r>
            <w:r>
              <w:rPr>
                <w:rFonts w:hint="default" w:ascii="Times New Roman" w:hAnsi="Times New Roman" w:eastAsia="等线" w:cs="Times New Roman"/>
                <w:kern w:val="0"/>
                <w:szCs w:val="21"/>
              </w:rPr>
              <w:t>WI</w:t>
            </w:r>
          </w:p>
          <w:p>
            <w:pPr>
              <w:widowControl/>
              <w:spacing w:line="276" w:lineRule="auto"/>
              <w:jc w:val="center"/>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(n=11)</w:t>
            </w:r>
          </w:p>
        </w:tc>
        <w:tc>
          <w:tcPr>
            <w:tcW w:w="6046"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cs="Times New Roman"/>
                <w:szCs w:val="21"/>
              </w:rPr>
            </w:pPr>
            <w:r>
              <w:rPr>
                <w:rFonts w:hint="default" w:ascii="Times New Roman" w:hAnsi="Times New Roman" w:cs="Times New Roman"/>
                <w:szCs w:val="21"/>
              </w:rPr>
              <w:t>log-sigma-2-0-mm-3D_firstorder_Kurtosis_T2</w:t>
            </w:r>
          </w:p>
        </w:tc>
        <w:tc>
          <w:tcPr>
            <w:tcW w:w="1161"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shd w:val="clear" w:color="auto" w:fill="auto"/>
            <w:vAlign w:val="center"/>
          </w:tcPr>
          <w:p>
            <w:pPr>
              <w:widowControl/>
              <w:spacing w:line="276" w:lineRule="auto"/>
              <w:jc w:val="left"/>
              <w:rPr>
                <w:rFonts w:hint="default" w:ascii="Times New Roman" w:hAnsi="Times New Roman" w:cs="Times New Roman"/>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original_firstorder_Skewness_T2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cs="Times New Roman"/>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wavelet-LLH_firstorder_InterquartileRange_T2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wavelet-LHL_glszm_GrayLevelNonUniformity_T2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wavelet-LHL_glszm_SmallAreaLowGrayLevelEmphasis_T2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wavelet-HLL_glcm_ClusterShade_T2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rPr>
              <w:t>wavelet-HLL_gldm_LargeDependenceHighGrayLevelEmphasis_T2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wavelet-HLH_glcm_MCC_T2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wavelet-HHL_gldm_DependenceNonUniformityNormalized_T2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wavelet-HHL_glrlm_HighGrayLevelRunEmphasis_T2</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GL</w:t>
            </w:r>
            <w:r>
              <w:rPr>
                <w:rFonts w:hint="default" w:ascii="Times New Roman" w:hAnsi="Times New Roman" w:eastAsia="等线" w:cs="Times New Roman"/>
                <w:kern w:val="0"/>
                <w:szCs w:val="21"/>
                <w:lang w:val="en-US" w:eastAsia="zh-CN"/>
              </w:rPr>
              <w:t>RLM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056" w:type="dxa"/>
            <w:vMerge w:val="continue"/>
            <w:tcBorders>
              <w:left w:val="nil"/>
              <w:bottom w:val="single" w:color="auto" w:sz="4" w:space="0"/>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wavelet-LLL_glcm_Correlation_T2</w:t>
            </w:r>
          </w:p>
        </w:tc>
        <w:tc>
          <w:tcPr>
            <w:tcW w:w="1161" w:type="dxa"/>
            <w:tcBorders>
              <w:top w:val="nil"/>
              <w:left w:val="nil"/>
              <w:bottom w:val="single" w:color="auto" w:sz="4" w:space="0"/>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restart"/>
            <w:tcBorders>
              <w:top w:val="single" w:color="auto" w:sz="4" w:space="0"/>
              <w:left w:val="nil"/>
              <w:right w:val="nil"/>
            </w:tcBorders>
            <w:shd w:val="clear" w:color="auto" w:fill="auto"/>
            <w:vAlign w:val="center"/>
          </w:tcPr>
          <w:p>
            <w:pPr>
              <w:widowControl/>
              <w:spacing w:line="276" w:lineRule="auto"/>
              <w:jc w:val="center"/>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T</w:t>
            </w:r>
            <w:r>
              <w:rPr>
                <w:rFonts w:hint="default" w:ascii="Times New Roman" w:hAnsi="Times New Roman" w:eastAsia="等线" w:cs="Times New Roman"/>
                <w:kern w:val="0"/>
                <w:szCs w:val="21"/>
                <w:vertAlign w:val="subscript"/>
              </w:rPr>
              <w:t>1</w:t>
            </w:r>
            <w:r>
              <w:rPr>
                <w:rFonts w:hint="default" w:ascii="Times New Roman" w:hAnsi="Times New Roman" w:eastAsia="等线" w:cs="Times New Roman"/>
                <w:kern w:val="0"/>
                <w:szCs w:val="21"/>
              </w:rPr>
              <w:t>WI</w:t>
            </w:r>
          </w:p>
          <w:p>
            <w:pPr>
              <w:widowControl/>
              <w:spacing w:line="276" w:lineRule="auto"/>
              <w:jc w:val="center"/>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(n=11)</w:t>
            </w:r>
          </w:p>
        </w:tc>
        <w:tc>
          <w:tcPr>
            <w:tcW w:w="6046"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rPr>
              <w:t>wavelet-LHL_glcm_Imc1_T1</w:t>
            </w:r>
          </w:p>
        </w:tc>
        <w:tc>
          <w:tcPr>
            <w:tcW w:w="1161"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rPr>
              <w:t>wavelet-LLL_glrlm_RunLengthNonUniformity_T1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rPr>
              <w:t>GL</w:t>
            </w:r>
            <w:r>
              <w:rPr>
                <w:rFonts w:hint="default" w:ascii="Times New Roman" w:hAnsi="Times New Roman" w:eastAsia="等线" w:cs="Times New Roman"/>
                <w:kern w:val="0"/>
                <w:szCs w:val="21"/>
                <w:lang w:val="en-US" w:eastAsia="zh-CN"/>
              </w:rPr>
              <w:t>RLM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wavelet-LHH_gldm_LargeDependenceHighGrayLevelEmphasis_T1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log-sigma-3-0-mm-3D_glszm_LowGrayLevelZoneEmphasis_T1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original_gldm_DependenceVariance_T1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wavelet-LLH_glcm_JointEntropy_T1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log-sigma-2-0-mm-3D_firstorder_Skewness_T1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wavelet-HLL_glcm_MCC_T1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wavelet-HHL_glszm_SizeZoneNonUniformityNormalized_T1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wavelet-HHH_glcm_JointAverage_T1</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56" w:type="dxa"/>
            <w:vMerge w:val="continue"/>
            <w:tcBorders>
              <w:left w:val="nil"/>
              <w:bottom w:val="single" w:color="auto" w:sz="4" w:space="0"/>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single" w:color="auto" w:sz="4" w:space="0"/>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log-sigma-2-0-mm-3D_glszm_GrayLevelNonUniformity_T1</w:t>
            </w:r>
          </w:p>
        </w:tc>
        <w:tc>
          <w:tcPr>
            <w:tcW w:w="1161" w:type="dxa"/>
            <w:tcBorders>
              <w:top w:val="nil"/>
              <w:left w:val="nil"/>
              <w:bottom w:val="single" w:color="auto" w:sz="4" w:space="0"/>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bookmarkStart w:id="5" w:name="OLE_LINK1"/>
            <w:r>
              <w:rPr>
                <w:rFonts w:hint="default" w:ascii="Times New Roman" w:hAnsi="Times New Roman" w:eastAsia="等线" w:cs="Times New Roman"/>
                <w:kern w:val="0"/>
                <w:szCs w:val="21"/>
                <w:lang w:val="en-US" w:eastAsia="zh-CN"/>
              </w:rPr>
              <w:t>GLSZM</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restart"/>
            <w:tcBorders>
              <w:top w:val="single" w:color="auto" w:sz="4" w:space="0"/>
              <w:left w:val="nil"/>
              <w:right w:val="nil"/>
            </w:tcBorders>
            <w:shd w:val="clear" w:color="auto" w:fill="auto"/>
            <w:vAlign w:val="center"/>
          </w:tcPr>
          <w:p>
            <w:pPr>
              <w:widowControl/>
              <w:spacing w:line="276" w:lineRule="auto"/>
              <w:jc w:val="center"/>
              <w:rPr>
                <w:rFonts w:hint="eastAsia" w:ascii="Times New Roman" w:hAnsi="Times New Roman" w:eastAsia="等线" w:cs="Times New Roman"/>
                <w:kern w:val="0"/>
                <w:szCs w:val="21"/>
                <w:lang w:val="en-US" w:eastAsia="zh-CN"/>
              </w:rPr>
            </w:pPr>
            <w:r>
              <w:rPr>
                <w:rFonts w:hint="eastAsia" w:ascii="Times New Roman" w:hAnsi="Times New Roman" w:eastAsia="等线" w:cs="Times New Roman"/>
                <w:kern w:val="0"/>
                <w:szCs w:val="21"/>
                <w:lang w:val="en-US" w:eastAsia="zh-CN"/>
              </w:rPr>
              <w:t>DWI</w:t>
            </w:r>
          </w:p>
          <w:p>
            <w:pPr>
              <w:widowControl/>
              <w:spacing w:line="276" w:lineRule="auto"/>
              <w:jc w:val="center"/>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(n=10)</w:t>
            </w:r>
          </w:p>
        </w:tc>
        <w:tc>
          <w:tcPr>
            <w:tcW w:w="6046" w:type="dxa"/>
            <w:tcBorders>
              <w:top w:val="single" w:color="auto" w:sz="4" w:space="0"/>
              <w:left w:val="nil"/>
              <w:bottom w:val="nil"/>
              <w:right w:val="nil"/>
            </w:tcBorders>
            <w:shd w:val="clear" w:color="auto" w:fill="auto"/>
            <w:noWrap/>
            <w:vAlign w:val="center"/>
          </w:tcPr>
          <w:p>
            <w:pPr>
              <w:widowControl/>
              <w:spacing w:line="276" w:lineRule="auto"/>
              <w:jc w:val="left"/>
              <w:rPr>
                <w:rFonts w:hint="eastAsia" w:ascii="Times New Roman" w:hAnsi="Times New Roman" w:cs="Times New Roman" w:eastAsiaTheme="minorEastAsia"/>
                <w:kern w:val="0"/>
                <w:szCs w:val="21"/>
                <w:lang w:eastAsia="zh-CN"/>
              </w:rPr>
            </w:pPr>
            <w:r>
              <w:rPr>
                <w:rFonts w:hint="default" w:ascii="Times New Roman" w:hAnsi="Times New Roman" w:cs="Times New Roman"/>
                <w:szCs w:val="21"/>
              </w:rPr>
              <w:t>wavelet-LLH_firstorder_Kurtosis_</w:t>
            </w:r>
            <w:r>
              <w:rPr>
                <w:rFonts w:hint="eastAsia" w:ascii="Times New Roman" w:hAnsi="Times New Roman" w:cs="Times New Roman"/>
                <w:szCs w:val="21"/>
                <w:lang w:eastAsia="zh-CN"/>
              </w:rPr>
              <w:t>DWI</w:t>
            </w:r>
          </w:p>
        </w:tc>
        <w:tc>
          <w:tcPr>
            <w:tcW w:w="1161"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cs="Times New Roman" w:eastAsiaTheme="minorEastAsia"/>
                <w:kern w:val="0"/>
                <w:szCs w:val="21"/>
                <w:lang w:eastAsia="zh-CN"/>
              </w:rPr>
            </w:pPr>
            <w:r>
              <w:rPr>
                <w:rFonts w:hint="default" w:ascii="Times New Roman" w:hAnsi="Times New Roman" w:cs="Times New Roman"/>
                <w:szCs w:val="21"/>
              </w:rPr>
              <w:t>wavelet-LLH_glcm_MaximumProbability_</w:t>
            </w:r>
            <w:r>
              <w:rPr>
                <w:rFonts w:hint="eastAsia" w:ascii="Times New Roman" w:hAnsi="Times New Roman" w:cs="Times New Roman"/>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cs="Times New Roman" w:eastAsiaTheme="minorEastAsia"/>
                <w:kern w:val="0"/>
                <w:szCs w:val="21"/>
                <w:lang w:eastAsia="zh-CN"/>
              </w:rPr>
            </w:pPr>
            <w:r>
              <w:rPr>
                <w:rFonts w:hint="default" w:ascii="Times New Roman" w:hAnsi="Times New Roman" w:cs="Times New Roman"/>
                <w:szCs w:val="21"/>
              </w:rPr>
              <w:t>wavelet-LHL_firstorder_Minimum_</w:t>
            </w:r>
            <w:r>
              <w:rPr>
                <w:rFonts w:hint="eastAsia" w:ascii="Times New Roman" w:hAnsi="Times New Roman" w:cs="Times New Roman"/>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cs="Times New Roman" w:eastAsiaTheme="minorEastAsia"/>
                <w:kern w:val="0"/>
                <w:szCs w:val="21"/>
                <w:lang w:eastAsia="zh-CN"/>
              </w:rPr>
            </w:pPr>
            <w:r>
              <w:rPr>
                <w:rFonts w:hint="default" w:ascii="Times New Roman" w:hAnsi="Times New Roman" w:cs="Times New Roman"/>
                <w:szCs w:val="21"/>
              </w:rPr>
              <w:t>wavelet-LHL_gldm_DependenceEntropy_</w:t>
            </w:r>
            <w:r>
              <w:rPr>
                <w:rFonts w:hint="eastAsia" w:ascii="Times New Roman" w:hAnsi="Times New Roman" w:cs="Times New Roman"/>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cs="Times New Roman" w:eastAsiaTheme="minorEastAsia"/>
                <w:kern w:val="0"/>
                <w:szCs w:val="21"/>
                <w:lang w:eastAsia="zh-CN"/>
              </w:rPr>
            </w:pPr>
            <w:r>
              <w:rPr>
                <w:rFonts w:hint="default" w:ascii="Times New Roman" w:hAnsi="Times New Roman" w:cs="Times New Roman"/>
                <w:szCs w:val="21"/>
              </w:rPr>
              <w:t>wavelet-HLL_glcm_Idn_</w:t>
            </w:r>
            <w:r>
              <w:rPr>
                <w:rFonts w:hint="eastAsia" w:ascii="Times New Roman" w:hAnsi="Times New Roman" w:cs="Times New Roman"/>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wavelet-HLH_glcm_MaximumProbability_</w:t>
            </w:r>
            <w:r>
              <w:rPr>
                <w:rFonts w:hint="eastAsia" w:ascii="Times New Roman" w:hAnsi="Times New Roman" w:eastAsia="等线" w:cs="Times New Roman"/>
                <w:kern w:val="0"/>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wavelet-HHL_glrlm_HighGrayLevelRunEmphasis_</w:t>
            </w:r>
            <w:r>
              <w:rPr>
                <w:rFonts w:hint="eastAsia" w:ascii="Times New Roman" w:hAnsi="Times New Roman" w:eastAsia="等线" w:cs="Times New Roman"/>
                <w:kern w:val="0"/>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GL</w:t>
            </w:r>
            <w:r>
              <w:rPr>
                <w:rFonts w:hint="default" w:ascii="Times New Roman" w:hAnsi="Times New Roman" w:eastAsia="等线" w:cs="Times New Roman"/>
                <w:kern w:val="0"/>
                <w:szCs w:val="21"/>
                <w:lang w:val="en-US" w:eastAsia="zh-CN"/>
              </w:rPr>
              <w:t>RLM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wavelet-HHH_firstorder_Skewness_</w:t>
            </w:r>
            <w:r>
              <w:rPr>
                <w:rFonts w:hint="eastAsia" w:ascii="Times New Roman" w:hAnsi="Times New Roman" w:eastAsia="等线" w:cs="Times New Roman"/>
                <w:kern w:val="0"/>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wavelet-HHH_firstorder_TotalEnergy_</w:t>
            </w:r>
            <w:r>
              <w:rPr>
                <w:rFonts w:hint="eastAsia" w:ascii="Times New Roman" w:hAnsi="Times New Roman" w:eastAsia="等线" w:cs="Times New Roman"/>
                <w:kern w:val="0"/>
                <w:szCs w:val="21"/>
                <w:lang w:eastAsia="zh-CN"/>
              </w:rPr>
              <w:t>DWI</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056" w:type="dxa"/>
            <w:vMerge w:val="continue"/>
            <w:tcBorders>
              <w:left w:val="nil"/>
              <w:bottom w:val="single" w:color="auto" w:sz="4" w:space="0"/>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single" w:color="auto" w:sz="4" w:space="0"/>
              <w:right w:val="nil"/>
            </w:tcBorders>
            <w:shd w:val="clear" w:color="auto" w:fill="auto"/>
            <w:noWrap/>
            <w:vAlign w:val="center"/>
          </w:tcPr>
          <w:p>
            <w:pPr>
              <w:widowControl/>
              <w:spacing w:line="276" w:lineRule="auto"/>
              <w:jc w:val="left"/>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wavelet-LLL_gldm_DependenceVariance_</w:t>
            </w:r>
            <w:r>
              <w:rPr>
                <w:rFonts w:hint="eastAsia" w:ascii="Times New Roman" w:hAnsi="Times New Roman" w:eastAsia="等线" w:cs="Times New Roman"/>
                <w:kern w:val="0"/>
                <w:szCs w:val="21"/>
                <w:lang w:eastAsia="zh-CN"/>
              </w:rPr>
              <w:t>DWI</w:t>
            </w:r>
          </w:p>
        </w:tc>
        <w:tc>
          <w:tcPr>
            <w:tcW w:w="1161" w:type="dxa"/>
            <w:tcBorders>
              <w:top w:val="nil"/>
              <w:left w:val="nil"/>
              <w:bottom w:val="single" w:color="auto" w:sz="4" w:space="0"/>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restart"/>
            <w:tcBorders>
              <w:top w:val="single" w:color="auto" w:sz="4" w:space="0"/>
              <w:left w:val="nil"/>
              <w:right w:val="nil"/>
            </w:tcBorders>
            <w:shd w:val="clear" w:color="auto" w:fill="auto"/>
            <w:vAlign w:val="center"/>
          </w:tcPr>
          <w:p>
            <w:pPr>
              <w:widowControl/>
              <w:spacing w:line="276" w:lineRule="auto"/>
              <w:jc w:val="center"/>
              <w:rPr>
                <w:rFonts w:hint="eastAsia" w:ascii="Times New Roman" w:hAnsi="Times New Roman" w:eastAsia="等线" w:cs="Times New Roman"/>
                <w:kern w:val="0"/>
                <w:szCs w:val="21"/>
                <w:lang w:eastAsia="zh-CN"/>
              </w:rPr>
            </w:pPr>
            <w:r>
              <w:rPr>
                <w:rFonts w:hint="default" w:ascii="Times New Roman" w:hAnsi="Times New Roman" w:eastAsia="等线" w:cs="Times New Roman"/>
                <w:kern w:val="0"/>
                <w:szCs w:val="21"/>
              </w:rPr>
              <w:t>T</w:t>
            </w:r>
            <w:r>
              <w:rPr>
                <w:rFonts w:hint="default" w:ascii="Times New Roman" w:hAnsi="Times New Roman" w:eastAsia="等线" w:cs="Times New Roman"/>
                <w:kern w:val="0"/>
                <w:szCs w:val="21"/>
                <w:vertAlign w:val="subscript"/>
              </w:rPr>
              <w:t>1</w:t>
            </w:r>
            <w:r>
              <w:rPr>
                <w:rFonts w:hint="default" w:ascii="Times New Roman" w:hAnsi="Times New Roman" w:eastAsia="等线" w:cs="Times New Roman"/>
                <w:kern w:val="0"/>
                <w:szCs w:val="21"/>
              </w:rPr>
              <w:t>CE</w:t>
            </w:r>
          </w:p>
          <w:p>
            <w:pPr>
              <w:widowControl/>
              <w:spacing w:line="276" w:lineRule="auto"/>
              <w:jc w:val="center"/>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(n=15)</w:t>
            </w:r>
          </w:p>
        </w:tc>
        <w:tc>
          <w:tcPr>
            <w:tcW w:w="6046"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log-sigma-2-0-mm-3D_glcm_ClusterShade_T1CE</w:t>
            </w:r>
          </w:p>
        </w:tc>
        <w:tc>
          <w:tcPr>
            <w:tcW w:w="1161" w:type="dxa"/>
            <w:tcBorders>
              <w:top w:val="single" w:color="auto" w:sz="4" w:space="0"/>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wavelet-HLL_glszm_ZonePercentage_T1CE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wavelet-HHH_gldm_DependenceVariance_T1CE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original_glrlm_ShortRunLowGrayLevelEmphasis_T1CE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GL</w:t>
            </w:r>
            <w:r>
              <w:rPr>
                <w:rFonts w:hint="default" w:ascii="Times New Roman" w:hAnsi="Times New Roman" w:eastAsia="等线" w:cs="Times New Roman"/>
                <w:kern w:val="0"/>
                <w:szCs w:val="21"/>
                <w:lang w:val="en-US" w:eastAsia="zh-CN"/>
              </w:rPr>
              <w:t>RLM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wavelet-HHH_glszm_SmallAreaLowGrayLevelEmphasis_T1CE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cs="Times New Roman"/>
                <w:szCs w:val="21"/>
              </w:rPr>
              <w:t>wavelet-LHH_glcm_Imc2_T1CE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original_glszm_ZoneVariance_T1CE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wavelet-LLL_glszm_ZonePercentage_T1CE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original_ngtdm_Strength_T1CE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lang w:val="en-US" w:eastAsia="zh-CN"/>
              </w:rPr>
            </w:pPr>
            <w:r>
              <w:rPr>
                <w:rFonts w:hint="eastAsia" w:ascii="Times New Roman" w:hAnsi="Times New Roman" w:eastAsia="等线" w:cs="Times New Roman"/>
                <w:kern w:val="0"/>
                <w:szCs w:val="21"/>
                <w:lang w:val="en-US" w:eastAsia="zh-CN"/>
              </w:rPr>
              <w:t>Ngtdm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wavelet-HHH_glszm_SmallAreaHighGrayLevelEmphasis_T1CE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wavelet-LLH_gldm_DependenceVariance_T1CE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wavelet-LLL_firstorder_Kurtosis_T1CE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F</w:t>
            </w:r>
            <w:r>
              <w:rPr>
                <w:rFonts w:hint="default" w:ascii="Times New Roman" w:hAnsi="Times New Roman" w:eastAsia="等线" w:cs="Times New Roman"/>
                <w:kern w:val="0"/>
                <w:szCs w:val="21"/>
              </w:rPr>
              <w:t>irstorder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original_glszm_SmallAreaHighGrayLevelEmphasis_T1CE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GLSZM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wavelet-LLL_glrlm_RunLengthNonUniformity_T1CE</w:t>
            </w:r>
          </w:p>
        </w:tc>
        <w:tc>
          <w:tcPr>
            <w:tcW w:w="1161" w:type="dxa"/>
            <w:tcBorders>
              <w:top w:val="nil"/>
              <w:left w:val="nil"/>
              <w:bottom w:val="nil"/>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GL</w:t>
            </w:r>
            <w:r>
              <w:rPr>
                <w:rFonts w:hint="default" w:ascii="Times New Roman" w:hAnsi="Times New Roman" w:eastAsia="等线" w:cs="Times New Roman"/>
                <w:kern w:val="0"/>
                <w:szCs w:val="21"/>
                <w:lang w:val="en-US" w:eastAsia="zh-CN"/>
              </w:rPr>
              <w:t>RLM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1056" w:type="dxa"/>
            <w:vMerge w:val="continue"/>
            <w:tcBorders>
              <w:left w:val="nil"/>
              <w:bottom w:val="single" w:color="auto" w:sz="4" w:space="0"/>
              <w:right w:val="nil"/>
            </w:tcBorders>
            <w:vAlign w:val="center"/>
          </w:tcPr>
          <w:p>
            <w:pPr>
              <w:widowControl/>
              <w:spacing w:line="276" w:lineRule="auto"/>
              <w:jc w:val="left"/>
              <w:rPr>
                <w:rFonts w:hint="default" w:ascii="Times New Roman" w:hAnsi="Times New Roman" w:eastAsia="等线" w:cs="Times New Roman"/>
                <w:kern w:val="0"/>
                <w:szCs w:val="21"/>
              </w:rPr>
            </w:pPr>
          </w:p>
        </w:tc>
        <w:tc>
          <w:tcPr>
            <w:tcW w:w="6046" w:type="dxa"/>
            <w:tcBorders>
              <w:top w:val="nil"/>
              <w:left w:val="nil"/>
              <w:bottom w:val="single" w:color="auto" w:sz="4" w:space="0"/>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rPr>
              <w:t>wavelet-HLH_glcm_SumEntropy_T1CE</w:t>
            </w:r>
          </w:p>
        </w:tc>
        <w:tc>
          <w:tcPr>
            <w:tcW w:w="1161" w:type="dxa"/>
            <w:tcBorders>
              <w:top w:val="nil"/>
              <w:left w:val="nil"/>
              <w:bottom w:val="single" w:color="auto" w:sz="4" w:space="0"/>
              <w:right w:val="nil"/>
            </w:tcBorders>
            <w:shd w:val="clear" w:color="auto" w:fill="auto"/>
            <w:noWrap/>
            <w:vAlign w:val="center"/>
          </w:tcPr>
          <w:p>
            <w:pPr>
              <w:widowControl/>
              <w:spacing w:line="276" w:lineRule="auto"/>
              <w:jc w:val="left"/>
              <w:rPr>
                <w:rFonts w:hint="default" w:ascii="Times New Roman" w:hAnsi="Times New Roman" w:eastAsia="等线" w:cs="Times New Roman"/>
                <w:kern w:val="0"/>
                <w:szCs w:val="21"/>
              </w:rPr>
            </w:pPr>
            <w:r>
              <w:rPr>
                <w:rFonts w:hint="default" w:ascii="Times New Roman" w:hAnsi="Times New Roman" w:eastAsia="等线" w:cs="Times New Roman"/>
                <w:kern w:val="0"/>
                <w:szCs w:val="21"/>
                <w:lang w:val="en-US" w:eastAsia="zh-CN"/>
              </w:rPr>
              <w:t>GLCM</w:t>
            </w:r>
          </w:p>
        </w:tc>
      </w:tr>
    </w:tbl>
    <w:p>
      <w:pPr>
        <w:spacing w:line="276" w:lineRule="auto"/>
        <w:rPr>
          <w:rFonts w:ascii="Times New Roman" w:hAnsi="Times New Roman" w:cs="Times New Roman"/>
          <w:szCs w:val="21"/>
        </w:rPr>
      </w:pPr>
      <w:r>
        <w:rPr>
          <w:rFonts w:ascii="Times New Roman" w:hAnsi="Times New Roman" w:cs="Times New Roman"/>
          <w:szCs w:val="21"/>
        </w:rPr>
        <w:t>Note. Rad-score of the fusion model can be calculated by intercept and their respective coefficients. intercept</w:t>
      </w:r>
      <w:r>
        <w:rPr>
          <w:rFonts w:ascii="Times New Roman" w:hAnsi="Times New Roman" w:eastAsia="宋体" w:cs="Times New Roman"/>
          <w:color w:val="000000" w:themeColor="text1"/>
          <w:kern w:val="0"/>
          <w:szCs w:val="21"/>
          <w14:textFill>
            <w14:solidFill>
              <w14:schemeClr w14:val="tx1"/>
            </w14:solidFill>
          </w14:textFill>
        </w:rPr>
        <w:t xml:space="preserve"> = </w:t>
      </w:r>
      <w:r>
        <w:rPr>
          <w:rFonts w:ascii="Times New Roman" w:hAnsi="Times New Roman" w:cs="Times New Roman"/>
          <w:szCs w:val="21"/>
        </w:rPr>
        <w:t>-1.515.</w:t>
      </w:r>
    </w:p>
    <w:p>
      <w:pPr>
        <w:spacing w:line="276" w:lineRule="auto"/>
        <w:rPr>
          <w:rFonts w:ascii="Times New Roman" w:hAnsi="Times New Roman" w:cs="Times New Roman"/>
          <w:b/>
          <w:bCs/>
          <w:sz w:val="24"/>
          <w:szCs w:val="24"/>
        </w:rPr>
      </w:pP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    </w:t>
      </w:r>
    </w:p>
    <w:p>
      <w:pPr>
        <w:spacing w:line="276" w:lineRule="auto"/>
        <w:ind w:firstLine="482" w:firstLineChars="200"/>
        <w:rPr>
          <w:rFonts w:ascii="Times New Roman" w:hAnsi="Times New Roman" w:cs="Times New Roman"/>
          <w:b w:val="0"/>
          <w:bCs w:val="0"/>
          <w:sz w:val="24"/>
          <w:szCs w:val="24"/>
        </w:rPr>
      </w:pPr>
      <w:r>
        <w:rPr>
          <w:rFonts w:ascii="Times New Roman" w:hAnsi="Times New Roman" w:cs="Times New Roman"/>
          <w:b/>
          <w:bCs/>
          <w:sz w:val="24"/>
          <w:highlight w:val="none"/>
        </w:rPr>
        <w:t>Table S</w:t>
      </w:r>
      <w:r>
        <w:rPr>
          <w:rFonts w:hint="eastAsia" w:ascii="Times New Roman" w:hAnsi="Times New Roman" w:cs="Times New Roman"/>
          <w:b/>
          <w:bCs/>
          <w:sz w:val="24"/>
          <w:highlight w:val="none"/>
          <w:lang w:val="en-US" w:eastAsia="zh-CN"/>
        </w:rPr>
        <w:t>3</w:t>
      </w:r>
      <w:r>
        <w:rPr>
          <w:rFonts w:ascii="Times New Roman" w:hAnsi="Times New Roman" w:cs="Times New Roman"/>
          <w:b/>
          <w:bCs/>
          <w:sz w:val="24"/>
          <w:highlight w:val="none"/>
        </w:rPr>
        <w:t>.</w:t>
      </w:r>
      <w:r>
        <w:rPr>
          <w:rFonts w:hint="eastAsia" w:ascii="Times New Roman" w:hAnsi="Times New Roman" w:cs="Times New Roman"/>
          <w:b/>
          <w:bCs/>
          <w:sz w:val="24"/>
          <w:highlight w:val="none"/>
          <w:lang w:val="en-US" w:eastAsia="zh-CN"/>
        </w:rPr>
        <w:t xml:space="preserve"> </w:t>
      </w:r>
      <w:r>
        <w:rPr>
          <w:rFonts w:hint="eastAsia" w:ascii="Times New Roman" w:hAnsi="Times New Roman" w:cs="Times New Roman"/>
          <w:b w:val="0"/>
          <w:bCs w:val="0"/>
          <w:sz w:val="24"/>
          <w:highlight w:val="none"/>
        </w:rPr>
        <w:t>Multi-factor logistic regression analysis based on different sequences optimal feature combinations</w:t>
      </w:r>
      <w:r>
        <w:rPr>
          <w:rFonts w:ascii="Times New Roman" w:hAnsi="Times New Roman" w:cs="Times New Roman"/>
          <w:b w:val="0"/>
          <w:bCs w:val="0"/>
          <w:sz w:val="24"/>
          <w:szCs w:val="24"/>
        </w:rPr>
        <w:t xml:space="preserve">    </w:t>
      </w:r>
    </w:p>
    <w:tbl>
      <w:tblPr>
        <w:tblStyle w:val="6"/>
        <w:tblW w:w="9412" w:type="dxa"/>
        <w:tblInd w:w="0" w:type="dxa"/>
        <w:tblLayout w:type="fixed"/>
        <w:tblCellMar>
          <w:top w:w="0" w:type="dxa"/>
          <w:left w:w="108" w:type="dxa"/>
          <w:bottom w:w="0" w:type="dxa"/>
          <w:right w:w="108" w:type="dxa"/>
        </w:tblCellMar>
      </w:tblPr>
      <w:tblGrid>
        <w:gridCol w:w="2103"/>
        <w:gridCol w:w="4966"/>
        <w:gridCol w:w="1692"/>
        <w:gridCol w:w="651"/>
      </w:tblGrid>
      <w:tr>
        <w:tblPrEx>
          <w:tblCellMar>
            <w:top w:w="0" w:type="dxa"/>
            <w:left w:w="108" w:type="dxa"/>
            <w:bottom w:w="0" w:type="dxa"/>
            <w:right w:w="108" w:type="dxa"/>
          </w:tblCellMar>
        </w:tblPrEx>
        <w:trPr>
          <w:trHeight w:val="396" w:hRule="atLeast"/>
        </w:trPr>
        <w:tc>
          <w:tcPr>
            <w:tcW w:w="2103" w:type="dxa"/>
            <w:vMerge w:val="restart"/>
            <w:tcBorders>
              <w:top w:val="single" w:color="auto" w:sz="8" w:space="0"/>
              <w:left w:val="nil"/>
              <w:bottom w:val="single" w:color="000000" w:sz="8" w:space="0"/>
              <w:right w:val="nil"/>
            </w:tcBorders>
            <w:shd w:val="clear" w:color="auto" w:fill="auto"/>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Combinated Sequences</w:t>
            </w:r>
          </w:p>
        </w:tc>
        <w:tc>
          <w:tcPr>
            <w:tcW w:w="4966" w:type="dxa"/>
            <w:vMerge w:val="restart"/>
            <w:tcBorders>
              <w:top w:val="single" w:color="auto" w:sz="8" w:space="0"/>
              <w:left w:val="nil"/>
              <w:bottom w:val="single" w:color="000000" w:sz="8" w:space="0"/>
              <w:right w:val="nil"/>
            </w:tcBorders>
            <w:shd w:val="clear" w:color="auto" w:fill="auto"/>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Feature names</w:t>
            </w:r>
          </w:p>
        </w:tc>
        <w:tc>
          <w:tcPr>
            <w:tcW w:w="1692" w:type="dxa"/>
            <w:vMerge w:val="restart"/>
            <w:tcBorders>
              <w:top w:val="single" w:color="auto" w:sz="8" w:space="0"/>
              <w:left w:val="nil"/>
              <w:bottom w:val="single" w:color="000000" w:sz="8" w:space="0"/>
              <w:right w:val="nil"/>
            </w:tcBorders>
            <w:shd w:val="clear" w:color="auto" w:fill="auto"/>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OR</w:t>
            </w:r>
            <w:r>
              <w:rPr>
                <w:rFonts w:hint="eastAsia" w:ascii="微软雅黑" w:hAnsi="微软雅黑" w:eastAsia="微软雅黑" w:cs="Times New Roman"/>
                <w:b/>
                <w:bCs/>
                <w:color w:val="000000"/>
                <w:kern w:val="0"/>
                <w:sz w:val="18"/>
                <w:szCs w:val="18"/>
              </w:rPr>
              <w:t>（</w:t>
            </w:r>
            <w:r>
              <w:rPr>
                <w:rFonts w:ascii="Times New Roman" w:hAnsi="Times New Roman" w:eastAsia="等线" w:cs="Times New Roman"/>
                <w:b/>
                <w:bCs/>
                <w:color w:val="000000"/>
                <w:kern w:val="0"/>
                <w:sz w:val="18"/>
                <w:szCs w:val="18"/>
              </w:rPr>
              <w:t>95%CI</w:t>
            </w:r>
            <w:r>
              <w:rPr>
                <w:rFonts w:hint="eastAsia" w:ascii="微软雅黑" w:hAnsi="微软雅黑" w:eastAsia="微软雅黑" w:cs="Times New Roman"/>
                <w:b/>
                <w:bCs/>
                <w:color w:val="000000"/>
                <w:kern w:val="0"/>
                <w:sz w:val="18"/>
                <w:szCs w:val="18"/>
              </w:rPr>
              <w:t>）</w:t>
            </w:r>
          </w:p>
        </w:tc>
        <w:tc>
          <w:tcPr>
            <w:tcW w:w="651" w:type="dxa"/>
            <w:vMerge w:val="restart"/>
            <w:tcBorders>
              <w:top w:val="single" w:color="auto" w:sz="8" w:space="0"/>
              <w:left w:val="nil"/>
              <w:bottom w:val="single" w:color="000000" w:sz="8" w:space="0"/>
              <w:right w:val="nil"/>
            </w:tcBorders>
            <w:shd w:val="clear" w:color="auto" w:fill="auto"/>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i/>
                <w:iCs/>
                <w:color w:val="000000"/>
                <w:kern w:val="0"/>
                <w:sz w:val="18"/>
                <w:szCs w:val="18"/>
              </w:rPr>
              <w:t>P</w:t>
            </w:r>
            <w:r>
              <w:rPr>
                <w:rFonts w:ascii="Times New Roman" w:hAnsi="Times New Roman" w:eastAsia="等线" w:cs="Times New Roman"/>
                <w:b/>
                <w:bCs/>
                <w:color w:val="000000"/>
                <w:kern w:val="0"/>
                <w:sz w:val="18"/>
                <w:szCs w:val="18"/>
              </w:rPr>
              <w:t>-value</w:t>
            </w:r>
          </w:p>
        </w:tc>
      </w:tr>
      <w:tr>
        <w:tblPrEx>
          <w:tblCellMar>
            <w:top w:w="0" w:type="dxa"/>
            <w:left w:w="108" w:type="dxa"/>
            <w:bottom w:w="0" w:type="dxa"/>
            <w:right w:w="108" w:type="dxa"/>
          </w:tblCellMar>
        </w:tblPrEx>
        <w:trPr>
          <w:trHeight w:val="312" w:hRule="atLeast"/>
        </w:trPr>
        <w:tc>
          <w:tcPr>
            <w:tcW w:w="2103" w:type="dxa"/>
            <w:vMerge w:val="continue"/>
            <w:tcBorders>
              <w:top w:val="single" w:color="auto" w:sz="8" w:space="0"/>
              <w:left w:val="nil"/>
              <w:bottom w:val="single" w:color="000000" w:sz="8" w:space="0"/>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continue"/>
            <w:tcBorders>
              <w:top w:val="single" w:color="auto" w:sz="8" w:space="0"/>
              <w:left w:val="nil"/>
              <w:bottom w:val="single" w:color="000000" w:sz="8" w:space="0"/>
              <w:right w:val="nil"/>
            </w:tcBorders>
            <w:vAlign w:val="center"/>
          </w:tcPr>
          <w:p>
            <w:pPr>
              <w:widowControl/>
              <w:jc w:val="left"/>
              <w:rPr>
                <w:rFonts w:ascii="Times New Roman" w:hAnsi="Times New Roman" w:eastAsia="等线" w:cs="Times New Roman"/>
                <w:b/>
                <w:bCs/>
                <w:color w:val="000000"/>
                <w:kern w:val="0"/>
                <w:sz w:val="18"/>
                <w:szCs w:val="18"/>
              </w:rPr>
            </w:pPr>
          </w:p>
        </w:tc>
        <w:tc>
          <w:tcPr>
            <w:tcW w:w="1692" w:type="dxa"/>
            <w:vMerge w:val="continue"/>
            <w:tcBorders>
              <w:top w:val="single" w:color="auto" w:sz="8" w:space="0"/>
              <w:left w:val="nil"/>
              <w:bottom w:val="single" w:color="000000" w:sz="8" w:space="0"/>
              <w:right w:val="nil"/>
            </w:tcBorders>
            <w:vAlign w:val="center"/>
          </w:tcPr>
          <w:p>
            <w:pPr>
              <w:widowControl/>
              <w:jc w:val="left"/>
              <w:rPr>
                <w:rFonts w:ascii="Times New Roman" w:hAnsi="Times New Roman" w:eastAsia="等线" w:cs="Times New Roman"/>
                <w:b/>
                <w:bCs/>
                <w:color w:val="000000"/>
                <w:kern w:val="0"/>
                <w:sz w:val="18"/>
                <w:szCs w:val="18"/>
              </w:rPr>
            </w:pPr>
          </w:p>
        </w:tc>
        <w:tc>
          <w:tcPr>
            <w:tcW w:w="651" w:type="dxa"/>
            <w:vMerge w:val="continue"/>
            <w:tcBorders>
              <w:top w:val="single" w:color="auto" w:sz="8" w:space="0"/>
              <w:left w:val="nil"/>
              <w:bottom w:val="single" w:color="000000" w:sz="8" w:space="0"/>
              <w:right w:val="nil"/>
            </w:tcBorders>
            <w:vAlign w:val="center"/>
          </w:tcPr>
          <w:p>
            <w:pPr>
              <w:widowControl/>
              <w:jc w:val="left"/>
              <w:rPr>
                <w:rFonts w:ascii="Times New Roman" w:hAnsi="Times New Roman" w:eastAsia="等线" w:cs="Times New Roman"/>
                <w:b/>
                <w:bCs/>
                <w:color w:val="000000"/>
                <w:kern w:val="0"/>
                <w:sz w:val="18"/>
                <w:szCs w:val="18"/>
              </w:rPr>
            </w:pPr>
          </w:p>
        </w:tc>
      </w:tr>
      <w:tr>
        <w:tblPrEx>
          <w:tblCellMar>
            <w:top w:w="0" w:type="dxa"/>
            <w:left w:w="108" w:type="dxa"/>
            <w:bottom w:w="0" w:type="dxa"/>
            <w:right w:w="108" w:type="dxa"/>
          </w:tblCellMar>
        </w:tblPrEx>
        <w:trPr>
          <w:trHeight w:val="312" w:hRule="atLeast"/>
        </w:trPr>
        <w:tc>
          <w:tcPr>
            <w:tcW w:w="2103" w:type="dxa"/>
            <w:vMerge w:val="restart"/>
            <w:tcBorders>
              <w:top w:val="nil"/>
              <w:left w:val="nil"/>
              <w:bottom w:val="nil"/>
              <w:right w:val="nil"/>
            </w:tcBorders>
            <w:shd w:val="clear" w:color="000000" w:fill="D0CECE"/>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T2WI+T1WI</w:t>
            </w:r>
          </w:p>
        </w:tc>
        <w:tc>
          <w:tcPr>
            <w:tcW w:w="4966" w:type="dxa"/>
            <w:vMerge w:val="restart"/>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vMerge w:val="restart"/>
            <w:tcBorders>
              <w:top w:val="single" w:color="auto" w:sz="8" w:space="0"/>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0.643</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0.467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0.885</w:t>
            </w:r>
            <w:r>
              <w:rPr>
                <w:rFonts w:hint="eastAsia" w:ascii="宋体" w:hAnsi="宋体" w:eastAsia="宋体" w:cs="Times New Roman"/>
                <w:color w:val="000000"/>
                <w:kern w:val="0"/>
                <w:sz w:val="18"/>
                <w:szCs w:val="18"/>
              </w:rPr>
              <w:t>）</w:t>
            </w:r>
          </w:p>
        </w:tc>
        <w:tc>
          <w:tcPr>
            <w:tcW w:w="651" w:type="dxa"/>
            <w:vMerge w:val="restart"/>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0.007</w:t>
            </w: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1692" w:type="dxa"/>
            <w:vMerge w:val="continue"/>
            <w:tcBorders>
              <w:top w:val="single" w:color="auto" w:sz="8" w:space="0"/>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651"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r>
      <w:tr>
        <w:tblPrEx>
          <w:tblCellMar>
            <w:top w:w="0" w:type="dxa"/>
            <w:left w:w="108" w:type="dxa"/>
            <w:bottom w:w="0" w:type="dxa"/>
            <w:right w:w="108" w:type="dxa"/>
          </w:tblCellMar>
        </w:tblPrEx>
        <w:trPr>
          <w:trHeight w:val="21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wavelet-HLL_glcm_MCC_T1</w:t>
            </w:r>
          </w:p>
        </w:tc>
        <w:tc>
          <w:tcPr>
            <w:tcW w:w="1692"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1.418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1.027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1.957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0.034</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wavelet-LLH_firstorder_InterquartileRange_T2</w:t>
            </w:r>
          </w:p>
        </w:tc>
        <w:tc>
          <w:tcPr>
            <w:tcW w:w="1692"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1.712</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1.256</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2.334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wavelet-LHL_glszm_GrayLevelNonUniformity_T2</w:t>
            </w:r>
          </w:p>
        </w:tc>
        <w:tc>
          <w:tcPr>
            <w:tcW w:w="1692"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1.439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1.049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1.973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0.024</w:t>
            </w:r>
          </w:p>
        </w:tc>
      </w:tr>
      <w:tr>
        <w:tblPrEx>
          <w:tblCellMar>
            <w:top w:w="0" w:type="dxa"/>
            <w:left w:w="108" w:type="dxa"/>
            <w:bottom w:w="0" w:type="dxa"/>
            <w:right w:w="108" w:type="dxa"/>
          </w:tblCellMar>
        </w:tblPrEx>
        <w:trPr>
          <w:trHeight w:val="45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wavelet-HLL_gldm_LargeDependenceHighGrayLevelEmphasis_T2</w:t>
            </w:r>
          </w:p>
        </w:tc>
        <w:tc>
          <w:tcPr>
            <w:tcW w:w="1692"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0.510</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0.344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0.756</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34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wavelet-LLL_glcm_Correlation_T2</w:t>
            </w:r>
          </w:p>
        </w:tc>
        <w:tc>
          <w:tcPr>
            <w:tcW w:w="1692"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1.543</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1.075</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2.214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0CECE"/>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0.019</w:t>
            </w:r>
          </w:p>
        </w:tc>
      </w:tr>
      <w:tr>
        <w:tblPrEx>
          <w:tblCellMar>
            <w:top w:w="0" w:type="dxa"/>
            <w:left w:w="108" w:type="dxa"/>
            <w:bottom w:w="0" w:type="dxa"/>
            <w:right w:w="108" w:type="dxa"/>
          </w:tblCellMar>
        </w:tblPrEx>
        <w:trPr>
          <w:trHeight w:val="312" w:hRule="atLeast"/>
        </w:trPr>
        <w:tc>
          <w:tcPr>
            <w:tcW w:w="2103" w:type="dxa"/>
            <w:vMerge w:val="restart"/>
            <w:tcBorders>
              <w:top w:val="nil"/>
              <w:left w:val="nil"/>
              <w:bottom w:val="nil"/>
              <w:right w:val="nil"/>
            </w:tcBorders>
            <w:shd w:val="clear" w:color="000000" w:fill="D6DCE4"/>
            <w:vAlign w:val="center"/>
          </w:tcPr>
          <w:p>
            <w:pPr>
              <w:widowControl/>
              <w:jc w:val="center"/>
              <w:rPr>
                <w:rFonts w:hint="default" w:ascii="Times New Roman" w:hAnsi="Times New Roman" w:eastAsia="等线" w:cs="Times New Roman"/>
                <w:b/>
                <w:bCs/>
                <w:color w:val="000000"/>
                <w:kern w:val="0"/>
                <w:sz w:val="18"/>
                <w:szCs w:val="18"/>
                <w:lang w:val="en-US" w:eastAsia="zh-CN"/>
              </w:rPr>
            </w:pPr>
            <w:r>
              <w:rPr>
                <w:rFonts w:ascii="Times New Roman" w:hAnsi="Times New Roman" w:eastAsia="等线" w:cs="Times New Roman"/>
                <w:b/>
                <w:bCs/>
                <w:color w:val="000000"/>
                <w:kern w:val="0"/>
                <w:sz w:val="18"/>
                <w:szCs w:val="18"/>
              </w:rPr>
              <w:t>T1WI+</w:t>
            </w:r>
            <w:r>
              <w:rPr>
                <w:rFonts w:hint="eastAsia" w:ascii="Times New Roman" w:hAnsi="Times New Roman" w:eastAsia="等线" w:cs="Times New Roman"/>
                <w:b/>
                <w:bCs/>
                <w:color w:val="000000"/>
                <w:kern w:val="0"/>
                <w:sz w:val="18"/>
                <w:szCs w:val="18"/>
                <w:lang w:val="en-US" w:eastAsia="zh-CN"/>
              </w:rPr>
              <w:t>DWI</w:t>
            </w:r>
          </w:p>
        </w:tc>
        <w:tc>
          <w:tcPr>
            <w:tcW w:w="4966" w:type="dxa"/>
            <w:vMerge w:val="restart"/>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vMerge w:val="restart"/>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0.659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0.481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0.903</w:t>
            </w:r>
            <w:r>
              <w:rPr>
                <w:rFonts w:hint="eastAsia" w:ascii="宋体" w:hAnsi="宋体" w:eastAsia="宋体" w:cs="Times New Roman"/>
                <w:color w:val="000000"/>
                <w:kern w:val="0"/>
                <w:sz w:val="18"/>
                <w:szCs w:val="18"/>
              </w:rPr>
              <w:t>）</w:t>
            </w:r>
          </w:p>
        </w:tc>
        <w:tc>
          <w:tcPr>
            <w:tcW w:w="651" w:type="dxa"/>
            <w:vMerge w:val="restart"/>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0.009</w:t>
            </w: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1692"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651"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restart"/>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wavelet-LLL_glrlm_RunLengthNonUniformity_T1</w:t>
            </w:r>
          </w:p>
        </w:tc>
        <w:tc>
          <w:tcPr>
            <w:tcW w:w="1692" w:type="dxa"/>
            <w:vMerge w:val="restart"/>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1.580</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1.135</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2.200</w:t>
            </w:r>
            <w:r>
              <w:rPr>
                <w:rFonts w:hint="eastAsia" w:ascii="宋体" w:hAnsi="宋体" w:eastAsia="宋体" w:cs="Times New Roman"/>
                <w:color w:val="000000"/>
                <w:kern w:val="0"/>
                <w:sz w:val="18"/>
                <w:szCs w:val="18"/>
              </w:rPr>
              <w:t>）</w:t>
            </w:r>
          </w:p>
        </w:tc>
        <w:tc>
          <w:tcPr>
            <w:tcW w:w="651" w:type="dxa"/>
            <w:vMerge w:val="restart"/>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0.007</w:t>
            </w: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1692"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651"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r>
      <w:tr>
        <w:tblPrEx>
          <w:tblCellMar>
            <w:top w:w="0" w:type="dxa"/>
            <w:left w:w="108" w:type="dxa"/>
            <w:bottom w:w="0" w:type="dxa"/>
            <w:right w:w="108" w:type="dxa"/>
          </w:tblCellMar>
        </w:tblPrEx>
        <w:trPr>
          <w:trHeight w:val="56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wavelet-LHH_gldm_LargeDependenceHighGrayLevelEmphasis_T1</w:t>
            </w:r>
          </w:p>
        </w:tc>
        <w:tc>
          <w:tcPr>
            <w:tcW w:w="1692"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0.646</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0.447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0.933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w:t>
            </w:r>
          </w:p>
        </w:tc>
      </w:tr>
      <w:tr>
        <w:tblPrEx>
          <w:tblCellMar>
            <w:top w:w="0" w:type="dxa"/>
            <w:left w:w="108" w:type="dxa"/>
            <w:bottom w:w="0" w:type="dxa"/>
            <w:right w:w="108" w:type="dxa"/>
          </w:tblCellMar>
        </w:tblPrEx>
        <w:trPr>
          <w:trHeight w:val="22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log-sigma-2-0-mm-3D_firstorder_Skewness_T1</w:t>
            </w:r>
          </w:p>
        </w:tc>
        <w:tc>
          <w:tcPr>
            <w:tcW w:w="1692"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0.661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0.474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0.921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0.014</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6DCE4"/>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0.594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0.412</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0.856)</w:t>
            </w:r>
          </w:p>
        </w:tc>
        <w:tc>
          <w:tcPr>
            <w:tcW w:w="651"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0.005</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6DCE4"/>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wavelet-HLH_glcm_MaximumProbability_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0.590</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0.406</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0.857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0.006</w:t>
            </w:r>
          </w:p>
        </w:tc>
      </w:tr>
      <w:tr>
        <w:tblPrEx>
          <w:tblCellMar>
            <w:top w:w="0" w:type="dxa"/>
            <w:left w:w="108" w:type="dxa"/>
            <w:bottom w:w="0" w:type="dxa"/>
            <w:right w:w="108" w:type="dxa"/>
          </w:tblCellMar>
        </w:tblPrEx>
        <w:trPr>
          <w:trHeight w:val="19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6DCE4"/>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wavelet-HHH_firstorder_Skewness_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0.663</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0.469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0.937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w:t>
            </w:r>
          </w:p>
        </w:tc>
      </w:tr>
      <w:tr>
        <w:tblPrEx>
          <w:tblCellMar>
            <w:top w:w="0" w:type="dxa"/>
            <w:left w:w="108" w:type="dxa"/>
            <w:bottom w:w="0" w:type="dxa"/>
            <w:right w:w="108" w:type="dxa"/>
          </w:tblCellMar>
        </w:tblPrEx>
        <w:trPr>
          <w:trHeight w:val="25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6DCE4"/>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wavelet-LLL_gldm_DependenceVariance_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1.603</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1.139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2.257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6DCE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0.007</w:t>
            </w:r>
          </w:p>
        </w:tc>
      </w:tr>
      <w:tr>
        <w:tblPrEx>
          <w:tblCellMar>
            <w:top w:w="0" w:type="dxa"/>
            <w:left w:w="108" w:type="dxa"/>
            <w:bottom w:w="0" w:type="dxa"/>
            <w:right w:w="108" w:type="dxa"/>
          </w:tblCellMar>
        </w:tblPrEx>
        <w:trPr>
          <w:trHeight w:val="300" w:hRule="atLeast"/>
        </w:trPr>
        <w:tc>
          <w:tcPr>
            <w:tcW w:w="2103" w:type="dxa"/>
            <w:vMerge w:val="restart"/>
            <w:tcBorders>
              <w:top w:val="nil"/>
              <w:left w:val="nil"/>
              <w:bottom w:val="nil"/>
              <w:right w:val="nil"/>
            </w:tcBorders>
            <w:shd w:val="clear" w:color="000000" w:fill="FCE4D6"/>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T1WI+T1CE</w:t>
            </w:r>
          </w:p>
        </w:tc>
        <w:tc>
          <w:tcPr>
            <w:tcW w:w="4966"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0.637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0.463</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0.879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0.006</w:t>
            </w:r>
          </w:p>
        </w:tc>
      </w:tr>
      <w:tr>
        <w:tblPrEx>
          <w:tblCellMar>
            <w:top w:w="0" w:type="dxa"/>
            <w:left w:w="108" w:type="dxa"/>
            <w:bottom w:w="0" w:type="dxa"/>
            <w:right w:w="108" w:type="dxa"/>
          </w:tblCellMar>
        </w:tblPrEx>
        <w:trPr>
          <w:trHeight w:val="37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original_gldm_DependenceVariance_T1</w:t>
            </w:r>
          </w:p>
        </w:tc>
        <w:tc>
          <w:tcPr>
            <w:tcW w:w="1692"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1.739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1.189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2.545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0.004</w:t>
            </w:r>
          </w:p>
        </w:tc>
      </w:tr>
      <w:tr>
        <w:tblPrEx>
          <w:tblCellMar>
            <w:top w:w="0" w:type="dxa"/>
            <w:left w:w="108" w:type="dxa"/>
            <w:bottom w:w="0" w:type="dxa"/>
            <w:right w:w="108" w:type="dxa"/>
          </w:tblCellMar>
        </w:tblPrEx>
        <w:trPr>
          <w:trHeight w:val="26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wavelet-HLL_glszm_ZonePercentage_T1CE</w:t>
            </w:r>
          </w:p>
        </w:tc>
        <w:tc>
          <w:tcPr>
            <w:tcW w:w="1692"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1.550</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1.134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2.118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0.006</w:t>
            </w:r>
          </w:p>
        </w:tc>
      </w:tr>
      <w:tr>
        <w:tblPrEx>
          <w:tblCellMar>
            <w:top w:w="0" w:type="dxa"/>
            <w:left w:w="108" w:type="dxa"/>
            <w:bottom w:w="0" w:type="dxa"/>
            <w:right w:w="108" w:type="dxa"/>
          </w:tblCellMar>
        </w:tblPrEx>
        <w:trPr>
          <w:trHeight w:val="20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wavelet-HHH_gldm_DependenceVariance_T1CE</w:t>
            </w:r>
          </w:p>
        </w:tc>
        <w:tc>
          <w:tcPr>
            <w:tcW w:w="1692"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0.466</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0.300</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0.722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40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wavelet-HHH_glszm_SmallAreaLowGrayLevelEmphasis_T1CE</w:t>
            </w:r>
          </w:p>
        </w:tc>
        <w:tc>
          <w:tcPr>
            <w:tcW w:w="1692"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1.402</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1.028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1.913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0.033</w:t>
            </w:r>
          </w:p>
        </w:tc>
      </w:tr>
      <w:tr>
        <w:tblPrEx>
          <w:tblCellMar>
            <w:top w:w="0" w:type="dxa"/>
            <w:left w:w="108" w:type="dxa"/>
            <w:bottom w:w="0" w:type="dxa"/>
            <w:right w:w="108" w:type="dxa"/>
          </w:tblCellMar>
        </w:tblPrEx>
        <w:trPr>
          <w:trHeight w:val="28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wavelet-LLL_glszm_ZonePercentage_T1CE</w:t>
            </w:r>
          </w:p>
        </w:tc>
        <w:tc>
          <w:tcPr>
            <w:tcW w:w="1692"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0.668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0.461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0.970</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CE4D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0.034</w:t>
            </w:r>
          </w:p>
        </w:tc>
      </w:tr>
      <w:tr>
        <w:tblPrEx>
          <w:tblCellMar>
            <w:top w:w="0" w:type="dxa"/>
            <w:left w:w="108" w:type="dxa"/>
            <w:bottom w:w="0" w:type="dxa"/>
            <w:right w:w="108" w:type="dxa"/>
          </w:tblCellMar>
        </w:tblPrEx>
        <w:trPr>
          <w:trHeight w:val="348" w:hRule="atLeast"/>
        </w:trPr>
        <w:tc>
          <w:tcPr>
            <w:tcW w:w="2103" w:type="dxa"/>
            <w:vMerge w:val="restart"/>
            <w:tcBorders>
              <w:top w:val="nil"/>
              <w:left w:val="nil"/>
              <w:bottom w:val="nil"/>
              <w:right w:val="nil"/>
            </w:tcBorders>
            <w:shd w:val="clear" w:color="000000" w:fill="FFF2CC"/>
            <w:vAlign w:val="center"/>
          </w:tcPr>
          <w:p>
            <w:pPr>
              <w:widowControl/>
              <w:jc w:val="center"/>
              <w:rPr>
                <w:rFonts w:hint="default" w:ascii="Times New Roman" w:hAnsi="Times New Roman" w:eastAsia="等线" w:cs="Times New Roman"/>
                <w:b/>
                <w:bCs/>
                <w:color w:val="000000"/>
                <w:kern w:val="0"/>
                <w:sz w:val="18"/>
                <w:szCs w:val="18"/>
                <w:lang w:val="en-US" w:eastAsia="zh-CN"/>
              </w:rPr>
            </w:pPr>
            <w:r>
              <w:rPr>
                <w:rFonts w:ascii="Times New Roman" w:hAnsi="Times New Roman" w:eastAsia="等线" w:cs="Times New Roman"/>
                <w:b/>
                <w:bCs/>
                <w:color w:val="000000"/>
                <w:kern w:val="0"/>
                <w:sz w:val="18"/>
                <w:szCs w:val="18"/>
              </w:rPr>
              <w:t>T2WI+</w:t>
            </w:r>
            <w:r>
              <w:rPr>
                <w:rFonts w:hint="eastAsia" w:ascii="Times New Roman" w:hAnsi="Times New Roman" w:eastAsia="等线" w:cs="Times New Roman"/>
                <w:b/>
                <w:bCs/>
                <w:color w:val="000000"/>
                <w:kern w:val="0"/>
                <w:sz w:val="18"/>
                <w:szCs w:val="18"/>
                <w:lang w:val="en-US" w:eastAsia="zh-CN"/>
              </w:rPr>
              <w:t>DWI</w:t>
            </w:r>
          </w:p>
        </w:tc>
        <w:tc>
          <w:tcPr>
            <w:tcW w:w="4966"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wavelet-LLH_firstorder_InterquartileRange_T2</w:t>
            </w:r>
          </w:p>
        </w:tc>
        <w:tc>
          <w:tcPr>
            <w:tcW w:w="1692"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1.737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1.272</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2.371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43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wavelet-HLL_gldm_LargeDependenceHighGrayLevelEmphasis_T2</w:t>
            </w:r>
          </w:p>
        </w:tc>
        <w:tc>
          <w:tcPr>
            <w:tcW w:w="1692"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0.644</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0.443</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0.936</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0.021</w:t>
            </w:r>
          </w:p>
        </w:tc>
      </w:tr>
      <w:tr>
        <w:tblPrEx>
          <w:tblCellMar>
            <w:top w:w="0" w:type="dxa"/>
            <w:left w:w="108" w:type="dxa"/>
            <w:bottom w:w="0" w:type="dxa"/>
            <w:right w:w="108" w:type="dxa"/>
          </w:tblCellMar>
        </w:tblPrEx>
        <w:trPr>
          <w:trHeight w:val="27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F2CC"/>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0.626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0.454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0.864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0.004</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F2CC"/>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wavelet-LLL_gldm_DependenceVariance_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1.560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1.137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2.141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F2CC"/>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0.006</w:t>
            </w:r>
          </w:p>
        </w:tc>
      </w:tr>
      <w:tr>
        <w:tblPrEx>
          <w:tblCellMar>
            <w:top w:w="0" w:type="dxa"/>
            <w:left w:w="108" w:type="dxa"/>
            <w:bottom w:w="0" w:type="dxa"/>
            <w:right w:w="108" w:type="dxa"/>
          </w:tblCellMar>
        </w:tblPrEx>
        <w:trPr>
          <w:trHeight w:val="324" w:hRule="atLeast"/>
        </w:trPr>
        <w:tc>
          <w:tcPr>
            <w:tcW w:w="2103" w:type="dxa"/>
            <w:vMerge w:val="restart"/>
            <w:tcBorders>
              <w:top w:val="nil"/>
              <w:left w:val="nil"/>
              <w:bottom w:val="nil"/>
              <w:right w:val="nil"/>
            </w:tcBorders>
            <w:shd w:val="clear" w:color="000000" w:fill="DDEBF7"/>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T2WI+T1CE</w:t>
            </w:r>
          </w:p>
        </w:tc>
        <w:tc>
          <w:tcPr>
            <w:tcW w:w="4966"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wavelet-LLH_firstorder_InterquartileRange_T2</w:t>
            </w:r>
          </w:p>
        </w:tc>
        <w:tc>
          <w:tcPr>
            <w:tcW w:w="1692"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1.657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1.224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2.244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22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wavelet-LHL_glszm_GrayLevelNonUniformity_T2</w:t>
            </w:r>
          </w:p>
        </w:tc>
        <w:tc>
          <w:tcPr>
            <w:tcW w:w="1692"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1.403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1.041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1.892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0.026</w:t>
            </w:r>
          </w:p>
        </w:tc>
      </w:tr>
      <w:tr>
        <w:tblPrEx>
          <w:tblCellMar>
            <w:top w:w="0" w:type="dxa"/>
            <w:left w:w="108" w:type="dxa"/>
            <w:bottom w:w="0" w:type="dxa"/>
            <w:right w:w="108" w:type="dxa"/>
          </w:tblCellMar>
        </w:tblPrEx>
        <w:trPr>
          <w:trHeight w:val="43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restart"/>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wavelet-HLL_gldm_LargeDependenceHighGrayLevelEmphasis_T2</w:t>
            </w:r>
          </w:p>
        </w:tc>
        <w:tc>
          <w:tcPr>
            <w:tcW w:w="1692" w:type="dxa"/>
            <w:vMerge w:val="restart"/>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0.476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0.316</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0.716</w:t>
            </w:r>
            <w:r>
              <w:rPr>
                <w:rFonts w:hint="eastAsia" w:ascii="宋体" w:hAnsi="宋体" w:eastAsia="宋体" w:cs="Times New Roman"/>
                <w:color w:val="000000"/>
                <w:kern w:val="0"/>
                <w:sz w:val="18"/>
                <w:szCs w:val="18"/>
              </w:rPr>
              <w:t>）</w:t>
            </w:r>
          </w:p>
        </w:tc>
        <w:tc>
          <w:tcPr>
            <w:tcW w:w="651" w:type="dxa"/>
            <w:vMerge w:val="restart"/>
            <w:tcBorders>
              <w:top w:val="nil"/>
              <w:left w:val="nil"/>
              <w:bottom w:val="nil"/>
              <w:right w:val="nil"/>
            </w:tcBorders>
            <w:shd w:val="clear" w:color="000000" w:fill="DDEBF7"/>
            <w:vAlign w:val="center"/>
          </w:tcPr>
          <w:p>
            <w:pPr>
              <w:widowControl/>
              <w:jc w:val="center"/>
              <w:rPr>
                <w:rFonts w:hint="default" w:ascii="Times New Roman" w:hAnsi="Times New Roman" w:eastAsia="等线" w:cs="Times New Roman"/>
                <w:color w:val="000000"/>
                <w:kern w:val="0"/>
                <w:sz w:val="18"/>
                <w:szCs w:val="18"/>
                <w:lang w:val="en-US" w:eastAsia="zh-CN"/>
              </w:rPr>
            </w:pPr>
            <w:r>
              <w:rPr>
                <w:rFonts w:hint="eastAsia" w:ascii="Times New Roman" w:hAnsi="Times New Roman" w:eastAsia="等线" w:cs="Times New Roman"/>
                <w:color w:val="000000"/>
                <w:kern w:val="0"/>
                <w:sz w:val="18"/>
                <w:szCs w:val="18"/>
                <w:lang w:val="en-US" w:eastAsia="zh-CN"/>
              </w:rPr>
              <w:t>&lt;0.001</w:t>
            </w: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1692"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651"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r>
      <w:tr>
        <w:tblPrEx>
          <w:tblCellMar>
            <w:top w:w="0" w:type="dxa"/>
            <w:left w:w="108" w:type="dxa"/>
            <w:bottom w:w="0" w:type="dxa"/>
            <w:right w:w="108" w:type="dxa"/>
          </w:tblCellMar>
        </w:tblPrEx>
        <w:trPr>
          <w:trHeight w:val="39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wavelet-LLL_glszm_ZonePercentage_T1CE</w:t>
            </w:r>
          </w:p>
        </w:tc>
        <w:tc>
          <w:tcPr>
            <w:tcW w:w="1692"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0.572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0.388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0.842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DDEBF7"/>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0.005</w:t>
            </w:r>
          </w:p>
        </w:tc>
      </w:tr>
      <w:tr>
        <w:tblPrEx>
          <w:tblCellMar>
            <w:top w:w="0" w:type="dxa"/>
            <w:left w:w="108" w:type="dxa"/>
            <w:bottom w:w="0" w:type="dxa"/>
            <w:right w:w="108" w:type="dxa"/>
          </w:tblCellMar>
        </w:tblPrEx>
        <w:trPr>
          <w:trHeight w:val="300" w:hRule="atLeast"/>
        </w:trPr>
        <w:tc>
          <w:tcPr>
            <w:tcW w:w="2103" w:type="dxa"/>
            <w:vMerge w:val="restart"/>
            <w:tcBorders>
              <w:top w:val="nil"/>
              <w:left w:val="nil"/>
              <w:bottom w:val="nil"/>
              <w:right w:val="nil"/>
            </w:tcBorders>
            <w:shd w:val="clear" w:color="000000" w:fill="C6E0B4"/>
            <w:vAlign w:val="center"/>
          </w:tcPr>
          <w:p>
            <w:pPr>
              <w:widowControl/>
              <w:jc w:val="center"/>
              <w:rPr>
                <w:rFonts w:ascii="Times New Roman" w:hAnsi="Times New Roman" w:eastAsia="等线" w:cs="Times New Roman"/>
                <w:b/>
                <w:bCs/>
                <w:color w:val="000000"/>
                <w:kern w:val="0"/>
                <w:sz w:val="18"/>
                <w:szCs w:val="18"/>
              </w:rPr>
            </w:pPr>
            <w:r>
              <w:rPr>
                <w:rFonts w:hint="eastAsia" w:ascii="Times New Roman" w:hAnsi="Times New Roman" w:eastAsia="等线" w:cs="Times New Roman"/>
                <w:b/>
                <w:bCs/>
                <w:color w:val="000000"/>
                <w:kern w:val="0"/>
                <w:sz w:val="18"/>
                <w:szCs w:val="18"/>
                <w:lang w:val="en-US" w:eastAsia="zh-CN"/>
              </w:rPr>
              <w:t>DWI</w:t>
            </w:r>
            <w:r>
              <w:rPr>
                <w:rFonts w:ascii="Times New Roman" w:hAnsi="Times New Roman" w:eastAsia="等线" w:cs="Times New Roman"/>
                <w:b/>
                <w:bCs/>
                <w:color w:val="000000"/>
                <w:kern w:val="0"/>
                <w:sz w:val="18"/>
                <w:szCs w:val="18"/>
              </w:rPr>
              <w:t>+T1CE</w:t>
            </w:r>
          </w:p>
        </w:tc>
        <w:tc>
          <w:tcPr>
            <w:tcW w:w="4966" w:type="dxa"/>
            <w:tcBorders>
              <w:top w:val="nil"/>
              <w:left w:val="nil"/>
              <w:bottom w:val="nil"/>
              <w:right w:val="nil"/>
            </w:tcBorders>
            <w:shd w:val="clear" w:color="000000" w:fill="C6E0B4"/>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0.642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0.470</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0.877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0.005</w:t>
            </w:r>
          </w:p>
        </w:tc>
      </w:tr>
      <w:tr>
        <w:tblPrEx>
          <w:tblCellMar>
            <w:top w:w="0" w:type="dxa"/>
            <w:left w:w="108" w:type="dxa"/>
            <w:bottom w:w="0" w:type="dxa"/>
            <w:right w:w="108" w:type="dxa"/>
          </w:tblCellMar>
        </w:tblPrEx>
        <w:trPr>
          <w:trHeight w:val="34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6E0B4"/>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wavelet-LLL_gldm_DependenceVariance_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1.476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1.064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2.049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w:t>
            </w:r>
          </w:p>
        </w:tc>
      </w:tr>
      <w:tr>
        <w:tblPrEx>
          <w:tblCellMar>
            <w:top w:w="0" w:type="dxa"/>
            <w:left w:w="108" w:type="dxa"/>
            <w:bottom w:w="0" w:type="dxa"/>
            <w:right w:w="108" w:type="dxa"/>
          </w:tblCellMar>
        </w:tblPrEx>
        <w:trPr>
          <w:trHeight w:val="36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wavelet-HHH_gldm_DependenceVariance_T1CE</w:t>
            </w:r>
          </w:p>
        </w:tc>
        <w:tc>
          <w:tcPr>
            <w:tcW w:w="1692"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0.622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0.438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0.884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0.008</w:t>
            </w:r>
          </w:p>
        </w:tc>
      </w:tr>
      <w:tr>
        <w:tblPrEx>
          <w:tblCellMar>
            <w:top w:w="0" w:type="dxa"/>
            <w:left w:w="108" w:type="dxa"/>
            <w:bottom w:w="0" w:type="dxa"/>
            <w:right w:w="108" w:type="dxa"/>
          </w:tblCellMar>
        </w:tblPrEx>
        <w:trPr>
          <w:trHeight w:val="50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wavelet-HHH_glszm_SmallAreaLowGrayLevelEmphasis_T1CE</w:t>
            </w:r>
          </w:p>
        </w:tc>
        <w:tc>
          <w:tcPr>
            <w:tcW w:w="1692"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1.457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1.081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1.963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6E0B4"/>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0.013</w:t>
            </w:r>
          </w:p>
        </w:tc>
      </w:tr>
      <w:tr>
        <w:tblPrEx>
          <w:tblCellMar>
            <w:top w:w="0" w:type="dxa"/>
            <w:left w:w="108" w:type="dxa"/>
            <w:bottom w:w="0" w:type="dxa"/>
            <w:right w:w="108" w:type="dxa"/>
          </w:tblCellMar>
        </w:tblPrEx>
        <w:trPr>
          <w:trHeight w:val="276" w:hRule="atLeast"/>
        </w:trPr>
        <w:tc>
          <w:tcPr>
            <w:tcW w:w="2103" w:type="dxa"/>
            <w:vMerge w:val="restart"/>
            <w:tcBorders>
              <w:top w:val="nil"/>
              <w:left w:val="nil"/>
              <w:bottom w:val="nil"/>
              <w:right w:val="nil"/>
            </w:tcBorders>
            <w:shd w:val="clear" w:color="000000" w:fill="F8CBAD"/>
            <w:vAlign w:val="center"/>
          </w:tcPr>
          <w:p>
            <w:pPr>
              <w:widowControl/>
              <w:jc w:val="center"/>
              <w:rPr>
                <w:rFonts w:hint="default" w:ascii="Times New Roman" w:hAnsi="Times New Roman" w:eastAsia="等线" w:cs="Times New Roman"/>
                <w:b/>
                <w:bCs/>
                <w:color w:val="000000"/>
                <w:kern w:val="0"/>
                <w:sz w:val="18"/>
                <w:szCs w:val="18"/>
                <w:lang w:val="en-US" w:eastAsia="zh-CN"/>
              </w:rPr>
            </w:pPr>
            <w:r>
              <w:rPr>
                <w:rFonts w:ascii="Times New Roman" w:hAnsi="Times New Roman" w:eastAsia="等线" w:cs="Times New Roman"/>
                <w:b/>
                <w:bCs/>
                <w:color w:val="000000"/>
                <w:kern w:val="0"/>
                <w:sz w:val="18"/>
                <w:szCs w:val="18"/>
              </w:rPr>
              <w:t>T2WI+T1WI+</w:t>
            </w:r>
            <w:r>
              <w:rPr>
                <w:rFonts w:hint="eastAsia" w:ascii="Times New Roman" w:hAnsi="Times New Roman" w:eastAsia="等线" w:cs="Times New Roman"/>
                <w:b/>
                <w:bCs/>
                <w:color w:val="000000"/>
                <w:kern w:val="0"/>
                <w:sz w:val="18"/>
                <w:szCs w:val="18"/>
                <w:lang w:val="en-US" w:eastAsia="zh-CN"/>
              </w:rPr>
              <w:t>DWI</w:t>
            </w:r>
          </w:p>
        </w:tc>
        <w:tc>
          <w:tcPr>
            <w:tcW w:w="4966"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0.666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0.488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0.909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w:t>
            </w:r>
          </w:p>
        </w:tc>
      </w:tr>
      <w:tr>
        <w:tblPrEx>
          <w:tblCellMar>
            <w:top w:w="0" w:type="dxa"/>
            <w:left w:w="108" w:type="dxa"/>
            <w:bottom w:w="0" w:type="dxa"/>
            <w:right w:w="108" w:type="dxa"/>
          </w:tblCellMar>
        </w:tblPrEx>
        <w:trPr>
          <w:trHeight w:val="28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log-sigma-2-0-mm-3D_firstorder_Skewness_T1</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1.986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1.421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2.776</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hint="eastAsia" w:ascii="Times New Roman" w:hAnsi="Times New Roman" w:eastAsia="等线" w:cs="Times New Roman"/>
                <w:color w:val="000000"/>
                <w:kern w:val="0"/>
                <w:sz w:val="18"/>
                <w:szCs w:val="18"/>
                <w:lang w:val="en-US" w:eastAsia="zh-CN"/>
              </w:rPr>
              <w:t>&lt;0.001</w:t>
            </w:r>
          </w:p>
        </w:tc>
      </w:tr>
      <w:tr>
        <w:tblPrEx>
          <w:tblCellMar>
            <w:top w:w="0" w:type="dxa"/>
            <w:left w:w="108" w:type="dxa"/>
            <w:bottom w:w="0" w:type="dxa"/>
            <w:right w:w="108" w:type="dxa"/>
          </w:tblCellMar>
        </w:tblPrEx>
        <w:trPr>
          <w:trHeight w:val="22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wavelet-LHL_glszm_GrayLevelNonUniformity_T2</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1.649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1.205</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2.255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0.002</w:t>
            </w:r>
          </w:p>
        </w:tc>
      </w:tr>
      <w:tr>
        <w:tblPrEx>
          <w:tblCellMar>
            <w:top w:w="0" w:type="dxa"/>
            <w:left w:w="108" w:type="dxa"/>
            <w:bottom w:w="0" w:type="dxa"/>
            <w:right w:w="108" w:type="dxa"/>
          </w:tblCellMar>
        </w:tblPrEx>
        <w:trPr>
          <w:trHeight w:val="51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wavelet-HLL_gldm_LargeDependenceHighGrayLevelEmphasis_T2</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0.605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0.411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0.891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0.011</w:t>
            </w:r>
          </w:p>
        </w:tc>
      </w:tr>
      <w:tr>
        <w:tblPrEx>
          <w:tblCellMar>
            <w:top w:w="0" w:type="dxa"/>
            <w:left w:w="108" w:type="dxa"/>
            <w:bottom w:w="0" w:type="dxa"/>
            <w:right w:w="108" w:type="dxa"/>
          </w:tblCellMar>
        </w:tblPrEx>
        <w:trPr>
          <w:trHeight w:val="34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8CBAD"/>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0.666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0.487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0.911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0.011</w:t>
            </w:r>
          </w:p>
        </w:tc>
      </w:tr>
      <w:tr>
        <w:tblPrEx>
          <w:tblCellMar>
            <w:top w:w="0" w:type="dxa"/>
            <w:left w:w="108" w:type="dxa"/>
            <w:bottom w:w="0" w:type="dxa"/>
            <w:right w:w="108" w:type="dxa"/>
          </w:tblCellMar>
        </w:tblPrEx>
        <w:trPr>
          <w:trHeight w:val="36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8CBAD"/>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wavelet-HLH_glcm_MaximumProbability_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0.652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0.481</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0.882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0.006</w:t>
            </w:r>
          </w:p>
        </w:tc>
      </w:tr>
      <w:tr>
        <w:tblPrEx>
          <w:tblCellMar>
            <w:top w:w="0" w:type="dxa"/>
            <w:left w:w="108" w:type="dxa"/>
            <w:bottom w:w="0" w:type="dxa"/>
            <w:right w:w="108" w:type="dxa"/>
          </w:tblCellMar>
        </w:tblPrEx>
        <w:trPr>
          <w:trHeight w:val="37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8CBAD"/>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wavelet-LLL_gldm_DependenceVariance_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1.789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1.322</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2.421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8CBAD"/>
            <w:vAlign w:val="center"/>
          </w:tcPr>
          <w:p>
            <w:pPr>
              <w:widowControl/>
              <w:jc w:val="center"/>
              <w:rPr>
                <w:rFonts w:ascii="Times New Roman" w:hAnsi="Times New Roman" w:eastAsia="等线" w:cs="Times New Roman"/>
                <w:color w:val="000000"/>
                <w:kern w:val="0"/>
                <w:sz w:val="18"/>
                <w:szCs w:val="18"/>
              </w:rPr>
            </w:pPr>
            <w:r>
              <w:rPr>
                <w:rFonts w:hint="eastAsia" w:ascii="Times New Roman" w:hAnsi="Times New Roman" w:eastAsia="等线" w:cs="Times New Roman"/>
                <w:color w:val="000000"/>
                <w:kern w:val="0"/>
                <w:sz w:val="18"/>
                <w:szCs w:val="18"/>
                <w:lang w:val="en-US" w:eastAsia="zh-CN"/>
              </w:rPr>
              <w:t>&lt;0.001</w:t>
            </w:r>
          </w:p>
        </w:tc>
      </w:tr>
      <w:tr>
        <w:tblPrEx>
          <w:tblCellMar>
            <w:top w:w="0" w:type="dxa"/>
            <w:left w:w="108" w:type="dxa"/>
            <w:bottom w:w="0" w:type="dxa"/>
            <w:right w:w="108" w:type="dxa"/>
          </w:tblCellMar>
        </w:tblPrEx>
        <w:trPr>
          <w:trHeight w:val="276" w:hRule="atLeast"/>
        </w:trPr>
        <w:tc>
          <w:tcPr>
            <w:tcW w:w="2103" w:type="dxa"/>
            <w:vMerge w:val="restart"/>
            <w:tcBorders>
              <w:top w:val="nil"/>
              <w:left w:val="nil"/>
              <w:bottom w:val="nil"/>
              <w:right w:val="nil"/>
            </w:tcBorders>
            <w:shd w:val="clear" w:color="000000" w:fill="C9C9C9"/>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T2WI+T1WI+T1CE</w:t>
            </w: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0.635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0.462</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0.873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0.005</w:t>
            </w:r>
          </w:p>
        </w:tc>
      </w:tr>
      <w:tr>
        <w:tblPrEx>
          <w:tblCellMar>
            <w:top w:w="0" w:type="dxa"/>
            <w:left w:w="108" w:type="dxa"/>
            <w:bottom w:w="0" w:type="dxa"/>
            <w:right w:w="108" w:type="dxa"/>
          </w:tblCellMar>
        </w:tblPrEx>
        <w:trPr>
          <w:trHeight w:val="36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original_gldm_DependenceVariance_T1</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1.693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1.157</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2.478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0.007</w:t>
            </w:r>
          </w:p>
        </w:tc>
      </w:tr>
      <w:tr>
        <w:tblPrEx>
          <w:tblCellMar>
            <w:top w:w="0" w:type="dxa"/>
            <w:left w:w="108" w:type="dxa"/>
            <w:bottom w:w="0" w:type="dxa"/>
            <w:right w:w="108" w:type="dxa"/>
          </w:tblCellMar>
        </w:tblPrEx>
        <w:trPr>
          <w:trHeight w:val="30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wavelet-HLL_glcm_MCC_T1</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1.435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1.044</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1.972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0.026</w:t>
            </w:r>
          </w:p>
        </w:tc>
      </w:tr>
      <w:tr>
        <w:tblPrEx>
          <w:tblCellMar>
            <w:top w:w="0" w:type="dxa"/>
            <w:left w:w="108" w:type="dxa"/>
            <w:bottom w:w="0" w:type="dxa"/>
            <w:right w:w="108" w:type="dxa"/>
          </w:tblCellMar>
        </w:tblPrEx>
        <w:trPr>
          <w:trHeight w:val="27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wavelet-LLH_firstorder_InterquartileRange_T2</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1.409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1.068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1.859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0.015</w:t>
            </w:r>
          </w:p>
        </w:tc>
      </w:tr>
      <w:tr>
        <w:tblPrEx>
          <w:tblCellMar>
            <w:top w:w="0" w:type="dxa"/>
            <w:left w:w="108" w:type="dxa"/>
            <w:bottom w:w="0" w:type="dxa"/>
            <w:right w:w="108" w:type="dxa"/>
          </w:tblCellMar>
        </w:tblPrEx>
        <w:trPr>
          <w:trHeight w:val="26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wavelet-LHL_glszm_GrayLevelNonUniformity_T2</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1.524</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1.135</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2.047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0.005</w:t>
            </w:r>
          </w:p>
        </w:tc>
      </w:tr>
      <w:tr>
        <w:tblPrEx>
          <w:tblCellMar>
            <w:top w:w="0" w:type="dxa"/>
            <w:left w:w="108" w:type="dxa"/>
            <w:bottom w:w="0" w:type="dxa"/>
            <w:right w:w="108" w:type="dxa"/>
          </w:tblCellMar>
        </w:tblPrEx>
        <w:trPr>
          <w:trHeight w:val="37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wavelet-HLL_glszm_ZonePercentage_T1CE</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1.425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1.058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1.918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w:t>
            </w:r>
          </w:p>
        </w:tc>
      </w:tr>
      <w:tr>
        <w:tblPrEx>
          <w:tblCellMar>
            <w:top w:w="0" w:type="dxa"/>
            <w:left w:w="108" w:type="dxa"/>
            <w:bottom w:w="0" w:type="dxa"/>
            <w:right w:w="108" w:type="dxa"/>
          </w:tblCellMar>
        </w:tblPrEx>
        <w:trPr>
          <w:trHeight w:val="38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wavelet-HHH_gldm_DependenceVariance_T1CE</w:t>
            </w:r>
          </w:p>
        </w:tc>
        <w:tc>
          <w:tcPr>
            <w:tcW w:w="1692"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0.449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0.305</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0.662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C9C9C9"/>
            <w:vAlign w:val="center"/>
          </w:tcPr>
          <w:p>
            <w:pPr>
              <w:widowControl/>
              <w:jc w:val="center"/>
              <w:rPr>
                <w:rFonts w:ascii="Times New Roman" w:hAnsi="Times New Roman" w:eastAsia="等线" w:cs="Times New Roman"/>
                <w:color w:val="000000"/>
                <w:kern w:val="0"/>
                <w:sz w:val="18"/>
                <w:szCs w:val="18"/>
              </w:rPr>
            </w:pPr>
            <w:r>
              <w:rPr>
                <w:rFonts w:hint="eastAsia" w:ascii="Times New Roman" w:hAnsi="Times New Roman" w:eastAsia="等线" w:cs="Times New Roman"/>
                <w:color w:val="000000"/>
                <w:kern w:val="0"/>
                <w:sz w:val="18"/>
                <w:szCs w:val="18"/>
                <w:lang w:val="en-US" w:eastAsia="zh-CN"/>
              </w:rPr>
              <w:t>&lt;0.001</w:t>
            </w:r>
          </w:p>
        </w:tc>
      </w:tr>
      <w:tr>
        <w:tblPrEx>
          <w:tblCellMar>
            <w:top w:w="0" w:type="dxa"/>
            <w:left w:w="108" w:type="dxa"/>
            <w:bottom w:w="0" w:type="dxa"/>
            <w:right w:w="108" w:type="dxa"/>
          </w:tblCellMar>
        </w:tblPrEx>
        <w:trPr>
          <w:trHeight w:val="360" w:hRule="atLeast"/>
        </w:trPr>
        <w:tc>
          <w:tcPr>
            <w:tcW w:w="2103" w:type="dxa"/>
            <w:vMerge w:val="restart"/>
            <w:tcBorders>
              <w:top w:val="nil"/>
              <w:left w:val="nil"/>
              <w:bottom w:val="nil"/>
              <w:right w:val="nil"/>
            </w:tcBorders>
            <w:shd w:val="clear" w:color="000000" w:fill="FFD966"/>
            <w:vAlign w:val="center"/>
          </w:tcPr>
          <w:p>
            <w:pPr>
              <w:widowControl/>
              <w:jc w:val="center"/>
              <w:rPr>
                <w:rFonts w:hint="default" w:ascii="Times New Roman" w:hAnsi="Times New Roman" w:eastAsia="等线" w:cs="Times New Roman"/>
                <w:b/>
                <w:bCs/>
                <w:color w:val="000000"/>
                <w:kern w:val="0"/>
                <w:sz w:val="18"/>
                <w:szCs w:val="18"/>
                <w:lang w:val="en-US" w:eastAsia="zh-CN"/>
              </w:rPr>
            </w:pPr>
            <w:r>
              <w:rPr>
                <w:rFonts w:ascii="Times New Roman" w:hAnsi="Times New Roman" w:eastAsia="等线" w:cs="Times New Roman"/>
                <w:b/>
                <w:bCs/>
                <w:color w:val="000000"/>
                <w:kern w:val="0"/>
                <w:sz w:val="18"/>
                <w:szCs w:val="18"/>
              </w:rPr>
              <w:t>T2WI+T1CE+</w:t>
            </w:r>
            <w:r>
              <w:rPr>
                <w:rFonts w:hint="eastAsia" w:ascii="Times New Roman" w:hAnsi="Times New Roman" w:eastAsia="等线" w:cs="Times New Roman"/>
                <w:b/>
                <w:bCs/>
                <w:color w:val="000000"/>
                <w:kern w:val="0"/>
                <w:sz w:val="18"/>
                <w:szCs w:val="18"/>
                <w:lang w:val="en-US" w:eastAsia="zh-CN"/>
              </w:rPr>
              <w:t>DWI</w:t>
            </w:r>
          </w:p>
        </w:tc>
        <w:tc>
          <w:tcPr>
            <w:tcW w:w="4966"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wavelet-LLH_firstorder_InterquartileRange_T2</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1.841</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1.318</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2.571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hint="eastAsia" w:ascii="Times New Roman" w:hAnsi="Times New Roman" w:eastAsia="等线" w:cs="Times New Roman"/>
                <w:color w:val="000000"/>
                <w:kern w:val="0"/>
                <w:sz w:val="18"/>
                <w:szCs w:val="18"/>
                <w:lang w:val="en-US" w:eastAsia="zh-CN"/>
              </w:rPr>
              <w:t>&lt;0.001</w:t>
            </w:r>
          </w:p>
        </w:tc>
      </w:tr>
      <w:tr>
        <w:tblPrEx>
          <w:tblCellMar>
            <w:top w:w="0" w:type="dxa"/>
            <w:left w:w="108" w:type="dxa"/>
            <w:bottom w:w="0" w:type="dxa"/>
            <w:right w:w="108" w:type="dxa"/>
          </w:tblCellMar>
        </w:tblPrEx>
        <w:trPr>
          <w:trHeight w:val="45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wavelet-LHL_glszm_GrayLevelNonUniformity_T2</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1.568</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1.136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2.165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0.006</w:t>
            </w:r>
          </w:p>
        </w:tc>
      </w:tr>
      <w:tr>
        <w:tblPrEx>
          <w:tblCellMar>
            <w:top w:w="0" w:type="dxa"/>
            <w:left w:w="108" w:type="dxa"/>
            <w:bottom w:w="0" w:type="dxa"/>
            <w:right w:w="108" w:type="dxa"/>
          </w:tblCellMar>
        </w:tblPrEx>
        <w:trPr>
          <w:trHeight w:val="46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wavelet-HLL_gldm_LargeDependenceHighGrayLevelEmphasis_T2</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0.450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0.285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0.711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34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wavelet-LLL_glszm_ZonePercentage_T1CE</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0.596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0.396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0.897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0.013</w:t>
            </w:r>
          </w:p>
        </w:tc>
      </w:tr>
      <w:tr>
        <w:tblPrEx>
          <w:tblCellMar>
            <w:top w:w="0" w:type="dxa"/>
            <w:left w:w="108" w:type="dxa"/>
            <w:bottom w:w="0" w:type="dxa"/>
            <w:right w:w="108" w:type="dxa"/>
          </w:tblCellMar>
        </w:tblPrEx>
        <w:trPr>
          <w:trHeight w:val="26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D96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0.594</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0.423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0.833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0.003</w:t>
            </w:r>
          </w:p>
        </w:tc>
      </w:tr>
      <w:tr>
        <w:tblPrEx>
          <w:tblCellMar>
            <w:top w:w="0" w:type="dxa"/>
            <w:left w:w="108" w:type="dxa"/>
            <w:bottom w:w="0" w:type="dxa"/>
            <w:right w:w="108" w:type="dxa"/>
          </w:tblCellMar>
        </w:tblPrEx>
        <w:trPr>
          <w:trHeight w:val="30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D96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wavelet-HLH_glcm_MaximumProbability_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0.598</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0.405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0.885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w:t>
            </w:r>
          </w:p>
        </w:tc>
      </w:tr>
      <w:tr>
        <w:tblPrEx>
          <w:tblCellMar>
            <w:top w:w="0" w:type="dxa"/>
            <w:left w:w="108" w:type="dxa"/>
            <w:bottom w:w="0" w:type="dxa"/>
            <w:right w:w="108" w:type="dxa"/>
          </w:tblCellMar>
        </w:tblPrEx>
        <w:trPr>
          <w:trHeight w:val="30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FFD96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wavelet-LLL_gldm_DependenceVariance_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1.548</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1.103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2.174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FFD96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0.012</w:t>
            </w:r>
          </w:p>
        </w:tc>
      </w:tr>
      <w:tr>
        <w:tblPrEx>
          <w:tblCellMar>
            <w:top w:w="0" w:type="dxa"/>
            <w:left w:w="108" w:type="dxa"/>
            <w:bottom w:w="0" w:type="dxa"/>
            <w:right w:w="108" w:type="dxa"/>
          </w:tblCellMar>
        </w:tblPrEx>
        <w:trPr>
          <w:trHeight w:val="372" w:hRule="atLeast"/>
        </w:trPr>
        <w:tc>
          <w:tcPr>
            <w:tcW w:w="2103" w:type="dxa"/>
            <w:vMerge w:val="restart"/>
            <w:tcBorders>
              <w:top w:val="nil"/>
              <w:left w:val="nil"/>
              <w:bottom w:val="nil"/>
              <w:right w:val="nil"/>
            </w:tcBorders>
            <w:shd w:val="clear" w:color="000000" w:fill="ACB9CA"/>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T1WI+</w:t>
            </w:r>
            <w:r>
              <w:rPr>
                <w:rFonts w:hint="eastAsia" w:ascii="Times New Roman" w:hAnsi="Times New Roman" w:eastAsia="等线" w:cs="Times New Roman"/>
                <w:b/>
                <w:bCs/>
                <w:color w:val="000000"/>
                <w:kern w:val="0"/>
                <w:sz w:val="18"/>
                <w:szCs w:val="18"/>
                <w:lang w:val="en-US" w:eastAsia="zh-CN"/>
              </w:rPr>
              <w:t>DWI</w:t>
            </w:r>
            <w:r>
              <w:rPr>
                <w:rFonts w:ascii="Times New Roman" w:hAnsi="Times New Roman" w:eastAsia="等线" w:cs="Times New Roman"/>
                <w:b/>
                <w:bCs/>
                <w:color w:val="000000"/>
                <w:kern w:val="0"/>
                <w:sz w:val="18"/>
                <w:szCs w:val="18"/>
              </w:rPr>
              <w:t>+T1CE</w:t>
            </w: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wavelet-HLL_glszm_ZonePercentage_T1CE</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1.676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1.143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2.459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0.008</w:t>
            </w:r>
          </w:p>
        </w:tc>
      </w:tr>
      <w:tr>
        <w:tblPrEx>
          <w:tblCellMar>
            <w:top w:w="0" w:type="dxa"/>
            <w:left w:w="108" w:type="dxa"/>
            <w:bottom w:w="0" w:type="dxa"/>
            <w:right w:w="108" w:type="dxa"/>
          </w:tblCellMar>
        </w:tblPrEx>
        <w:trPr>
          <w:trHeight w:val="30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wavelet-HHH_gldm_DependenceVariance_T1CE</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0.440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0.269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0.718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0.001</w:t>
            </w:r>
          </w:p>
        </w:tc>
      </w:tr>
      <w:tr>
        <w:tblPrEx>
          <w:tblCellMar>
            <w:top w:w="0" w:type="dxa"/>
            <w:left w:w="108" w:type="dxa"/>
            <w:bottom w:w="0" w:type="dxa"/>
            <w:right w:w="108" w:type="dxa"/>
          </w:tblCellMar>
        </w:tblPrEx>
        <w:trPr>
          <w:trHeight w:val="46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wavelet-HHH_glszm_SmallAreaLowGrayLevelEmphasis_T1CE</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1.513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1.077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2.125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0.017</w:t>
            </w:r>
          </w:p>
        </w:tc>
      </w:tr>
      <w:tr>
        <w:tblPrEx>
          <w:tblCellMar>
            <w:top w:w="0" w:type="dxa"/>
            <w:left w:w="108" w:type="dxa"/>
            <w:bottom w:w="0" w:type="dxa"/>
            <w:right w:w="108" w:type="dxa"/>
          </w:tblCellMar>
        </w:tblPrEx>
        <w:trPr>
          <w:trHeight w:val="28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wavelet-HLH_glcm_SumEntropy_T1CE</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1.521</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1.035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2.234</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0.033</w:t>
            </w:r>
          </w:p>
        </w:tc>
      </w:tr>
      <w:tr>
        <w:tblPrEx>
          <w:tblCellMar>
            <w:top w:w="0" w:type="dxa"/>
            <w:left w:w="108" w:type="dxa"/>
            <w:bottom w:w="0" w:type="dxa"/>
            <w:right w:w="108" w:type="dxa"/>
          </w:tblCellMar>
        </w:tblPrEx>
        <w:trPr>
          <w:trHeight w:val="22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0.590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0.407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0.855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0.005</w:t>
            </w:r>
          </w:p>
        </w:tc>
      </w:tr>
      <w:tr>
        <w:tblPrEx>
          <w:tblCellMar>
            <w:top w:w="0" w:type="dxa"/>
            <w:left w:w="108" w:type="dxa"/>
            <w:bottom w:w="0" w:type="dxa"/>
            <w:right w:w="108" w:type="dxa"/>
          </w:tblCellMar>
        </w:tblPrEx>
        <w:trPr>
          <w:trHeight w:val="32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wavelet-HLH_glcm_MaximumProbability_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0.588</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0.389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0.888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0.012</w:t>
            </w:r>
          </w:p>
        </w:tc>
      </w:tr>
      <w:tr>
        <w:tblPrEx>
          <w:tblCellMar>
            <w:top w:w="0" w:type="dxa"/>
            <w:left w:w="108" w:type="dxa"/>
            <w:bottom w:w="0" w:type="dxa"/>
            <w:right w:w="108" w:type="dxa"/>
          </w:tblCellMar>
        </w:tblPrEx>
        <w:trPr>
          <w:trHeight w:val="22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wavelet-HHH_firstorder_Skewness_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0.679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0.479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0.961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0.029</w:t>
            </w:r>
          </w:p>
        </w:tc>
      </w:tr>
      <w:tr>
        <w:tblPrEx>
          <w:tblCellMar>
            <w:top w:w="0" w:type="dxa"/>
            <w:left w:w="108" w:type="dxa"/>
            <w:bottom w:w="0" w:type="dxa"/>
            <w:right w:w="108" w:type="dxa"/>
          </w:tblCellMar>
        </w:tblPrEx>
        <w:trPr>
          <w:trHeight w:val="30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0.581</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0.412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0.820</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0.002</w:t>
            </w:r>
          </w:p>
        </w:tc>
      </w:tr>
      <w:tr>
        <w:tblPrEx>
          <w:tblCellMar>
            <w:top w:w="0" w:type="dxa"/>
            <w:left w:w="108" w:type="dxa"/>
            <w:bottom w:w="0" w:type="dxa"/>
            <w:right w:w="108" w:type="dxa"/>
          </w:tblCellMar>
        </w:tblPrEx>
        <w:trPr>
          <w:trHeight w:val="27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wavelet-LLL_glrlm_RunLengthNonUniformity_T1</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1.810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1.249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2.623</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0.002</w:t>
            </w: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restart"/>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original_gldm_DependenceVariance_T1</w:t>
            </w:r>
          </w:p>
        </w:tc>
        <w:tc>
          <w:tcPr>
            <w:tcW w:w="1692" w:type="dxa"/>
            <w:vMerge w:val="restart"/>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1.429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1.012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2.017</w:t>
            </w:r>
            <w:r>
              <w:rPr>
                <w:rFonts w:hint="eastAsia" w:ascii="宋体" w:hAnsi="宋体" w:eastAsia="宋体" w:cs="Times New Roman"/>
                <w:color w:val="000000"/>
                <w:kern w:val="0"/>
                <w:sz w:val="18"/>
                <w:szCs w:val="18"/>
              </w:rPr>
              <w:t>）</w:t>
            </w:r>
          </w:p>
        </w:tc>
        <w:tc>
          <w:tcPr>
            <w:tcW w:w="651" w:type="dxa"/>
            <w:vMerge w:val="restart"/>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0.043</w:t>
            </w:r>
          </w:p>
        </w:tc>
      </w:tr>
      <w:tr>
        <w:tblPrEx>
          <w:tblCellMar>
            <w:top w:w="0" w:type="dxa"/>
            <w:left w:w="108" w:type="dxa"/>
            <w:bottom w:w="0" w:type="dxa"/>
            <w:right w:w="108" w:type="dxa"/>
          </w:tblCellMar>
        </w:tblPrEx>
        <w:trPr>
          <w:trHeight w:val="31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1692"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c>
          <w:tcPr>
            <w:tcW w:w="651" w:type="dxa"/>
            <w:vMerge w:val="continue"/>
            <w:tcBorders>
              <w:top w:val="nil"/>
              <w:left w:val="nil"/>
              <w:bottom w:val="nil"/>
              <w:right w:val="nil"/>
            </w:tcBorders>
            <w:vAlign w:val="center"/>
          </w:tcPr>
          <w:p>
            <w:pPr>
              <w:widowControl/>
              <w:jc w:val="left"/>
              <w:rPr>
                <w:rFonts w:ascii="Times New Roman" w:hAnsi="Times New Roman" w:eastAsia="等线" w:cs="Times New Roman"/>
                <w:color w:val="000000"/>
                <w:kern w:val="0"/>
                <w:sz w:val="18"/>
                <w:szCs w:val="18"/>
              </w:rPr>
            </w:pPr>
          </w:p>
        </w:tc>
      </w:tr>
      <w:tr>
        <w:tblPrEx>
          <w:tblCellMar>
            <w:top w:w="0" w:type="dxa"/>
            <w:left w:w="108" w:type="dxa"/>
            <w:bottom w:w="0" w:type="dxa"/>
            <w:right w:w="108" w:type="dxa"/>
          </w:tblCellMar>
        </w:tblPrEx>
        <w:trPr>
          <w:trHeight w:val="34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original_gldm_DependenceVariance_T1</w:t>
            </w:r>
          </w:p>
        </w:tc>
        <w:tc>
          <w:tcPr>
            <w:tcW w:w="1692"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1.917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1.248</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2.945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ACB9CA"/>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0.003</w:t>
            </w:r>
          </w:p>
        </w:tc>
      </w:tr>
      <w:tr>
        <w:tblPrEx>
          <w:tblCellMar>
            <w:top w:w="0" w:type="dxa"/>
            <w:left w:w="108" w:type="dxa"/>
            <w:bottom w:w="0" w:type="dxa"/>
            <w:right w:w="108" w:type="dxa"/>
          </w:tblCellMar>
        </w:tblPrEx>
        <w:trPr>
          <w:trHeight w:val="324" w:hRule="atLeast"/>
        </w:trPr>
        <w:tc>
          <w:tcPr>
            <w:tcW w:w="2103" w:type="dxa"/>
            <w:vMerge w:val="restart"/>
            <w:tcBorders>
              <w:top w:val="nil"/>
              <w:left w:val="nil"/>
              <w:bottom w:val="nil"/>
              <w:right w:val="nil"/>
            </w:tcBorders>
            <w:shd w:val="clear" w:color="000000" w:fill="9BC2E6"/>
            <w:vAlign w:val="center"/>
          </w:tcPr>
          <w:p>
            <w:pPr>
              <w:widowControl/>
              <w:jc w:val="center"/>
              <w:rPr>
                <w:rFonts w:ascii="Times New Roman" w:hAnsi="Times New Roman" w:eastAsia="等线" w:cs="Times New Roman"/>
                <w:b/>
                <w:bCs/>
                <w:color w:val="000000"/>
                <w:kern w:val="0"/>
                <w:sz w:val="18"/>
                <w:szCs w:val="18"/>
              </w:rPr>
            </w:pPr>
            <w:r>
              <w:rPr>
                <w:rFonts w:ascii="Times New Roman" w:hAnsi="Times New Roman" w:eastAsia="等线" w:cs="Times New Roman"/>
                <w:b/>
                <w:bCs/>
                <w:color w:val="000000"/>
                <w:kern w:val="0"/>
                <w:sz w:val="18"/>
                <w:szCs w:val="18"/>
              </w:rPr>
              <w:t>T2WI+T1WI+</w:t>
            </w:r>
            <w:r>
              <w:rPr>
                <w:rFonts w:hint="eastAsia" w:ascii="Times New Roman" w:hAnsi="Times New Roman" w:eastAsia="等线" w:cs="Times New Roman"/>
                <w:b/>
                <w:bCs/>
                <w:color w:val="000000"/>
                <w:kern w:val="0"/>
                <w:sz w:val="18"/>
                <w:szCs w:val="18"/>
                <w:lang w:val="en-US" w:eastAsia="zh-CN"/>
              </w:rPr>
              <w:t>DWI</w:t>
            </w:r>
            <w:r>
              <w:rPr>
                <w:rFonts w:ascii="Times New Roman" w:hAnsi="Times New Roman" w:eastAsia="等线" w:cs="Times New Roman"/>
                <w:b/>
                <w:bCs/>
                <w:color w:val="000000"/>
                <w:kern w:val="0"/>
                <w:sz w:val="18"/>
                <w:szCs w:val="18"/>
              </w:rPr>
              <w:t>+T1CE</w:t>
            </w: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wavelet-HLL_glszm_ZonePercentage_T1CE</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1.784</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1.199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2.656</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0.004</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wavelet-HHH_gldm_DependenceVariance_T1CE</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0.375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0.220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0.639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hint="eastAsia" w:ascii="Times New Roman" w:hAnsi="Times New Roman" w:eastAsia="等线" w:cs="Times New Roman"/>
                <w:color w:val="000000"/>
                <w:kern w:val="0"/>
                <w:sz w:val="18"/>
                <w:szCs w:val="18"/>
                <w:lang w:val="en-US" w:eastAsia="zh-CN"/>
              </w:rPr>
              <w:t>&lt;0.001</w:t>
            </w:r>
          </w:p>
        </w:tc>
      </w:tr>
      <w:tr>
        <w:tblPrEx>
          <w:tblCellMar>
            <w:top w:w="0" w:type="dxa"/>
            <w:left w:w="108" w:type="dxa"/>
            <w:bottom w:w="0" w:type="dxa"/>
            <w:right w:w="108" w:type="dxa"/>
          </w:tblCellMar>
        </w:tblPrEx>
        <w:trPr>
          <w:trHeight w:val="40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wavelet-HHH_glszm_SmallAreaLowGrayLevelEmphasis_T1CE</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1.565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1.092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2.242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0.015</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wavelet-HLH_glcm_SumEntropy_T1CE</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1.649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1.095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2.481</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0.017</w:t>
            </w:r>
          </w:p>
        </w:tc>
      </w:tr>
      <w:tr>
        <w:tblPrEx>
          <w:tblCellMar>
            <w:top w:w="0" w:type="dxa"/>
            <w:left w:w="108" w:type="dxa"/>
            <w:bottom w:w="0" w:type="dxa"/>
            <w:right w:w="108" w:type="dxa"/>
          </w:tblCellMar>
        </w:tblPrEx>
        <w:trPr>
          <w:trHeight w:val="252"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wavelet-LHL_gldm_DependenceEntropy_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0.585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0.395</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0.866</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0.007</w:t>
            </w:r>
          </w:p>
        </w:tc>
      </w:tr>
      <w:tr>
        <w:tblPrEx>
          <w:tblCellMar>
            <w:top w:w="0" w:type="dxa"/>
            <w:left w:w="108" w:type="dxa"/>
            <w:bottom w:w="0" w:type="dxa"/>
            <w:right w:w="108" w:type="dxa"/>
          </w:tblCellMar>
        </w:tblPrEx>
        <w:trPr>
          <w:trHeight w:val="408"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wavelet-HLH_glcm_MaximumProbability_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0.502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0.319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0.790</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0.003</w:t>
            </w:r>
          </w:p>
        </w:tc>
      </w:tr>
      <w:tr>
        <w:tblPrEx>
          <w:tblCellMar>
            <w:top w:w="0" w:type="dxa"/>
            <w:left w:w="108" w:type="dxa"/>
            <w:bottom w:w="0" w:type="dxa"/>
            <w:right w:w="108" w:type="dxa"/>
          </w:tblCellMar>
        </w:tblPrEx>
        <w:trPr>
          <w:trHeight w:val="39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wavelet-HHH_firstorder_Skewness_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0.659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0.459</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0.948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0.025</w:t>
            </w:r>
          </w:p>
        </w:tc>
      </w:tr>
      <w:tr>
        <w:tblPrEx>
          <w:tblCellMar>
            <w:top w:w="0" w:type="dxa"/>
            <w:left w:w="108" w:type="dxa"/>
            <w:bottom w:w="0" w:type="dxa"/>
            <w:right w:w="108" w:type="dxa"/>
          </w:tblCellMar>
        </w:tblPrEx>
        <w:trPr>
          <w:trHeight w:val="38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hint="eastAsia" w:ascii="Times New Roman" w:hAnsi="Times New Roman" w:eastAsia="等线" w:cs="Times New Roman"/>
                <w:color w:val="000000"/>
                <w:kern w:val="0"/>
                <w:sz w:val="18"/>
                <w:szCs w:val="18"/>
                <w:lang w:eastAsia="zh-CN"/>
              </w:rPr>
            </w:pPr>
            <w:r>
              <w:rPr>
                <w:rFonts w:ascii="Times New Roman" w:hAnsi="Times New Roman" w:eastAsia="等线" w:cs="Times New Roman"/>
                <w:color w:val="000000"/>
                <w:kern w:val="0"/>
                <w:sz w:val="18"/>
                <w:szCs w:val="18"/>
              </w:rPr>
              <w:t>wavelet-LLL_gldm_DependenceVariance_</w:t>
            </w:r>
            <w:r>
              <w:rPr>
                <w:rFonts w:hint="eastAsia" w:ascii="Times New Roman" w:hAnsi="Times New Roman" w:eastAsia="等线" w:cs="Times New Roman"/>
                <w:color w:val="000000"/>
                <w:kern w:val="0"/>
                <w:sz w:val="18"/>
                <w:szCs w:val="18"/>
                <w:lang w:eastAsia="zh-CN"/>
              </w:rPr>
              <w:t>DWI</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1.470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1.007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2.145</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0.046</w:t>
            </w:r>
          </w:p>
        </w:tc>
      </w:tr>
      <w:tr>
        <w:tblPrEx>
          <w:tblCellMar>
            <w:top w:w="0" w:type="dxa"/>
            <w:left w:w="108" w:type="dxa"/>
            <w:bottom w:w="0" w:type="dxa"/>
            <w:right w:w="108" w:type="dxa"/>
          </w:tblCellMar>
        </w:tblPrEx>
        <w:trPr>
          <w:trHeight w:val="24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wavelet-LHL_glcm_Imc1_T1</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0.627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0.437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0.900</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0.011</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wavelet-LLL_glrlm_RunLengthNonUniformity_T1</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1.827</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1.242</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2.687</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0.002</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original_gldm_DependenceVariance_T1</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1.808</w:t>
            </w:r>
            <w:r>
              <w:rPr>
                <w:rFonts w:hint="eastAsia" w:ascii="宋体" w:hAnsi="宋体" w:eastAsia="宋体" w:cs="Times New Roman"/>
                <w:color w:val="000000"/>
                <w:kern w:val="0"/>
                <w:sz w:val="18"/>
                <w:szCs w:val="18"/>
              </w:rPr>
              <w:t>（</w:t>
            </w:r>
            <w:r>
              <w:rPr>
                <w:rFonts w:ascii="Times New Roman" w:hAnsi="Times New Roman" w:eastAsia="等线" w:cs="Times New Roman"/>
                <w:color w:val="000000"/>
                <w:kern w:val="0"/>
                <w:sz w:val="18"/>
                <w:szCs w:val="18"/>
              </w:rPr>
              <w:t>1.130</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2.892</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0.014</w:t>
            </w:r>
          </w:p>
        </w:tc>
      </w:tr>
      <w:tr>
        <w:tblPrEx>
          <w:tblCellMar>
            <w:top w:w="0" w:type="dxa"/>
            <w:left w:w="108" w:type="dxa"/>
            <w:bottom w:w="0" w:type="dxa"/>
            <w:right w:w="108" w:type="dxa"/>
          </w:tblCellMar>
        </w:tblPrEx>
        <w:trPr>
          <w:trHeight w:val="300"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log-sigma-2-0-mm-3D_firstorder_Skewness_T1</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0.631</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0.429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0.928</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0.019</w:t>
            </w:r>
          </w:p>
        </w:tc>
      </w:tr>
      <w:tr>
        <w:tblPrEx>
          <w:tblCellMar>
            <w:top w:w="0" w:type="dxa"/>
            <w:left w:w="108" w:type="dxa"/>
            <w:bottom w:w="0" w:type="dxa"/>
            <w:right w:w="108" w:type="dxa"/>
          </w:tblCellMar>
        </w:tblPrEx>
        <w:trPr>
          <w:trHeight w:val="324"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wavelet-HLL_glcm_MCC_T1</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1.449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1.019</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2.059</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0.039</w:t>
            </w:r>
          </w:p>
        </w:tc>
      </w:tr>
      <w:tr>
        <w:tblPrEx>
          <w:tblCellMar>
            <w:top w:w="0" w:type="dxa"/>
            <w:left w:w="108" w:type="dxa"/>
            <w:bottom w:w="0" w:type="dxa"/>
            <w:right w:w="108" w:type="dxa"/>
          </w:tblCellMar>
        </w:tblPrEx>
        <w:trPr>
          <w:trHeight w:val="336" w:hRule="atLeast"/>
        </w:trPr>
        <w:tc>
          <w:tcPr>
            <w:tcW w:w="2103" w:type="dxa"/>
            <w:vMerge w:val="continue"/>
            <w:tcBorders>
              <w:top w:val="nil"/>
              <w:left w:val="nil"/>
              <w:bottom w:val="nil"/>
              <w:right w:val="nil"/>
            </w:tcBorders>
            <w:vAlign w:val="center"/>
          </w:tcPr>
          <w:p>
            <w:pPr>
              <w:widowControl/>
              <w:jc w:val="left"/>
              <w:rPr>
                <w:rFonts w:ascii="Times New Roman" w:hAnsi="Times New Roman" w:eastAsia="等线" w:cs="Times New Roman"/>
                <w:b/>
                <w:bCs/>
                <w:color w:val="000000"/>
                <w:kern w:val="0"/>
                <w:sz w:val="18"/>
                <w:szCs w:val="18"/>
              </w:rPr>
            </w:pPr>
          </w:p>
        </w:tc>
        <w:tc>
          <w:tcPr>
            <w:tcW w:w="4966"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wavelet-HLL_glcm_ClusterShade_T2</w:t>
            </w:r>
          </w:p>
        </w:tc>
        <w:tc>
          <w:tcPr>
            <w:tcW w:w="1692"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1.583</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1.086</w:t>
            </w:r>
            <w:r>
              <w:rPr>
                <w:rFonts w:hint="eastAsia" w:ascii="MingLiU" w:hAnsi="MingLiU" w:eastAsia="MingLiU" w:cs="Times New Roman"/>
                <w:color w:val="000000"/>
                <w:kern w:val="0"/>
                <w:sz w:val="18"/>
                <w:szCs w:val="18"/>
              </w:rPr>
              <w:t>，</w:t>
            </w:r>
            <w:r>
              <w:rPr>
                <w:rFonts w:ascii="Times New Roman" w:hAnsi="Times New Roman" w:eastAsia="等线" w:cs="Times New Roman"/>
                <w:color w:val="000000"/>
                <w:kern w:val="0"/>
                <w:sz w:val="18"/>
                <w:szCs w:val="18"/>
              </w:rPr>
              <w:t>2.306</w:t>
            </w:r>
            <w:r>
              <w:rPr>
                <w:rFonts w:hint="eastAsia" w:ascii="宋体" w:hAnsi="宋体" w:eastAsia="宋体" w:cs="Times New Roman"/>
                <w:color w:val="000000"/>
                <w:kern w:val="0"/>
                <w:sz w:val="18"/>
                <w:szCs w:val="18"/>
              </w:rPr>
              <w:t>）</w:t>
            </w:r>
          </w:p>
        </w:tc>
        <w:tc>
          <w:tcPr>
            <w:tcW w:w="651" w:type="dxa"/>
            <w:tcBorders>
              <w:top w:val="nil"/>
              <w:left w:val="nil"/>
              <w:bottom w:val="nil"/>
              <w:right w:val="nil"/>
            </w:tcBorders>
            <w:shd w:val="clear" w:color="000000" w:fill="9BC2E6"/>
            <w:vAlign w:val="center"/>
          </w:tcPr>
          <w:p>
            <w:pPr>
              <w:widowControl/>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0.017</w:t>
            </w:r>
          </w:p>
        </w:tc>
      </w:tr>
    </w:tbl>
    <w:p>
      <w:pPr>
        <w:autoSpaceDE w:val="0"/>
        <w:autoSpaceDN w:val="0"/>
        <w:adjustRightInd w:val="0"/>
        <w:spacing w:line="276" w:lineRule="auto"/>
        <w:jc w:val="left"/>
        <w:rPr>
          <w:rFonts w:ascii="Times New Roman" w:hAnsi="Times New Roman" w:cs="Times New Roman"/>
          <w:kern w:val="0"/>
          <w:szCs w:val="21"/>
        </w:rPr>
      </w:pPr>
    </w:p>
    <w:p>
      <w:pPr>
        <w:spacing w:line="276" w:lineRule="auto"/>
        <w:rPr>
          <w:rFonts w:ascii="Times New Roman" w:hAnsi="Times New Roman" w:cs="Times New Roman"/>
          <w:sz w:val="24"/>
          <w:szCs w:val="24"/>
        </w:rPr>
      </w:pPr>
      <w:r>
        <w:rPr>
          <w:rFonts w:ascii="Times New Roman" w:hAnsi="Times New Roman" w:cs="Times New Roman"/>
          <w:b/>
          <w:bCs/>
          <w:sz w:val="24"/>
          <w:szCs w:val="24"/>
        </w:rPr>
        <w:t>Reference</w:t>
      </w:r>
    </w:p>
    <w:p>
      <w:pPr>
        <w:pStyle w:val="17"/>
        <w:spacing w:line="276" w:lineRule="auto"/>
        <w:ind w:left="720" w:hanging="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Horvat N, Carlos Tavares Rocha C, Clemente Oliveira B, Petkovska I, Gollub MJ (2019) MRI of Rectal Cancer: Tumor Staging, Imaging Techniques, and Management. Radiographics 39:367-387</w:t>
      </w:r>
    </w:p>
    <w:p>
      <w:pPr>
        <w:pStyle w:val="17"/>
        <w:spacing w:line="276" w:lineRule="auto"/>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Nougaret S, Jhaveri K, Kassam Z, Lall C, Kim DH (2019) Rectal cancer MR staging: pearls and pitfalls at baseline examination. Abdom Radiol (NY) 44:3536-3548</w:t>
      </w:r>
    </w:p>
    <w:p>
      <w:pPr>
        <w:pStyle w:val="17"/>
        <w:spacing w:line="276" w:lineRule="auto"/>
        <w:ind w:left="720" w:hanging="72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rPr>
        <w:t>Parmar C, Grossmann P, Rietveld D, et al. Radiomic Machine-Learning Classifiers for Prognostic Biomarkers of Head and Neck Cancer. Front Oncol. 2015, 5:272.</w:t>
      </w:r>
    </w:p>
    <w:p>
      <w:pPr>
        <w:pStyle w:val="17"/>
        <w:spacing w:line="276" w:lineRule="auto"/>
        <w:ind w:left="720" w:hanging="720"/>
        <w:rPr>
          <w:rFonts w:ascii="Times New Roman" w:hAnsi="Times New Roman" w:cs="Times New Roman"/>
          <w:sz w:val="24"/>
          <w:szCs w:val="24"/>
        </w:rPr>
      </w:pPr>
    </w:p>
    <w:p>
      <w:pPr>
        <w:spacing w:line="276" w:lineRule="auto"/>
        <w:rPr>
          <w:rFonts w:ascii="Times New Roman" w:hAnsi="Times New Roman" w:cs="Times New Roman"/>
          <w:sz w:val="24"/>
        </w:rPr>
      </w:pPr>
      <w:r>
        <w:rPr>
          <w:rFonts w:ascii="Times New Roman" w:hAnsi="Times New Roman" w:cs="Times New Roman"/>
          <w:sz w:val="24"/>
          <w:szCs w:val="24"/>
        </w:rPr>
        <w:fldChar w:fldCharType="end"/>
      </w:r>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WyMDUxszAxtDQyMTdS0lEKTi0uzszPAykwrgUAu5tsJywAAAA="/>
    <w:docVar w:name="commondata" w:val="eyJoZGlkIjoiY2M1MzJjMDgzNDJjNTUzNTE3OWU4NDBmNThiZWIzNGEifQ=="/>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a2rt5ss0ts9oepdrtvras7x2dtasf0d2ex&quot;&gt;My EndNote Library&lt;record-ids&gt;&lt;item&gt;870&lt;/item&gt;&lt;item&gt;871&lt;/item&gt;&lt;/record-ids&gt;&lt;/item&gt;&lt;/Libraries&gt;"/>
    <w:docVar w:name="KSO_WPS_MARK_KEY" w:val="03de924a-8d6a-4966-99bf-d5a289e34a67"/>
    <w:docVar w:name="KY_MEDREF_DOCUID" w:val="{91B8D201-BCBA-4836-80E2-D02DF8B2AC3D}"/>
    <w:docVar w:name="KY_MEDREF_VERSION" w:val="3"/>
  </w:docVars>
  <w:rsids>
    <w:rsidRoot w:val="0B9D5F6E"/>
    <w:rsid w:val="00030AA3"/>
    <w:rsid w:val="00043106"/>
    <w:rsid w:val="000456C4"/>
    <w:rsid w:val="00066F55"/>
    <w:rsid w:val="0007518A"/>
    <w:rsid w:val="00077227"/>
    <w:rsid w:val="0009375E"/>
    <w:rsid w:val="000B0B42"/>
    <w:rsid w:val="000B230E"/>
    <w:rsid w:val="000B5D6B"/>
    <w:rsid w:val="000C24BE"/>
    <w:rsid w:val="000C635B"/>
    <w:rsid w:val="000D17E6"/>
    <w:rsid w:val="000E12C1"/>
    <w:rsid w:val="000F1886"/>
    <w:rsid w:val="00123BF4"/>
    <w:rsid w:val="00133CD1"/>
    <w:rsid w:val="001406E4"/>
    <w:rsid w:val="00167969"/>
    <w:rsid w:val="00172B00"/>
    <w:rsid w:val="0017582B"/>
    <w:rsid w:val="001771A8"/>
    <w:rsid w:val="00185BDD"/>
    <w:rsid w:val="00193706"/>
    <w:rsid w:val="00195D9F"/>
    <w:rsid w:val="001A57AA"/>
    <w:rsid w:val="001C0026"/>
    <w:rsid w:val="001C0F27"/>
    <w:rsid w:val="001D193A"/>
    <w:rsid w:val="001E2F95"/>
    <w:rsid w:val="001E6DA3"/>
    <w:rsid w:val="00203BA3"/>
    <w:rsid w:val="00204601"/>
    <w:rsid w:val="002162CC"/>
    <w:rsid w:val="002218A9"/>
    <w:rsid w:val="002238C4"/>
    <w:rsid w:val="00235FF4"/>
    <w:rsid w:val="00237AE6"/>
    <w:rsid w:val="00252E1C"/>
    <w:rsid w:val="00253F98"/>
    <w:rsid w:val="00270B8F"/>
    <w:rsid w:val="002723E5"/>
    <w:rsid w:val="002802AD"/>
    <w:rsid w:val="002842C4"/>
    <w:rsid w:val="00286FD6"/>
    <w:rsid w:val="0029342D"/>
    <w:rsid w:val="0029581F"/>
    <w:rsid w:val="002A5F4D"/>
    <w:rsid w:val="002C1EE5"/>
    <w:rsid w:val="002C3C74"/>
    <w:rsid w:val="002D37FC"/>
    <w:rsid w:val="002E6B28"/>
    <w:rsid w:val="0030384F"/>
    <w:rsid w:val="00335120"/>
    <w:rsid w:val="00354601"/>
    <w:rsid w:val="00360360"/>
    <w:rsid w:val="00366506"/>
    <w:rsid w:val="003C317F"/>
    <w:rsid w:val="003D0441"/>
    <w:rsid w:val="003D55D9"/>
    <w:rsid w:val="003E2591"/>
    <w:rsid w:val="003E6BE2"/>
    <w:rsid w:val="003F0E33"/>
    <w:rsid w:val="003F7085"/>
    <w:rsid w:val="0041545E"/>
    <w:rsid w:val="004167FC"/>
    <w:rsid w:val="0042253A"/>
    <w:rsid w:val="00425DFC"/>
    <w:rsid w:val="00463058"/>
    <w:rsid w:val="004729B0"/>
    <w:rsid w:val="004A327D"/>
    <w:rsid w:val="004C6420"/>
    <w:rsid w:val="004D20CB"/>
    <w:rsid w:val="004E03CB"/>
    <w:rsid w:val="00501FDA"/>
    <w:rsid w:val="005254B8"/>
    <w:rsid w:val="00544A5A"/>
    <w:rsid w:val="0054641E"/>
    <w:rsid w:val="005476B2"/>
    <w:rsid w:val="00556198"/>
    <w:rsid w:val="0055783E"/>
    <w:rsid w:val="00563C9A"/>
    <w:rsid w:val="005660F2"/>
    <w:rsid w:val="00575CA8"/>
    <w:rsid w:val="005A3D34"/>
    <w:rsid w:val="005B7EFD"/>
    <w:rsid w:val="005C2A1F"/>
    <w:rsid w:val="005C3BDD"/>
    <w:rsid w:val="005D7239"/>
    <w:rsid w:val="005E1517"/>
    <w:rsid w:val="005F09F9"/>
    <w:rsid w:val="00606556"/>
    <w:rsid w:val="00623A6C"/>
    <w:rsid w:val="006271A7"/>
    <w:rsid w:val="006368F5"/>
    <w:rsid w:val="00642C28"/>
    <w:rsid w:val="0064449D"/>
    <w:rsid w:val="006576BE"/>
    <w:rsid w:val="0066611B"/>
    <w:rsid w:val="00674C10"/>
    <w:rsid w:val="00675E81"/>
    <w:rsid w:val="0068386A"/>
    <w:rsid w:val="00693BB6"/>
    <w:rsid w:val="0069673C"/>
    <w:rsid w:val="006C4057"/>
    <w:rsid w:val="006C43FD"/>
    <w:rsid w:val="006D22B7"/>
    <w:rsid w:val="006D31F0"/>
    <w:rsid w:val="006E53E6"/>
    <w:rsid w:val="006E7122"/>
    <w:rsid w:val="006F1F0F"/>
    <w:rsid w:val="006F3B5E"/>
    <w:rsid w:val="006F4D0C"/>
    <w:rsid w:val="006F7F2E"/>
    <w:rsid w:val="00705188"/>
    <w:rsid w:val="007215C3"/>
    <w:rsid w:val="00736B1B"/>
    <w:rsid w:val="00736FDB"/>
    <w:rsid w:val="007426D6"/>
    <w:rsid w:val="007519FA"/>
    <w:rsid w:val="0076009D"/>
    <w:rsid w:val="00777C55"/>
    <w:rsid w:val="007823A2"/>
    <w:rsid w:val="00790CA0"/>
    <w:rsid w:val="00795901"/>
    <w:rsid w:val="007967CF"/>
    <w:rsid w:val="007A1021"/>
    <w:rsid w:val="007B707D"/>
    <w:rsid w:val="007C01E4"/>
    <w:rsid w:val="007D2AB0"/>
    <w:rsid w:val="007D5CB7"/>
    <w:rsid w:val="007F62AC"/>
    <w:rsid w:val="008002F9"/>
    <w:rsid w:val="00802BF5"/>
    <w:rsid w:val="00807F33"/>
    <w:rsid w:val="0083033C"/>
    <w:rsid w:val="0084379C"/>
    <w:rsid w:val="00850A1B"/>
    <w:rsid w:val="00850B5B"/>
    <w:rsid w:val="00856D6F"/>
    <w:rsid w:val="00865301"/>
    <w:rsid w:val="0087048F"/>
    <w:rsid w:val="008708EA"/>
    <w:rsid w:val="008723E8"/>
    <w:rsid w:val="00872B81"/>
    <w:rsid w:val="00875A9B"/>
    <w:rsid w:val="008A108D"/>
    <w:rsid w:val="008B6197"/>
    <w:rsid w:val="008D018F"/>
    <w:rsid w:val="008D5087"/>
    <w:rsid w:val="008D6FF1"/>
    <w:rsid w:val="00904799"/>
    <w:rsid w:val="009127EC"/>
    <w:rsid w:val="009248CD"/>
    <w:rsid w:val="00933EE0"/>
    <w:rsid w:val="00936AFC"/>
    <w:rsid w:val="0095333B"/>
    <w:rsid w:val="00956407"/>
    <w:rsid w:val="00965F25"/>
    <w:rsid w:val="00983A5A"/>
    <w:rsid w:val="009931F2"/>
    <w:rsid w:val="0099634E"/>
    <w:rsid w:val="009C5B15"/>
    <w:rsid w:val="009D370F"/>
    <w:rsid w:val="009D4EE3"/>
    <w:rsid w:val="009D61CA"/>
    <w:rsid w:val="009E5A62"/>
    <w:rsid w:val="009F7C04"/>
    <w:rsid w:val="00A1360C"/>
    <w:rsid w:val="00A16245"/>
    <w:rsid w:val="00A244EA"/>
    <w:rsid w:val="00A31867"/>
    <w:rsid w:val="00A37555"/>
    <w:rsid w:val="00A603A4"/>
    <w:rsid w:val="00A63F74"/>
    <w:rsid w:val="00A66537"/>
    <w:rsid w:val="00A67ED5"/>
    <w:rsid w:val="00A727A8"/>
    <w:rsid w:val="00A75E14"/>
    <w:rsid w:val="00A827EF"/>
    <w:rsid w:val="00A8567F"/>
    <w:rsid w:val="00A86B9C"/>
    <w:rsid w:val="00A94700"/>
    <w:rsid w:val="00A94A96"/>
    <w:rsid w:val="00AA4EFA"/>
    <w:rsid w:val="00AA61FA"/>
    <w:rsid w:val="00AB2260"/>
    <w:rsid w:val="00AC4A02"/>
    <w:rsid w:val="00AD1528"/>
    <w:rsid w:val="00AE0D04"/>
    <w:rsid w:val="00AF1964"/>
    <w:rsid w:val="00B16C99"/>
    <w:rsid w:val="00B2120F"/>
    <w:rsid w:val="00B21FF4"/>
    <w:rsid w:val="00B238E9"/>
    <w:rsid w:val="00B457E2"/>
    <w:rsid w:val="00B46449"/>
    <w:rsid w:val="00B528D8"/>
    <w:rsid w:val="00B54E85"/>
    <w:rsid w:val="00B84FA5"/>
    <w:rsid w:val="00B93C85"/>
    <w:rsid w:val="00B93ED0"/>
    <w:rsid w:val="00BC0DA5"/>
    <w:rsid w:val="00BD5672"/>
    <w:rsid w:val="00BF4FE1"/>
    <w:rsid w:val="00C16129"/>
    <w:rsid w:val="00C27312"/>
    <w:rsid w:val="00C45037"/>
    <w:rsid w:val="00C506AC"/>
    <w:rsid w:val="00C70794"/>
    <w:rsid w:val="00C803D2"/>
    <w:rsid w:val="00C812CC"/>
    <w:rsid w:val="00C81516"/>
    <w:rsid w:val="00C93760"/>
    <w:rsid w:val="00CA4DB3"/>
    <w:rsid w:val="00CC2ED2"/>
    <w:rsid w:val="00CE3370"/>
    <w:rsid w:val="00CF27D8"/>
    <w:rsid w:val="00CF795D"/>
    <w:rsid w:val="00D0770B"/>
    <w:rsid w:val="00D148A3"/>
    <w:rsid w:val="00D151CE"/>
    <w:rsid w:val="00D21FED"/>
    <w:rsid w:val="00D26C0C"/>
    <w:rsid w:val="00D35C5E"/>
    <w:rsid w:val="00D57AA6"/>
    <w:rsid w:val="00D64C21"/>
    <w:rsid w:val="00D7120B"/>
    <w:rsid w:val="00DA2507"/>
    <w:rsid w:val="00DC3FA2"/>
    <w:rsid w:val="00DD3F2F"/>
    <w:rsid w:val="00DE4F1A"/>
    <w:rsid w:val="00DE6008"/>
    <w:rsid w:val="00E10BCA"/>
    <w:rsid w:val="00E31FA5"/>
    <w:rsid w:val="00E52F11"/>
    <w:rsid w:val="00E64E4A"/>
    <w:rsid w:val="00E73B80"/>
    <w:rsid w:val="00EB2A87"/>
    <w:rsid w:val="00EC1D80"/>
    <w:rsid w:val="00ED0B1D"/>
    <w:rsid w:val="00ED7D7D"/>
    <w:rsid w:val="00EE754E"/>
    <w:rsid w:val="00EF2463"/>
    <w:rsid w:val="00F04C33"/>
    <w:rsid w:val="00F11E6A"/>
    <w:rsid w:val="00F32523"/>
    <w:rsid w:val="00F359E5"/>
    <w:rsid w:val="00F36079"/>
    <w:rsid w:val="00F4264D"/>
    <w:rsid w:val="00F51636"/>
    <w:rsid w:val="00F62147"/>
    <w:rsid w:val="00F626EF"/>
    <w:rsid w:val="00F71281"/>
    <w:rsid w:val="00F7560E"/>
    <w:rsid w:val="00F777B0"/>
    <w:rsid w:val="00FA6A38"/>
    <w:rsid w:val="00FB626A"/>
    <w:rsid w:val="04C25959"/>
    <w:rsid w:val="09F62DDA"/>
    <w:rsid w:val="0B9D5F6E"/>
    <w:rsid w:val="23B5795F"/>
    <w:rsid w:val="2C0152FA"/>
    <w:rsid w:val="2FB60AE2"/>
    <w:rsid w:val="31072335"/>
    <w:rsid w:val="39FE1DE4"/>
    <w:rsid w:val="40A825B6"/>
    <w:rsid w:val="52122BD9"/>
    <w:rsid w:val="53DF336F"/>
    <w:rsid w:val="635E109A"/>
    <w:rsid w:val="672706E2"/>
    <w:rsid w:val="76C60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qFormat/>
    <w:uiPriority w:val="0"/>
    <w:rPr>
      <w:b/>
      <w:bCs/>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4"/>
    <w:qFormat/>
    <w:uiPriority w:val="0"/>
    <w:rPr>
      <w:kern w:val="2"/>
      <w:sz w:val="18"/>
      <w:szCs w:val="18"/>
    </w:rPr>
  </w:style>
  <w:style w:type="character" w:customStyle="1" w:styleId="12">
    <w:name w:val="页脚 字符"/>
    <w:basedOn w:val="8"/>
    <w:link w:val="3"/>
    <w:qFormat/>
    <w:uiPriority w:val="0"/>
    <w:rPr>
      <w:kern w:val="2"/>
      <w:sz w:val="18"/>
      <w:szCs w:val="18"/>
    </w:rPr>
  </w:style>
  <w:style w:type="character" w:customStyle="1" w:styleId="13">
    <w:name w:val="批注文字 字符"/>
    <w:basedOn w:val="8"/>
    <w:link w:val="2"/>
    <w:qFormat/>
    <w:uiPriority w:val="0"/>
    <w:rPr>
      <w:rFonts w:asciiTheme="minorHAnsi" w:hAnsiTheme="minorHAnsi" w:eastAsiaTheme="minorEastAsia" w:cstheme="minorBidi"/>
      <w:kern w:val="2"/>
      <w:sz w:val="21"/>
      <w:szCs w:val="22"/>
    </w:rPr>
  </w:style>
  <w:style w:type="character" w:customStyle="1" w:styleId="14">
    <w:name w:val="批注主题 字符"/>
    <w:basedOn w:val="13"/>
    <w:link w:val="5"/>
    <w:qFormat/>
    <w:uiPriority w:val="0"/>
    <w:rPr>
      <w:rFonts w:asciiTheme="minorHAnsi" w:hAnsiTheme="minorHAnsi" w:eastAsiaTheme="minorEastAsia" w:cstheme="minorBidi"/>
      <w:b/>
      <w:bCs/>
      <w:kern w:val="2"/>
      <w:sz w:val="21"/>
      <w:szCs w:val="22"/>
    </w:rPr>
  </w:style>
  <w:style w:type="paragraph" w:customStyle="1" w:styleId="15">
    <w:name w:val="EndNote Bibliography Title"/>
    <w:basedOn w:val="1"/>
    <w:link w:val="16"/>
    <w:qFormat/>
    <w:uiPriority w:val="0"/>
    <w:pPr>
      <w:jc w:val="center"/>
    </w:pPr>
    <w:rPr>
      <w:rFonts w:ascii="Calibri" w:hAnsi="Calibri" w:cs="Calibri"/>
      <w:sz w:val="20"/>
    </w:rPr>
  </w:style>
  <w:style w:type="character" w:customStyle="1" w:styleId="16">
    <w:name w:val="EndNote Bibliography Title 字符"/>
    <w:basedOn w:val="8"/>
    <w:link w:val="15"/>
    <w:qFormat/>
    <w:uiPriority w:val="0"/>
    <w:rPr>
      <w:rFonts w:ascii="Calibri" w:hAnsi="Calibri" w:cs="Calibri" w:eastAsiaTheme="minorEastAsia"/>
      <w:kern w:val="2"/>
      <w:szCs w:val="22"/>
    </w:rPr>
  </w:style>
  <w:style w:type="paragraph" w:customStyle="1" w:styleId="17">
    <w:name w:val="EndNote Bibliography"/>
    <w:basedOn w:val="1"/>
    <w:link w:val="18"/>
    <w:qFormat/>
    <w:uiPriority w:val="0"/>
    <w:rPr>
      <w:rFonts w:ascii="Calibri" w:hAnsi="Calibri" w:cs="Calibri"/>
      <w:sz w:val="20"/>
    </w:rPr>
  </w:style>
  <w:style w:type="character" w:customStyle="1" w:styleId="18">
    <w:name w:val="EndNote Bibliography 字符"/>
    <w:basedOn w:val="8"/>
    <w:link w:val="17"/>
    <w:qFormat/>
    <w:uiPriority w:val="0"/>
    <w:rPr>
      <w:rFonts w:ascii="Calibri" w:hAnsi="Calibri" w:cs="Calibri" w:eastAsiaTheme="minorEastAsia"/>
      <w:kern w:val="2"/>
      <w:szCs w:val="22"/>
    </w:rPr>
  </w:style>
  <w:style w:type="paragraph" w:customStyle="1" w:styleId="19">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1727</Words>
  <Characters>14169</Characters>
  <Lines>105</Lines>
  <Paragraphs>29</Paragraphs>
  <TotalTime>34</TotalTime>
  <ScaleCrop>false</ScaleCrop>
  <LinksUpToDate>false</LinksUpToDate>
  <CharactersWithSpaces>15095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2021-08-16T08:22:00Z</dcterms:created>
  <dc:creator>Administrator</dc:creator>
  <cp:lastModifiedBy>李银河</cp:lastModifiedBy>
  <dcterms:modified xsi:type="dcterms:W3CDTF">2023-05-11T14:13:31Z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74CA220D293F4364AC841FD31E22AA9F</vt:lpwstr>
  </property>
</Properties>
</file>