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5287F" w14:textId="77777777" w:rsidR="00BE7951" w:rsidRPr="008E5897" w:rsidRDefault="00BE7951" w:rsidP="00BE7951">
      <w:pPr>
        <w:spacing w:line="480" w:lineRule="auto"/>
        <w:jc w:val="both"/>
        <w:rPr>
          <w:rFonts w:ascii="Arial" w:hAnsi="Arial" w:cs="Arial"/>
          <w:lang w:val="en-US"/>
        </w:rPr>
      </w:pPr>
      <w:r w:rsidRPr="008E5897">
        <w:rPr>
          <w:rFonts w:ascii="Arial" w:hAnsi="Arial" w:cs="Arial"/>
          <w:b/>
          <w:lang w:val="en-US"/>
        </w:rPr>
        <w:t>Supplementary Information</w:t>
      </w:r>
    </w:p>
    <w:p w14:paraId="07EF63C3" w14:textId="77777777" w:rsidR="00BE7951" w:rsidRPr="008E5897" w:rsidRDefault="00BE7951" w:rsidP="00BE7951">
      <w:pPr>
        <w:spacing w:line="480" w:lineRule="auto"/>
        <w:jc w:val="both"/>
        <w:rPr>
          <w:rFonts w:ascii="Arial" w:hAnsi="Arial" w:cs="Arial"/>
          <w:b/>
          <w:lang w:val="en-US"/>
        </w:rPr>
      </w:pPr>
      <w:r w:rsidRPr="008E5897">
        <w:rPr>
          <w:rFonts w:ascii="Arial" w:hAnsi="Arial" w:cs="Arial"/>
          <w:b/>
          <w:lang w:val="en-US"/>
        </w:rPr>
        <w:t>Supplementary Materials and Methods</w:t>
      </w:r>
    </w:p>
    <w:p w14:paraId="05D2D83B" w14:textId="77777777" w:rsidR="00BE7951" w:rsidRPr="008E5897" w:rsidRDefault="00BE7951" w:rsidP="00BE7951">
      <w:pPr>
        <w:spacing w:line="480" w:lineRule="auto"/>
        <w:jc w:val="both"/>
        <w:rPr>
          <w:rFonts w:ascii="Arial" w:hAnsi="Arial" w:cs="Arial"/>
          <w:b/>
          <w:lang w:val="en-US"/>
        </w:rPr>
      </w:pPr>
      <w:r w:rsidRPr="008E5897">
        <w:rPr>
          <w:rFonts w:ascii="Arial" w:hAnsi="Arial" w:cs="Arial"/>
          <w:b/>
          <w:lang w:val="en-US"/>
        </w:rPr>
        <w:t>Immunofluorescence</w:t>
      </w:r>
    </w:p>
    <w:p w14:paraId="04BDFF3E" w14:textId="77777777" w:rsidR="00BE7951" w:rsidRPr="008E5897" w:rsidRDefault="00BE7951" w:rsidP="00BE7951">
      <w:pPr>
        <w:spacing w:line="480" w:lineRule="auto"/>
        <w:jc w:val="both"/>
        <w:rPr>
          <w:rFonts w:ascii="Arial" w:hAnsi="Arial" w:cs="Arial"/>
          <w:lang w:val="en-US"/>
        </w:rPr>
      </w:pPr>
      <w:r w:rsidRPr="008E5897">
        <w:rPr>
          <w:rFonts w:ascii="Arial" w:hAnsi="Arial" w:cs="Arial"/>
          <w:lang w:val="en-US"/>
        </w:rPr>
        <w:t>Cells were seeded onto 8-well µ-Slides (ibidi, Planegg, Germany). After reaching the required density, cells were fixed in 4% paraformaldehyde diluted in distilled water at room temperature for 20 minutes followed by permeabilization using 0,5% Triton in PBS for 5 minutes at -20</w:t>
      </w:r>
      <w:r w:rsidRPr="008E5897">
        <w:rPr>
          <w:rFonts w:ascii="Arial" w:hAnsi="Arial" w:cs="Arial"/>
          <w:vertAlign w:val="superscript"/>
          <w:lang w:val="en-US"/>
        </w:rPr>
        <w:t>o</w:t>
      </w:r>
      <w:r w:rsidRPr="008E5897">
        <w:rPr>
          <w:rFonts w:ascii="Arial" w:hAnsi="Arial" w:cs="Arial"/>
          <w:lang w:val="en-US"/>
        </w:rPr>
        <w:t>C. Afterwards, the primary antibody diluted in PBS + 1% BSA was incubated at 4</w:t>
      </w:r>
      <w:r w:rsidRPr="008E5897">
        <w:rPr>
          <w:rFonts w:ascii="Arial" w:hAnsi="Arial" w:cs="Arial"/>
          <w:vertAlign w:val="superscript"/>
          <w:lang w:val="en-US"/>
        </w:rPr>
        <w:t>o</w:t>
      </w:r>
      <w:r w:rsidRPr="008E5897">
        <w:rPr>
          <w:rFonts w:ascii="Arial" w:hAnsi="Arial" w:cs="Arial"/>
          <w:lang w:val="en-US"/>
        </w:rPr>
        <w:t xml:space="preserve">C overnight. The next day, the secondary antibody diluted in PBS + 1% BSA was applied and incubated for 1.5 h at room temperature. Each step was followed by a washing step using PBS. Subsequently, nuclear staining with DAPI diluted in PBS was performed for 30 seconds. For imaging analysis, an LSM700 (Carl Zeiss, Germany) was used. </w:t>
      </w:r>
    </w:p>
    <w:p w14:paraId="07F59CA8" w14:textId="77777777" w:rsidR="00BE7951" w:rsidRPr="008E5897" w:rsidRDefault="00BE7951" w:rsidP="00BE7951">
      <w:pPr>
        <w:spacing w:line="480" w:lineRule="auto"/>
        <w:jc w:val="both"/>
        <w:rPr>
          <w:rFonts w:ascii="Arial" w:hAnsi="Arial" w:cs="Arial"/>
          <w:b/>
          <w:bCs/>
          <w:lang w:val="en-US"/>
        </w:rPr>
      </w:pPr>
      <w:r w:rsidRPr="008E5897">
        <w:rPr>
          <w:rFonts w:ascii="Arial" w:hAnsi="Arial" w:cs="Arial"/>
          <w:b/>
          <w:bCs/>
          <w:lang w:val="en-US"/>
        </w:rPr>
        <w:t>RT-qPCR</w:t>
      </w:r>
    </w:p>
    <w:p w14:paraId="7487962B" w14:textId="77777777" w:rsidR="00BE7951" w:rsidRPr="008E5897" w:rsidRDefault="00BE7951" w:rsidP="00BE7951">
      <w:pPr>
        <w:spacing w:line="480" w:lineRule="auto"/>
        <w:jc w:val="both"/>
        <w:rPr>
          <w:rFonts w:ascii="Arial" w:hAnsi="Arial" w:cs="Arial"/>
          <w:lang w:val="en-US"/>
        </w:rPr>
      </w:pPr>
      <w:r w:rsidRPr="008E5897">
        <w:rPr>
          <w:rFonts w:ascii="Arial" w:hAnsi="Arial" w:cs="Arial"/>
          <w:lang w:val="en-US"/>
        </w:rPr>
        <w:t xml:space="preserve">Cells were seeded onto 6-well plates and lysed with RLT buffer containing 1% β-mercaptoethanol. A RNeasy Mini Kit (74106, Qiagen, Germany) was used for RNA isolation according to the manufacturer´s instructions. Subsequently, 3 μg RNA were reverse-transcribed using a RevertAid H Minus First Strans cDNA Synthesis Kit (Thermo Fisher Scientific, USA). For </w:t>
      </w:r>
      <w:r w:rsidRPr="008E5897">
        <w:rPr>
          <w:rFonts w:ascii="Arial" w:hAnsi="Arial" w:cs="Arial"/>
          <w:i/>
          <w:lang w:val="en-US"/>
        </w:rPr>
        <w:t>qPCR</w:t>
      </w:r>
      <w:r w:rsidRPr="008E5897">
        <w:rPr>
          <w:rFonts w:ascii="Arial" w:hAnsi="Arial" w:cs="Arial"/>
          <w:lang w:val="en-US"/>
        </w:rPr>
        <w:t xml:space="preserve">, TaqMan Universal PCR Mater Mix and TaqMan assays were used (all Thermo Fisher Scientific, USA). Data analyzation was performed using StepOnePlus System and Software (Applied Biosystems, USA). </w:t>
      </w:r>
    </w:p>
    <w:p w14:paraId="1098F838" w14:textId="77777777" w:rsidR="00BE7951" w:rsidRPr="008E5897" w:rsidRDefault="00BE7951" w:rsidP="00BE7951">
      <w:pPr>
        <w:spacing w:line="480" w:lineRule="auto"/>
        <w:jc w:val="both"/>
        <w:rPr>
          <w:rFonts w:ascii="Arial" w:hAnsi="Arial" w:cs="Arial"/>
          <w:b/>
          <w:bCs/>
          <w:lang w:val="en-US"/>
        </w:rPr>
      </w:pPr>
      <w:r w:rsidRPr="008E5897">
        <w:rPr>
          <w:rFonts w:ascii="Arial" w:hAnsi="Arial" w:cs="Arial"/>
          <w:b/>
          <w:bCs/>
          <w:lang w:val="en-US"/>
        </w:rPr>
        <w:t>Control cell lines</w:t>
      </w:r>
    </w:p>
    <w:p w14:paraId="577734EA" w14:textId="77777777" w:rsidR="00BE7951" w:rsidRPr="008E5897" w:rsidRDefault="00BE7951" w:rsidP="00BE7951">
      <w:pPr>
        <w:spacing w:line="480" w:lineRule="auto"/>
        <w:jc w:val="both"/>
        <w:rPr>
          <w:rFonts w:ascii="Arial" w:hAnsi="Arial" w:cs="Arial"/>
          <w:b/>
          <w:bCs/>
          <w:lang w:val="en-US"/>
        </w:rPr>
      </w:pPr>
      <w:r w:rsidRPr="008E5897">
        <w:rPr>
          <w:rFonts w:ascii="Arial" w:hAnsi="Arial" w:cs="Arial"/>
          <w:b/>
          <w:bCs/>
          <w:lang w:val="en-US"/>
        </w:rPr>
        <w:t>Vascular smooth muscle cells</w:t>
      </w:r>
    </w:p>
    <w:p w14:paraId="1335D42B" w14:textId="77777777" w:rsidR="00BE7951" w:rsidRPr="008E5897" w:rsidRDefault="00BE7951" w:rsidP="00BE7951">
      <w:pPr>
        <w:spacing w:line="480" w:lineRule="auto"/>
        <w:jc w:val="both"/>
        <w:rPr>
          <w:rFonts w:ascii="Arial" w:hAnsi="Arial" w:cs="Arial"/>
          <w:lang w:val="en-US"/>
        </w:rPr>
      </w:pPr>
      <w:r w:rsidRPr="008E5897">
        <w:rPr>
          <w:rFonts w:ascii="Arial" w:hAnsi="Arial" w:cs="Arial"/>
          <w:lang w:val="en-US"/>
        </w:rPr>
        <w:t>Left over pieces of great saphenous vein, radial artery, and internal mammary artery from cardiovascular surgeries were stored in IMDM Media on 4-8</w:t>
      </w:r>
      <w:r w:rsidRPr="008E5897">
        <w:rPr>
          <w:rFonts w:ascii="Arial" w:hAnsi="Arial" w:cs="Arial"/>
          <w:vertAlign w:val="superscript"/>
          <w:lang w:val="en-US"/>
        </w:rPr>
        <w:t>o</w:t>
      </w:r>
      <w:r w:rsidRPr="008E5897">
        <w:rPr>
          <w:rFonts w:ascii="Arial" w:hAnsi="Arial" w:cs="Arial"/>
          <w:lang w:val="en-US"/>
        </w:rPr>
        <w:t xml:space="preserve">C. VSMCs were isolated as soon as </w:t>
      </w:r>
      <w:r w:rsidRPr="008E5897">
        <w:rPr>
          <w:rFonts w:ascii="Arial" w:hAnsi="Arial" w:cs="Arial"/>
          <w:lang w:val="en-US"/>
        </w:rPr>
        <w:lastRenderedPageBreak/>
        <w:t>possible (&lt;24h). For this purpose, the vessel was cut into small pieces in coated culture dish (Corning, USA), which was then put into an incubator (37</w:t>
      </w:r>
      <w:r w:rsidRPr="008E5897">
        <w:rPr>
          <w:rFonts w:ascii="Arial" w:hAnsi="Arial" w:cs="Arial"/>
          <w:vertAlign w:val="superscript"/>
          <w:lang w:val="en-US"/>
        </w:rPr>
        <w:t>o</w:t>
      </w:r>
      <w:r w:rsidRPr="008E5897">
        <w:rPr>
          <w:rFonts w:ascii="Arial" w:hAnsi="Arial" w:cs="Arial"/>
          <w:lang w:val="en-US"/>
        </w:rPr>
        <w:t>C, 5% CO</w:t>
      </w:r>
      <w:r w:rsidRPr="008E5897">
        <w:rPr>
          <w:rFonts w:ascii="Arial" w:hAnsi="Arial" w:cs="Arial"/>
          <w:vertAlign w:val="subscript"/>
          <w:lang w:val="en-US"/>
        </w:rPr>
        <w:t>2</w:t>
      </w:r>
      <w:r w:rsidRPr="008E5897">
        <w:rPr>
          <w:rFonts w:ascii="Arial" w:hAnsi="Arial" w:cs="Arial"/>
          <w:lang w:val="en-US"/>
        </w:rPr>
        <w:t xml:space="preserve">, 95% humidity) for 7 days. Then cells were trypsinized and relocated into a T25 Falcon flask (Corning, USA) for further expansion in vitro. </w:t>
      </w:r>
      <w:bookmarkStart w:id="0" w:name="_Toc100525457"/>
    </w:p>
    <w:p w14:paraId="13194353" w14:textId="77777777" w:rsidR="00BE7951" w:rsidRPr="008E5897" w:rsidRDefault="00BE7951" w:rsidP="00BE7951">
      <w:pPr>
        <w:spacing w:line="480" w:lineRule="auto"/>
        <w:jc w:val="both"/>
        <w:rPr>
          <w:rFonts w:ascii="Arial" w:hAnsi="Arial" w:cs="Arial"/>
          <w:b/>
          <w:bCs/>
          <w:lang w:val="en-US"/>
        </w:rPr>
      </w:pPr>
      <w:r w:rsidRPr="008E5897">
        <w:rPr>
          <w:rFonts w:ascii="Arial" w:hAnsi="Arial" w:cs="Arial"/>
          <w:b/>
          <w:bCs/>
          <w:lang w:val="en-US"/>
        </w:rPr>
        <w:t xml:space="preserve">Human umbilical cord endothelial cells </w:t>
      </w:r>
      <w:bookmarkEnd w:id="0"/>
    </w:p>
    <w:p w14:paraId="4B38887D" w14:textId="77777777" w:rsidR="00BE7951" w:rsidRPr="008E5897" w:rsidRDefault="00BE7951" w:rsidP="00BE7951">
      <w:pPr>
        <w:spacing w:line="480" w:lineRule="auto"/>
        <w:jc w:val="both"/>
        <w:rPr>
          <w:rFonts w:ascii="Arial" w:hAnsi="Arial" w:cs="Arial"/>
          <w:lang w:val="en-US"/>
        </w:rPr>
      </w:pPr>
      <w:r w:rsidRPr="008E5897">
        <w:rPr>
          <w:rFonts w:ascii="Arial" w:hAnsi="Arial" w:cs="Arial"/>
          <w:lang w:val="en-US"/>
        </w:rPr>
        <w:t xml:space="preserve">Umbilical cords were provided by the Department of Obstetrics and Gynecology, Medical University of Vienna. Cords were were washed with 70% ethanol. The umbilical vein was rinsed with HBSS, clipped on one side, filled with Dispase (Merck, Germany) and hung into a 37°C water bath for 10 minutes. The vein then was rinsed with HBSS and the solution was centrifuged. After aspiration of the supernatant, cells were resuspended in growth medium (Endothelial Cell Basal Medium including supplements, Lonza, Switzerland), containing an additional 10% fetal bovine serum (FBS) and 1% Penicillin/Streptomycin), and relocated to a T25 Falcon flask for further expansion under standard incubation conditions. </w:t>
      </w:r>
    </w:p>
    <w:p w14:paraId="25552598" w14:textId="77777777" w:rsidR="002F0F5E" w:rsidRDefault="00BE7951"/>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951"/>
    <w:rsid w:val="0021090F"/>
    <w:rsid w:val="003A76DF"/>
    <w:rsid w:val="00BE7951"/>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F32E"/>
  <w15:chartTrackingRefBased/>
  <w15:docId w15:val="{44AC41BA-23BE-4206-9601-E36B5104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951"/>
    <w:rPr>
      <w:lang w:val="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2222</Characters>
  <Application>Microsoft Office Word</Application>
  <DocSecurity>0</DocSecurity>
  <Lines>18</Lines>
  <Paragraphs>5</Paragraphs>
  <ScaleCrop>false</ScaleCrop>
  <Company>Springer Nature</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2023-06-30T09:05:00Z</dcterms:created>
  <dcterms:modified xsi:type="dcterms:W3CDTF">2023-06-30T09:05:00Z</dcterms:modified>
</cp:coreProperties>
</file>