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7F871F" w14:textId="2C8CEF4E" w:rsidR="004605AB" w:rsidRPr="00996BEF" w:rsidRDefault="004605AB" w:rsidP="00DE5EAE">
      <w:pPr>
        <w:pStyle w:val="RSCB06BHeadingSub-Section"/>
        <w:spacing w:line="360" w:lineRule="auto"/>
        <w:jc w:val="center"/>
        <w:rPr>
          <w:rFonts w:ascii="Times New Roman" w:hAnsi="Times New Roman"/>
          <w:b w:val="0"/>
          <w:sz w:val="32"/>
          <w:szCs w:val="32"/>
          <w:lang w:eastAsia="zh-CN"/>
        </w:rPr>
      </w:pPr>
      <w:r w:rsidRPr="00996BEF">
        <w:rPr>
          <w:rFonts w:ascii="Times New Roman" w:hAnsi="Times New Roman" w:hint="eastAsia"/>
          <w:b w:val="0"/>
          <w:sz w:val="32"/>
          <w:szCs w:val="32"/>
          <w:lang w:eastAsia="zh-CN"/>
        </w:rPr>
        <w:t>Supplementary</w:t>
      </w:r>
      <w:r w:rsidRPr="00996BEF">
        <w:rPr>
          <w:rFonts w:ascii="Times New Roman" w:hAnsi="Times New Roman"/>
          <w:b w:val="0"/>
          <w:sz w:val="32"/>
          <w:szCs w:val="32"/>
          <w:lang w:eastAsia="zh-CN"/>
        </w:rPr>
        <w:t xml:space="preserve"> material</w:t>
      </w:r>
    </w:p>
    <w:p w14:paraId="50FDA75D" w14:textId="77777777" w:rsidR="001E2122" w:rsidRPr="00996BEF" w:rsidRDefault="001E2122" w:rsidP="001E2122">
      <w:pPr>
        <w:widowControl/>
        <w:spacing w:line="480" w:lineRule="auto"/>
        <w:jc w:val="center"/>
        <w:rPr>
          <w:rFonts w:ascii="Times New Roman" w:eastAsia="宋体" w:hAnsi="Times New Roman" w:cs="Times New Roman"/>
          <w:kern w:val="0"/>
          <w:sz w:val="34"/>
          <w:szCs w:val="34"/>
          <w:lang w:val="en-GB"/>
        </w:rPr>
      </w:pPr>
      <w:bookmarkStart w:id="0" w:name="_Hlk133326517"/>
      <w:r w:rsidRPr="00996BEF">
        <w:rPr>
          <w:rFonts w:ascii="Times New Roman" w:eastAsia="宋体" w:hAnsi="Times New Roman" w:cs="Times New Roman"/>
          <w:kern w:val="0"/>
          <w:sz w:val="34"/>
          <w:szCs w:val="34"/>
        </w:rPr>
        <w:t>The Hydroxyapatite Nanowires as High Loading Substrate for Immobilization of Dextranase by Crosslinking Method</w:t>
      </w:r>
    </w:p>
    <w:p w14:paraId="2E0A7740" w14:textId="77777777" w:rsidR="001E2122" w:rsidRPr="00996BEF" w:rsidRDefault="001E2122" w:rsidP="001E2122">
      <w:pPr>
        <w:widowControl/>
        <w:spacing w:line="480" w:lineRule="auto"/>
        <w:jc w:val="center"/>
        <w:rPr>
          <w:rFonts w:ascii="Times New Roman" w:eastAsia="宋体" w:hAnsi="Times New Roman" w:cs="Times New Roman"/>
          <w:kern w:val="0"/>
          <w:sz w:val="24"/>
          <w:vertAlign w:val="superscript"/>
        </w:rPr>
      </w:pPr>
      <w:bookmarkStart w:id="1" w:name="_Hlk133326556"/>
      <w:bookmarkEnd w:id="0"/>
      <w:r w:rsidRPr="00996BEF">
        <w:rPr>
          <w:rFonts w:ascii="Times New Roman" w:eastAsia="宋体" w:hAnsi="Times New Roman" w:cs="Times New Roman"/>
          <w:kern w:val="0"/>
          <w:sz w:val="24"/>
        </w:rPr>
        <w:t>Bingnan Sun</w:t>
      </w:r>
      <w:r w:rsidRPr="00996BEF">
        <w:rPr>
          <w:rFonts w:ascii="Times New Roman" w:eastAsia="宋体" w:hAnsi="Times New Roman" w:cs="Times New Roman"/>
          <w:kern w:val="0"/>
          <w:sz w:val="24"/>
          <w:vertAlign w:val="superscript"/>
        </w:rPr>
        <w:t xml:space="preserve"> a,1</w:t>
      </w:r>
      <w:r w:rsidRPr="00996BEF">
        <w:rPr>
          <w:rFonts w:ascii="Times New Roman" w:eastAsia="宋体" w:hAnsi="Times New Roman" w:cs="Times New Roman"/>
          <w:kern w:val="0"/>
          <w:sz w:val="24"/>
        </w:rPr>
        <w:t xml:space="preserve"> </w:t>
      </w:r>
      <w:r w:rsidRPr="00996BEF">
        <w:rPr>
          <w:rFonts w:ascii="Times New Roman" w:eastAsia="宋体" w:hAnsi="Times New Roman" w:cs="Times New Roman"/>
          <w:kern w:val="0"/>
          <w:sz w:val="24"/>
        </w:rPr>
        <w:sym w:font="Wingdings 2" w:char="F096"/>
      </w:r>
      <w:r w:rsidRPr="00996BEF">
        <w:rPr>
          <w:rFonts w:ascii="Times New Roman" w:eastAsia="宋体" w:hAnsi="Times New Roman" w:cs="Times New Roman"/>
          <w:kern w:val="0"/>
          <w:sz w:val="24"/>
        </w:rPr>
        <w:t xml:space="preserve"> Yajie Wang </w:t>
      </w:r>
      <w:r w:rsidRPr="00996BEF">
        <w:rPr>
          <w:rFonts w:ascii="Times New Roman" w:eastAsia="宋体" w:hAnsi="Times New Roman" w:cs="Times New Roman"/>
          <w:kern w:val="0"/>
          <w:sz w:val="24"/>
          <w:vertAlign w:val="superscript"/>
        </w:rPr>
        <w:t>b,1</w:t>
      </w:r>
      <w:r w:rsidRPr="00996BEF">
        <w:rPr>
          <w:rFonts w:ascii="Times New Roman" w:eastAsia="宋体" w:hAnsi="Times New Roman" w:cs="Times New Roman"/>
          <w:kern w:val="0"/>
          <w:sz w:val="24"/>
        </w:rPr>
        <w:t xml:space="preserve"> </w:t>
      </w:r>
      <w:r w:rsidRPr="00996BEF">
        <w:rPr>
          <w:rFonts w:ascii="Times New Roman" w:eastAsia="宋体" w:hAnsi="Times New Roman" w:cs="Times New Roman"/>
          <w:kern w:val="0"/>
          <w:sz w:val="24"/>
        </w:rPr>
        <w:sym w:font="Wingdings 2" w:char="F096"/>
      </w:r>
      <w:r w:rsidRPr="00996BEF">
        <w:rPr>
          <w:rFonts w:ascii="Times New Roman" w:eastAsia="宋体" w:hAnsi="Times New Roman" w:cs="Times New Roman"/>
          <w:kern w:val="0"/>
          <w:sz w:val="24"/>
        </w:rPr>
        <w:t xml:space="preserve"> Haoran Yu </w:t>
      </w:r>
      <w:r w:rsidRPr="00996BEF">
        <w:rPr>
          <w:rFonts w:ascii="Times New Roman" w:eastAsia="宋体" w:hAnsi="Times New Roman" w:cs="Times New Roman"/>
          <w:kern w:val="0"/>
          <w:sz w:val="24"/>
          <w:vertAlign w:val="superscript"/>
        </w:rPr>
        <w:t>a</w:t>
      </w:r>
      <w:r w:rsidRPr="00996BEF">
        <w:rPr>
          <w:rFonts w:ascii="Times New Roman" w:eastAsia="宋体" w:hAnsi="Times New Roman" w:cs="Times New Roman"/>
          <w:kern w:val="0"/>
          <w:sz w:val="24"/>
        </w:rPr>
        <w:sym w:font="Wingdings 2" w:char="F096"/>
      </w:r>
      <w:r w:rsidRPr="00996BEF">
        <w:rPr>
          <w:rFonts w:ascii="Times New Roman" w:eastAsia="宋体" w:hAnsi="Times New Roman" w:cs="Times New Roman"/>
          <w:kern w:val="0"/>
          <w:sz w:val="24"/>
        </w:rPr>
        <w:t xml:space="preserve"> Lei Zhang </w:t>
      </w:r>
      <w:r w:rsidRPr="00996BEF">
        <w:rPr>
          <w:rFonts w:ascii="Times New Roman" w:eastAsia="宋体" w:hAnsi="Times New Roman" w:cs="Times New Roman"/>
          <w:kern w:val="0"/>
          <w:sz w:val="24"/>
          <w:vertAlign w:val="superscript"/>
        </w:rPr>
        <w:t>a*</w:t>
      </w:r>
      <w:r w:rsidRPr="00996BEF">
        <w:rPr>
          <w:rFonts w:ascii="Times New Roman" w:eastAsia="宋体" w:hAnsi="Times New Roman" w:cs="Times New Roman"/>
          <w:kern w:val="0"/>
          <w:sz w:val="24"/>
        </w:rPr>
        <w:t xml:space="preserve"> </w:t>
      </w:r>
      <w:r w:rsidRPr="00996BEF">
        <w:rPr>
          <w:rFonts w:ascii="Times New Roman" w:eastAsia="宋体" w:hAnsi="Times New Roman" w:cs="Times New Roman"/>
          <w:kern w:val="0"/>
          <w:sz w:val="24"/>
        </w:rPr>
        <w:sym w:font="Wingdings 2" w:char="F096"/>
      </w:r>
      <w:r w:rsidRPr="00996BEF">
        <w:rPr>
          <w:rFonts w:ascii="Times New Roman" w:eastAsia="宋体" w:hAnsi="Times New Roman" w:cs="Times New Roman"/>
          <w:kern w:val="0"/>
          <w:sz w:val="24"/>
        </w:rPr>
        <w:t xml:space="preserve"> Weibing Zhang </w:t>
      </w:r>
      <w:r w:rsidRPr="00996BEF">
        <w:rPr>
          <w:rFonts w:ascii="Times New Roman" w:eastAsia="宋体" w:hAnsi="Times New Roman" w:cs="Times New Roman"/>
          <w:kern w:val="0"/>
          <w:sz w:val="24"/>
          <w:vertAlign w:val="superscript"/>
        </w:rPr>
        <w:t>a*</w:t>
      </w:r>
    </w:p>
    <w:bookmarkEnd w:id="1"/>
    <w:p w14:paraId="628D8B45" w14:textId="77777777" w:rsidR="001E2122" w:rsidRPr="00996BEF" w:rsidRDefault="001E2122" w:rsidP="001E2122">
      <w:pPr>
        <w:widowControl/>
        <w:jc w:val="center"/>
        <w:rPr>
          <w:rFonts w:ascii="Times New Roman" w:hAnsi="Times New Roman" w:cs="Times New Roman"/>
          <w:sz w:val="22"/>
          <w:szCs w:val="22"/>
        </w:rPr>
      </w:pPr>
    </w:p>
    <w:p w14:paraId="6B24B8AB" w14:textId="77777777" w:rsidR="001E2122" w:rsidRPr="00996BEF" w:rsidRDefault="001E2122" w:rsidP="001E2122">
      <w:pPr>
        <w:widowControl/>
        <w:jc w:val="center"/>
        <w:rPr>
          <w:rFonts w:ascii="Times New Roman" w:hAnsi="Times New Roman" w:cs="Times New Roman"/>
          <w:sz w:val="22"/>
          <w:szCs w:val="22"/>
        </w:rPr>
      </w:pPr>
      <w:r w:rsidRPr="00996BEF">
        <w:rPr>
          <w:rFonts w:ascii="Times New Roman" w:hAnsi="Times New Roman" w:cs="Times New Roman"/>
          <w:sz w:val="22"/>
          <w:szCs w:val="22"/>
          <w:vertAlign w:val="superscript"/>
        </w:rPr>
        <w:t>a</w:t>
      </w:r>
      <w:r w:rsidRPr="00996BEF">
        <w:rPr>
          <w:rFonts w:ascii="Times New Roman" w:hAnsi="Times New Roman" w:cs="Times New Roman"/>
          <w:sz w:val="22"/>
          <w:szCs w:val="22"/>
        </w:rPr>
        <w:t>Shanghai Key Laboratory of Functional Materials Chemistry, School of Chemistry &amp; Molecular Engineering, East China University of Science and Technology, Shanghai 200237, P. R. China</w:t>
      </w:r>
    </w:p>
    <w:p w14:paraId="7ACD79D2" w14:textId="77777777" w:rsidR="001E2122" w:rsidRPr="00996BEF" w:rsidRDefault="001E2122" w:rsidP="001E2122">
      <w:pPr>
        <w:widowControl/>
        <w:jc w:val="center"/>
        <w:rPr>
          <w:rFonts w:ascii="Times New Roman" w:hAnsi="Times New Roman" w:cs="Times New Roman"/>
          <w:sz w:val="22"/>
          <w:szCs w:val="22"/>
        </w:rPr>
      </w:pPr>
      <w:r w:rsidRPr="00996BEF">
        <w:rPr>
          <w:rFonts w:ascii="Times New Roman" w:hAnsi="Times New Roman" w:cs="Times New Roman"/>
          <w:sz w:val="22"/>
          <w:szCs w:val="22"/>
          <w:vertAlign w:val="superscript"/>
        </w:rPr>
        <w:t>b</w:t>
      </w:r>
      <w:r w:rsidRPr="00996BEF">
        <w:rPr>
          <w:rFonts w:ascii="Times New Roman" w:hAnsi="Times New Roman" w:cs="Times New Roman"/>
          <w:sz w:val="22"/>
          <w:szCs w:val="22"/>
        </w:rPr>
        <w:t>Department of Pharmacy, Anhui Medical College, Hefei 230601, P. R. China</w:t>
      </w:r>
    </w:p>
    <w:p w14:paraId="37C75750" w14:textId="77777777" w:rsidR="001E2122" w:rsidRPr="00996BEF" w:rsidRDefault="001E2122" w:rsidP="001E2122">
      <w:pPr>
        <w:widowControl/>
        <w:jc w:val="center"/>
        <w:rPr>
          <w:rFonts w:ascii="Arial" w:hAnsi="Arial" w:cs="Arial"/>
          <w:sz w:val="16"/>
          <w:szCs w:val="16"/>
        </w:rPr>
      </w:pPr>
    </w:p>
    <w:p w14:paraId="756D72CC" w14:textId="77777777" w:rsidR="001E2122" w:rsidRPr="00996BEF" w:rsidRDefault="001E2122" w:rsidP="001E2122">
      <w:pPr>
        <w:widowControl/>
        <w:jc w:val="center"/>
        <w:rPr>
          <w:rFonts w:ascii="Times New Roman" w:hAnsi="Times New Roman" w:cs="Times New Roman"/>
          <w:sz w:val="22"/>
          <w:szCs w:val="22"/>
        </w:rPr>
      </w:pPr>
      <w:r w:rsidRPr="00996BEF">
        <w:rPr>
          <w:rFonts w:ascii="Times New Roman" w:eastAsia="宋体" w:hAnsi="Times New Roman" w:cs="Times New Roman"/>
          <w:kern w:val="0"/>
          <w:sz w:val="24"/>
        </w:rPr>
        <w:t>*</w:t>
      </w:r>
      <w:r w:rsidRPr="00996BEF">
        <w:rPr>
          <w:rFonts w:ascii="Times New Roman" w:hAnsi="Times New Roman" w:cs="Times New Roman"/>
          <w:sz w:val="22"/>
          <w:szCs w:val="22"/>
        </w:rPr>
        <w:t xml:space="preserve">Corresponding authors: </w:t>
      </w:r>
      <w:hyperlink r:id="rId7" w:history="1">
        <w:r w:rsidRPr="00996BEF">
          <w:rPr>
            <w:rStyle w:val="ac"/>
            <w:rFonts w:ascii="Times New Roman" w:hAnsi="Times New Roman" w:cs="Times New Roman"/>
            <w:color w:val="auto"/>
            <w:sz w:val="22"/>
            <w:szCs w:val="22"/>
            <w:u w:val="none"/>
          </w:rPr>
          <w:t>leizhang595@ecust.edu.cn</w:t>
        </w:r>
      </w:hyperlink>
      <w:r w:rsidRPr="00996BEF">
        <w:rPr>
          <w:rFonts w:ascii="Times New Roman" w:hAnsi="Times New Roman" w:cs="Times New Roman"/>
          <w:sz w:val="22"/>
          <w:szCs w:val="22"/>
        </w:rPr>
        <w:t xml:space="preserve">; </w:t>
      </w:r>
      <w:hyperlink r:id="rId8" w:history="1">
        <w:r w:rsidRPr="00996BEF">
          <w:rPr>
            <w:rStyle w:val="ac"/>
            <w:rFonts w:ascii="Times New Roman" w:hAnsi="Times New Roman" w:cs="Times New Roman"/>
            <w:color w:val="auto"/>
            <w:sz w:val="22"/>
            <w:szCs w:val="22"/>
            <w:u w:val="none"/>
          </w:rPr>
          <w:t>weibingzhang@ecust.edu.cn</w:t>
        </w:r>
      </w:hyperlink>
    </w:p>
    <w:p w14:paraId="02D9FB0B" w14:textId="77777777" w:rsidR="001E2122" w:rsidRPr="00996BEF" w:rsidRDefault="001E2122" w:rsidP="001E2122">
      <w:pPr>
        <w:widowControl/>
        <w:jc w:val="center"/>
        <w:rPr>
          <w:rFonts w:ascii="Times New Roman" w:eastAsia="Times New Roman" w:hAnsi="Times New Roman" w:cs="Times New Roman"/>
          <w:sz w:val="22"/>
          <w:szCs w:val="22"/>
        </w:rPr>
      </w:pPr>
      <w:r w:rsidRPr="00996BEF">
        <w:rPr>
          <w:rFonts w:ascii="Times New Roman" w:eastAsia="Times New Roman" w:hAnsi="Times New Roman" w:cs="Times New Roman"/>
          <w:sz w:val="22"/>
          <w:szCs w:val="22"/>
        </w:rPr>
        <w:t xml:space="preserve">Contributing authors: </w:t>
      </w:r>
      <w:hyperlink r:id="rId9" w:history="1">
        <w:r w:rsidRPr="00996BEF">
          <w:rPr>
            <w:rStyle w:val="ac"/>
            <w:rFonts w:ascii="Times New Roman" w:eastAsia="Times New Roman" w:hAnsi="Times New Roman" w:cs="Times New Roman"/>
            <w:color w:val="auto"/>
            <w:sz w:val="22"/>
            <w:szCs w:val="22"/>
            <w:u w:val="none"/>
          </w:rPr>
          <w:t>sun98510102@163.com</w:t>
        </w:r>
      </w:hyperlink>
      <w:r w:rsidRPr="00996BEF">
        <w:rPr>
          <w:rFonts w:ascii="Times New Roman" w:eastAsia="Times New Roman" w:hAnsi="Times New Roman" w:cs="Times New Roman"/>
          <w:sz w:val="22"/>
          <w:szCs w:val="22"/>
        </w:rPr>
        <w:t xml:space="preserve">; </w:t>
      </w:r>
      <w:hyperlink r:id="rId10" w:history="1">
        <w:r w:rsidRPr="00996BEF">
          <w:rPr>
            <w:rStyle w:val="ac"/>
            <w:rFonts w:ascii="Times New Roman" w:eastAsia="Times New Roman" w:hAnsi="Times New Roman" w:cs="Times New Roman"/>
            <w:color w:val="auto"/>
            <w:sz w:val="22"/>
            <w:szCs w:val="22"/>
            <w:u w:val="none"/>
          </w:rPr>
          <w:t>cactus0926@hotmail.com</w:t>
        </w:r>
      </w:hyperlink>
    </w:p>
    <w:p w14:paraId="53BF23D8" w14:textId="6588CD43" w:rsidR="00383BDB" w:rsidRPr="00996BEF" w:rsidRDefault="001E2122" w:rsidP="001E2122">
      <w:pPr>
        <w:widowControl/>
        <w:jc w:val="center"/>
        <w:rPr>
          <w:rFonts w:ascii="Times New Roman" w:hAnsi="Times New Roman" w:cs="Times New Roman"/>
          <w:sz w:val="22"/>
          <w:szCs w:val="22"/>
        </w:rPr>
      </w:pPr>
      <w:r w:rsidRPr="00996BEF">
        <w:rPr>
          <w:rFonts w:ascii="Times New Roman" w:eastAsia="Times New Roman" w:hAnsi="Times New Roman" w:cs="Times New Roman"/>
          <w:sz w:val="19"/>
          <w:szCs w:val="19"/>
        </w:rPr>
        <w:t>These authors contributed equally to this work.</w:t>
      </w:r>
    </w:p>
    <w:p w14:paraId="638ECD85" w14:textId="77777777" w:rsidR="00253ED2" w:rsidRPr="00996BEF" w:rsidRDefault="00253ED2" w:rsidP="001E2122">
      <w:pPr>
        <w:widowControl/>
        <w:spacing w:line="360" w:lineRule="auto"/>
        <w:rPr>
          <w:rFonts w:ascii="Times New Roman" w:hAnsi="Times New Roman" w:cs="Times New Roman"/>
          <w:sz w:val="24"/>
        </w:rPr>
      </w:pPr>
    </w:p>
    <w:p w14:paraId="6BD46FD0" w14:textId="77777777" w:rsidR="00253ED2" w:rsidRPr="00996BEF" w:rsidRDefault="00253ED2" w:rsidP="00253ED2">
      <w:pPr>
        <w:widowControl/>
        <w:spacing w:line="360" w:lineRule="auto"/>
        <w:jc w:val="center"/>
        <w:rPr>
          <w:rFonts w:ascii="Times New Roman" w:hAnsi="Times New Roman" w:cs="Times New Roman"/>
          <w:sz w:val="24"/>
        </w:rPr>
      </w:pPr>
    </w:p>
    <w:p w14:paraId="185314E9" w14:textId="117551C0" w:rsidR="00240FFA" w:rsidRPr="00996BEF" w:rsidRDefault="00240FFA" w:rsidP="00DE58D6">
      <w:pPr>
        <w:widowControl/>
        <w:spacing w:line="360" w:lineRule="auto"/>
        <w:rPr>
          <w:rFonts w:ascii="Times New Roman" w:hAnsi="Times New Roman" w:cs="Times New Roman"/>
          <w:bCs/>
          <w:sz w:val="24"/>
        </w:rPr>
      </w:pPr>
      <w:r w:rsidRPr="00996BEF">
        <w:rPr>
          <w:rFonts w:ascii="Times New Roman" w:hAnsi="Times New Roman" w:cs="Times New Roman" w:hint="eastAsia"/>
          <w:sz w:val="24"/>
        </w:rPr>
        <w:t xml:space="preserve">Fig. S1 </w:t>
      </w:r>
      <w:r w:rsidRPr="00996BEF">
        <w:rPr>
          <w:rFonts w:ascii="Times New Roman" w:hAnsi="Times New Roman" w:cs="Times New Roman"/>
          <w:bCs/>
          <w:sz w:val="24"/>
        </w:rPr>
        <w:t>Effects of the initial concentration of dextranase on the loading capacity of HAPNWs-NH</w:t>
      </w:r>
      <w:r w:rsidRPr="00996BEF">
        <w:rPr>
          <w:rFonts w:ascii="Times New Roman" w:hAnsi="Times New Roman" w:cs="Times New Roman"/>
          <w:bCs/>
          <w:sz w:val="24"/>
          <w:vertAlign w:val="subscript"/>
        </w:rPr>
        <w:t>2</w:t>
      </w:r>
      <w:r w:rsidRPr="00996BEF">
        <w:rPr>
          <w:rFonts w:ascii="Times New Roman" w:hAnsi="Times New Roman" w:cs="Times New Roman"/>
          <w:bCs/>
          <w:sz w:val="24"/>
        </w:rPr>
        <w:t>@dextranase.</w:t>
      </w:r>
    </w:p>
    <w:p w14:paraId="4422E08C" w14:textId="1217F2CC" w:rsidR="00361052" w:rsidRPr="00996BEF" w:rsidRDefault="00361052" w:rsidP="00DE58D6">
      <w:pPr>
        <w:widowControl/>
        <w:spacing w:line="360" w:lineRule="auto"/>
        <w:rPr>
          <w:rFonts w:ascii="Times New Roman" w:hAnsi="Times New Roman" w:cs="Times New Roman"/>
          <w:sz w:val="24"/>
        </w:rPr>
      </w:pPr>
      <w:r w:rsidRPr="00996BEF">
        <w:rPr>
          <w:rFonts w:ascii="Times New Roman" w:hAnsi="Times New Roman" w:cs="Times New Roman"/>
          <w:sz w:val="24"/>
        </w:rPr>
        <w:t>Fig. S2 N</w:t>
      </w:r>
      <w:r w:rsidRPr="00996BEF">
        <w:rPr>
          <w:rFonts w:ascii="Times New Roman" w:hAnsi="Times New Roman" w:cs="Times New Roman" w:hint="eastAsia"/>
          <w:sz w:val="24"/>
        </w:rPr>
        <w:t>itrogen</w:t>
      </w:r>
      <w:r w:rsidRPr="00996BEF">
        <w:rPr>
          <w:rFonts w:ascii="Times New Roman" w:hAnsi="Times New Roman" w:cs="Times New Roman"/>
          <w:sz w:val="24"/>
        </w:rPr>
        <w:t xml:space="preserve"> adsorption-desorption isotherms of HAPNWs (a) and</w:t>
      </w:r>
      <w:r w:rsidRPr="00996BEF">
        <w:rPr>
          <w:rFonts w:ascii="Times New Roman" w:hAnsi="Times New Roman" w:cs="Times New Roman" w:hint="eastAsia"/>
          <w:sz w:val="24"/>
        </w:rPr>
        <w:t xml:space="preserve"> </w:t>
      </w:r>
      <w:r w:rsidRPr="00996BEF">
        <w:rPr>
          <w:rFonts w:ascii="Times New Roman" w:hAnsi="Times New Roman" w:cs="Times New Roman"/>
          <w:sz w:val="24"/>
        </w:rPr>
        <w:t>BJH desorption pore size distribution curves of HAPNWs (b)</w:t>
      </w:r>
      <w:r w:rsidR="00735F3B" w:rsidRPr="00996BEF">
        <w:rPr>
          <w:rFonts w:ascii="Times New Roman" w:hAnsi="Times New Roman" w:cs="Times New Roman"/>
          <w:sz w:val="24"/>
        </w:rPr>
        <w:t>.</w:t>
      </w:r>
    </w:p>
    <w:p w14:paraId="0C994F8D" w14:textId="597E9D69" w:rsidR="00361052" w:rsidRPr="00996BEF" w:rsidRDefault="00361052" w:rsidP="00DE58D6">
      <w:pPr>
        <w:widowControl/>
        <w:spacing w:line="360" w:lineRule="auto"/>
        <w:rPr>
          <w:rFonts w:ascii="Times New Roman" w:hAnsi="Times New Roman" w:cs="Times New Roman"/>
          <w:sz w:val="24"/>
          <w:lang w:val="en-GB"/>
        </w:rPr>
      </w:pPr>
      <w:r w:rsidRPr="00996BEF">
        <w:rPr>
          <w:rFonts w:ascii="Times New Roman" w:hAnsi="Times New Roman" w:cs="Times New Roman" w:hint="eastAsia"/>
          <w:sz w:val="24"/>
          <w:lang w:val="en-GB"/>
        </w:rPr>
        <w:t>T</w:t>
      </w:r>
      <w:r w:rsidRPr="00996BEF">
        <w:rPr>
          <w:rFonts w:ascii="Times New Roman" w:hAnsi="Times New Roman" w:cs="Times New Roman"/>
          <w:sz w:val="24"/>
          <w:lang w:val="en-GB"/>
        </w:rPr>
        <w:t>able S1</w:t>
      </w:r>
      <w:r w:rsidR="00752327" w:rsidRPr="00996BEF">
        <w:rPr>
          <w:rFonts w:ascii="Times New Roman" w:hAnsi="Times New Roman" w:cs="Times New Roman"/>
          <w:sz w:val="24"/>
        </w:rPr>
        <w:t xml:space="preserve"> </w:t>
      </w:r>
      <w:r w:rsidR="005578AD" w:rsidRPr="00996BEF">
        <w:rPr>
          <w:rFonts w:ascii="Times New Roman" w:hAnsi="Times New Roman" w:cs="Times New Roman"/>
          <w:sz w:val="24"/>
        </w:rPr>
        <w:t>Immobilization of dextranase on different substrate</w:t>
      </w:r>
      <w:r w:rsidR="00735F3B" w:rsidRPr="00996BEF">
        <w:rPr>
          <w:rFonts w:ascii="Times New Roman" w:hAnsi="Times New Roman" w:cs="Times New Roman"/>
          <w:sz w:val="24"/>
        </w:rPr>
        <w:t>.</w:t>
      </w:r>
    </w:p>
    <w:p w14:paraId="1BF97809" w14:textId="5B4853A3" w:rsidR="00240FFA" w:rsidRPr="00996BEF" w:rsidRDefault="005578AD" w:rsidP="00DE58D6">
      <w:pPr>
        <w:widowControl/>
        <w:spacing w:line="360" w:lineRule="auto"/>
        <w:rPr>
          <w:rFonts w:ascii="Times New Roman" w:hAnsi="Times New Roman" w:cs="Times New Roman"/>
          <w:sz w:val="24"/>
          <w:lang w:val="en-GB"/>
        </w:rPr>
      </w:pPr>
      <w:r w:rsidRPr="00996BEF">
        <w:rPr>
          <w:rFonts w:ascii="Times New Roman" w:hAnsi="Times New Roman" w:cs="Times New Roman" w:hint="eastAsia"/>
          <w:sz w:val="24"/>
          <w:lang w:val="en-GB"/>
        </w:rPr>
        <w:t>T</w:t>
      </w:r>
      <w:r w:rsidRPr="00996BEF">
        <w:rPr>
          <w:rFonts w:ascii="Times New Roman" w:hAnsi="Times New Roman" w:cs="Times New Roman"/>
          <w:sz w:val="24"/>
          <w:lang w:val="en-GB"/>
        </w:rPr>
        <w:t xml:space="preserve">able S2 </w:t>
      </w:r>
      <w:r w:rsidRPr="00996BEF">
        <w:rPr>
          <w:rFonts w:ascii="Times New Roman" w:hAnsi="Times New Roman"/>
          <w:sz w:val="24"/>
          <w:lang w:val="en-GB"/>
        </w:rPr>
        <w:t>Relative activity of immobilized enzyme at 70</w:t>
      </w:r>
      <w:r w:rsidR="005113A9" w:rsidRPr="00996BEF">
        <w:rPr>
          <w:rFonts w:ascii="Times New Roman" w:hAnsi="Times New Roman"/>
          <w:sz w:val="24"/>
        </w:rPr>
        <w:t>°C</w:t>
      </w:r>
      <w:r w:rsidRPr="00996BEF">
        <w:rPr>
          <w:rFonts w:ascii="Times New Roman" w:hAnsi="Times New Roman"/>
          <w:sz w:val="24"/>
          <w:lang w:val="en-GB"/>
        </w:rPr>
        <w:t xml:space="preserve"> on different substrate</w:t>
      </w:r>
      <w:r w:rsidR="00735F3B" w:rsidRPr="00996BEF">
        <w:rPr>
          <w:rFonts w:ascii="Times New Roman" w:hAnsi="Times New Roman"/>
          <w:sz w:val="24"/>
          <w:lang w:val="en-GB"/>
        </w:rPr>
        <w:t>.</w:t>
      </w:r>
    </w:p>
    <w:p w14:paraId="219C01B6" w14:textId="0E98B5B5" w:rsidR="00CA62AA" w:rsidRPr="00996BEF" w:rsidRDefault="00CA62AA" w:rsidP="00CA62AA">
      <w:pPr>
        <w:pStyle w:val="RSCB06BHeadingSub-Section"/>
        <w:spacing w:line="240" w:lineRule="auto"/>
        <w:jc w:val="center"/>
        <w:rPr>
          <w:rFonts w:ascii="Times New Roman" w:hAnsi="Times New Roman"/>
          <w:b w:val="0"/>
        </w:rPr>
      </w:pPr>
      <w:r w:rsidRPr="00996BEF">
        <w:rPr>
          <w:rFonts w:ascii="Times New Roman" w:hAnsi="Times New Roman"/>
          <w:b w:val="0"/>
          <w:noProof/>
          <w:lang w:val="en-US" w:eastAsia="zh-CN"/>
        </w:rPr>
        <w:drawing>
          <wp:inline distT="0" distB="0" distL="0" distR="0" wp14:anchorId="3A6AEDC4" wp14:editId="55ED3C12">
            <wp:extent cx="2870796" cy="2278800"/>
            <wp:effectExtent l="0" t="0" r="6350" b="7620"/>
            <wp:docPr id="103008554" name="图片 103008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08554" name="图片 103008554"/>
                    <pic:cNvPicPr/>
                  </pic:nvPicPr>
                  <pic:blipFill rotWithShape="1">
                    <a:blip r:embed="rId11" cstate="print">
                      <a:extLst>
                        <a:ext uri="{28A0092B-C50C-407E-A947-70E740481C1C}">
                          <a14:useLocalDpi xmlns:a14="http://schemas.microsoft.com/office/drawing/2010/main" val="0"/>
                        </a:ext>
                      </a:extLst>
                    </a:blip>
                    <a:srcRect l="4369" t="1151" r="8399"/>
                    <a:stretch/>
                  </pic:blipFill>
                  <pic:spPr bwMode="auto">
                    <a:xfrm>
                      <a:off x="0" y="0"/>
                      <a:ext cx="2870796" cy="2278800"/>
                    </a:xfrm>
                    <a:prstGeom prst="rect">
                      <a:avLst/>
                    </a:prstGeom>
                    <a:ln>
                      <a:noFill/>
                    </a:ln>
                    <a:extLst>
                      <a:ext uri="{53640926-AAD7-44D8-BBD7-CCE9431645EC}">
                        <a14:shadowObscured xmlns:a14="http://schemas.microsoft.com/office/drawing/2010/main"/>
                      </a:ext>
                    </a:extLst>
                  </pic:spPr>
                </pic:pic>
              </a:graphicData>
            </a:graphic>
          </wp:inline>
        </w:drawing>
      </w:r>
    </w:p>
    <w:p w14:paraId="6298C55E" w14:textId="111E2D63" w:rsidR="00253ED2" w:rsidRPr="00996BEF" w:rsidRDefault="00240FFA" w:rsidP="00253ED2">
      <w:pPr>
        <w:pStyle w:val="RSCB06BHeadingSub-Section"/>
        <w:spacing w:line="240" w:lineRule="auto"/>
        <w:jc w:val="center"/>
        <w:rPr>
          <w:rFonts w:ascii="Times New Roman" w:hAnsi="Times New Roman" w:cs="Times New Roman"/>
          <w:b w:val="0"/>
          <w:sz w:val="22"/>
          <w:lang w:eastAsia="zh-CN"/>
        </w:rPr>
      </w:pPr>
      <w:r w:rsidRPr="00996BEF">
        <w:rPr>
          <w:rFonts w:ascii="Times New Roman" w:hAnsi="Times New Roman" w:cs="Times New Roman"/>
          <w:bCs/>
          <w:sz w:val="22"/>
          <w:lang w:eastAsia="zh-CN"/>
        </w:rPr>
        <w:t xml:space="preserve">Fig. </w:t>
      </w:r>
      <w:r w:rsidR="00E64938" w:rsidRPr="00996BEF">
        <w:rPr>
          <w:rFonts w:ascii="Times New Roman" w:hAnsi="Times New Roman" w:cs="Times New Roman"/>
          <w:bCs/>
          <w:sz w:val="22"/>
          <w:lang w:eastAsia="zh-CN"/>
        </w:rPr>
        <w:t>S1</w:t>
      </w:r>
      <w:r w:rsidR="00CA62AA" w:rsidRPr="00996BEF">
        <w:rPr>
          <w:rFonts w:ascii="Times New Roman" w:hAnsi="Times New Roman" w:cs="Times New Roman"/>
          <w:bCs/>
          <w:sz w:val="22"/>
          <w:lang w:eastAsia="zh-CN"/>
        </w:rPr>
        <w:t xml:space="preserve"> </w:t>
      </w:r>
      <w:bookmarkStart w:id="2" w:name="_Hlk132728282"/>
      <w:r w:rsidR="00CA62AA" w:rsidRPr="00996BEF">
        <w:rPr>
          <w:rFonts w:ascii="Times New Roman" w:hAnsi="Times New Roman" w:cs="Times New Roman"/>
          <w:b w:val="0"/>
          <w:sz w:val="22"/>
          <w:lang w:eastAsia="zh-CN"/>
        </w:rPr>
        <w:t>Effects of the initial concentration of dextranase on the loading capacity of HAPNWs-NH</w:t>
      </w:r>
      <w:r w:rsidR="00CA62AA" w:rsidRPr="00996BEF">
        <w:rPr>
          <w:rFonts w:ascii="Times New Roman" w:hAnsi="Times New Roman" w:cs="Times New Roman"/>
          <w:b w:val="0"/>
          <w:sz w:val="22"/>
          <w:vertAlign w:val="subscript"/>
          <w:lang w:eastAsia="zh-CN"/>
        </w:rPr>
        <w:t>2</w:t>
      </w:r>
      <w:r w:rsidR="00CA62AA" w:rsidRPr="00996BEF">
        <w:rPr>
          <w:rFonts w:ascii="Times New Roman" w:hAnsi="Times New Roman" w:cs="Times New Roman"/>
          <w:b w:val="0"/>
          <w:sz w:val="22"/>
          <w:lang w:eastAsia="zh-CN"/>
        </w:rPr>
        <w:t>@dextranase</w:t>
      </w:r>
      <w:bookmarkEnd w:id="2"/>
      <w:r w:rsidR="00837449" w:rsidRPr="00996BEF">
        <w:rPr>
          <w:rFonts w:ascii="Times New Roman" w:hAnsi="Times New Roman" w:cs="Times New Roman"/>
          <w:b w:val="0"/>
          <w:sz w:val="22"/>
          <w:lang w:eastAsia="zh-CN"/>
        </w:rPr>
        <w:t>.</w:t>
      </w:r>
    </w:p>
    <w:p w14:paraId="7F61BD99" w14:textId="77777777" w:rsidR="00253ED2" w:rsidRPr="00996BEF" w:rsidRDefault="00253ED2" w:rsidP="00253ED2">
      <w:pPr>
        <w:pStyle w:val="RSCB06BHeadingSub-Section"/>
        <w:spacing w:line="240" w:lineRule="auto"/>
        <w:jc w:val="center"/>
        <w:rPr>
          <w:rFonts w:ascii="Times New Roman" w:hAnsi="Times New Roman" w:cs="Times New Roman"/>
          <w:b w:val="0"/>
          <w:sz w:val="22"/>
          <w:lang w:eastAsia="zh-CN"/>
        </w:rPr>
      </w:pPr>
    </w:p>
    <w:p w14:paraId="220A5D32" w14:textId="77777777" w:rsidR="00361052" w:rsidRPr="00996BEF" w:rsidRDefault="00361052" w:rsidP="00361052">
      <w:pPr>
        <w:jc w:val="center"/>
        <w:rPr>
          <w:lang w:val="en-GB"/>
        </w:rPr>
      </w:pPr>
      <w:r w:rsidRPr="00996BEF">
        <w:rPr>
          <w:rFonts w:hint="eastAsia"/>
          <w:noProof/>
        </w:rPr>
        <w:lastRenderedPageBreak/>
        <w:drawing>
          <wp:inline distT="0" distB="0" distL="0" distR="0" wp14:anchorId="372AF91E" wp14:editId="6B713EA5">
            <wp:extent cx="5375908" cy="2072076"/>
            <wp:effectExtent l="0" t="0" r="0" b="4445"/>
            <wp:docPr id="6746143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614373" name="图片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75908" cy="2072076"/>
                    </a:xfrm>
                    <a:prstGeom prst="rect">
                      <a:avLst/>
                    </a:prstGeom>
                  </pic:spPr>
                </pic:pic>
              </a:graphicData>
            </a:graphic>
          </wp:inline>
        </w:drawing>
      </w:r>
    </w:p>
    <w:p w14:paraId="270EFF94" w14:textId="1CB37E05" w:rsidR="00253ED2" w:rsidRPr="00996BEF" w:rsidRDefault="00361052" w:rsidP="00361052">
      <w:pPr>
        <w:pStyle w:val="RSCB02ArticleText"/>
        <w:spacing w:line="240" w:lineRule="auto"/>
        <w:jc w:val="center"/>
      </w:pPr>
      <w:r w:rsidRPr="00996BEF">
        <w:rPr>
          <w:rFonts w:ascii="Times New Roman" w:hAnsi="Times New Roman"/>
          <w:b/>
          <w:bCs/>
          <w:sz w:val="22"/>
          <w:szCs w:val="22"/>
        </w:rPr>
        <w:t xml:space="preserve">Fig. S2 </w:t>
      </w:r>
      <w:r w:rsidRPr="00996BEF">
        <w:rPr>
          <w:rFonts w:ascii="Times New Roman" w:hAnsi="Times New Roman"/>
          <w:sz w:val="22"/>
          <w:szCs w:val="22"/>
        </w:rPr>
        <w:t>N</w:t>
      </w:r>
      <w:r w:rsidRPr="00996BEF">
        <w:rPr>
          <w:rFonts w:ascii="Times New Roman" w:hAnsi="Times New Roman" w:hint="eastAsia"/>
          <w:sz w:val="22"/>
          <w:szCs w:val="22"/>
        </w:rPr>
        <w:t>itrogen</w:t>
      </w:r>
      <w:r w:rsidRPr="00996BEF">
        <w:rPr>
          <w:rFonts w:ascii="Times New Roman" w:hAnsi="Times New Roman"/>
          <w:sz w:val="22"/>
          <w:szCs w:val="22"/>
        </w:rPr>
        <w:t xml:space="preserve"> adsorption-desorption isotherms of HAPNWs (a) and</w:t>
      </w:r>
      <w:r w:rsidRPr="00996BEF">
        <w:rPr>
          <w:rFonts w:ascii="Times New Roman" w:hAnsi="Times New Roman" w:hint="eastAsia"/>
          <w:sz w:val="22"/>
          <w:szCs w:val="22"/>
        </w:rPr>
        <w:t xml:space="preserve"> </w:t>
      </w:r>
      <w:r w:rsidRPr="00996BEF">
        <w:rPr>
          <w:rFonts w:ascii="Times New Roman" w:hAnsi="Times New Roman"/>
          <w:sz w:val="22"/>
          <w:szCs w:val="22"/>
        </w:rPr>
        <w:t xml:space="preserve">BJH desorption pore </w:t>
      </w:r>
      <w:r w:rsidR="00604619" w:rsidRPr="00996BEF">
        <w:rPr>
          <w:rFonts w:ascii="Times New Roman" w:hAnsi="Times New Roman" w:hint="eastAsia"/>
          <w:sz w:val="22"/>
          <w:szCs w:val="22"/>
          <w:lang w:eastAsia="zh-CN"/>
        </w:rPr>
        <w:t>diameter</w:t>
      </w:r>
      <w:r w:rsidRPr="00996BEF">
        <w:rPr>
          <w:rFonts w:ascii="Times New Roman" w:hAnsi="Times New Roman"/>
          <w:sz w:val="22"/>
          <w:szCs w:val="22"/>
        </w:rPr>
        <w:t xml:space="preserve"> distribution curves of HAPNWs (b)</w:t>
      </w:r>
      <w:r w:rsidR="00837449" w:rsidRPr="00996BEF">
        <w:rPr>
          <w:rFonts w:ascii="Times New Roman" w:hAnsi="Times New Roman"/>
          <w:sz w:val="22"/>
          <w:szCs w:val="22"/>
        </w:rPr>
        <w:t>.</w:t>
      </w:r>
    </w:p>
    <w:p w14:paraId="733CE63D" w14:textId="0259B49D" w:rsidR="00361052" w:rsidRPr="00996BEF" w:rsidRDefault="00361052">
      <w:pPr>
        <w:rPr>
          <w:lang w:val="en-GB"/>
        </w:rPr>
      </w:pPr>
    </w:p>
    <w:p w14:paraId="64AB1B0A" w14:textId="77777777" w:rsidR="00F67B8F" w:rsidRPr="00996BEF" w:rsidRDefault="00F67B8F">
      <w:pPr>
        <w:rPr>
          <w:lang w:val="en-GB"/>
        </w:rPr>
      </w:pPr>
    </w:p>
    <w:p w14:paraId="626EBECA" w14:textId="3FA4ED98" w:rsidR="005578AD" w:rsidRPr="00996BEF" w:rsidRDefault="005578AD" w:rsidP="005578AD">
      <w:pPr>
        <w:pStyle w:val="RSCB02ArticleText"/>
        <w:spacing w:line="300" w:lineRule="auto"/>
        <w:jc w:val="center"/>
        <w:rPr>
          <w:rFonts w:ascii="Times New Roman" w:hAnsi="Times New Roman"/>
          <w:b/>
          <w:bCs/>
          <w:sz w:val="22"/>
          <w:szCs w:val="22"/>
        </w:rPr>
      </w:pPr>
      <w:r w:rsidRPr="00996BEF">
        <w:rPr>
          <w:rFonts w:ascii="Times New Roman" w:hAnsi="Times New Roman"/>
          <w:b/>
          <w:bCs/>
          <w:sz w:val="22"/>
          <w:szCs w:val="22"/>
        </w:rPr>
        <w:t xml:space="preserve">Table S1 </w:t>
      </w:r>
      <w:r w:rsidRPr="00996BEF">
        <w:rPr>
          <w:rFonts w:ascii="Times New Roman" w:hAnsi="Times New Roman"/>
          <w:sz w:val="22"/>
          <w:szCs w:val="22"/>
        </w:rPr>
        <w:t>Immobilization of dextranase on different substrate</w:t>
      </w:r>
      <w:r w:rsidR="00837449" w:rsidRPr="00996BEF">
        <w:rPr>
          <w:rFonts w:ascii="Times New Roman" w:hAnsi="Times New Roman"/>
          <w:sz w:val="22"/>
          <w:szCs w:val="22"/>
        </w:rPr>
        <w:t>.</w:t>
      </w:r>
    </w:p>
    <w:tbl>
      <w:tblPr>
        <w:tblStyle w:val="a7"/>
        <w:tblW w:w="829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693"/>
        <w:gridCol w:w="2268"/>
        <w:gridCol w:w="1209"/>
      </w:tblGrid>
      <w:tr w:rsidR="00996BEF" w:rsidRPr="00996BEF" w14:paraId="00192307" w14:textId="58FAD0C0" w:rsidTr="00171EA3">
        <w:trPr>
          <w:trHeight w:val="711"/>
        </w:trPr>
        <w:tc>
          <w:tcPr>
            <w:tcW w:w="2127" w:type="dxa"/>
            <w:tcBorders>
              <w:top w:val="single" w:sz="12" w:space="0" w:color="auto"/>
              <w:bottom w:val="single" w:sz="6" w:space="0" w:color="auto"/>
            </w:tcBorders>
            <w:vAlign w:val="center"/>
          </w:tcPr>
          <w:p w14:paraId="4D9A3302" w14:textId="77777777" w:rsidR="005578AD" w:rsidRPr="00996BEF" w:rsidRDefault="005578AD" w:rsidP="00171EA3">
            <w:pPr>
              <w:pStyle w:val="RSCB06BHeadingSub-Section"/>
              <w:spacing w:after="0"/>
              <w:jc w:val="center"/>
              <w:rPr>
                <w:sz w:val="24"/>
                <w:szCs w:val="24"/>
              </w:rPr>
            </w:pPr>
            <w:r w:rsidRPr="00996BEF">
              <w:rPr>
                <w:sz w:val="24"/>
                <w:szCs w:val="24"/>
              </w:rPr>
              <w:t>Immobilization method</w:t>
            </w:r>
          </w:p>
        </w:tc>
        <w:tc>
          <w:tcPr>
            <w:tcW w:w="2693" w:type="dxa"/>
            <w:tcBorders>
              <w:top w:val="single" w:sz="12" w:space="0" w:color="auto"/>
              <w:bottom w:val="single" w:sz="6" w:space="0" w:color="auto"/>
            </w:tcBorders>
            <w:vAlign w:val="center"/>
          </w:tcPr>
          <w:p w14:paraId="2FA3B596" w14:textId="77777777" w:rsidR="005578AD" w:rsidRPr="00996BEF" w:rsidRDefault="005578AD" w:rsidP="00171EA3">
            <w:pPr>
              <w:pStyle w:val="RSCB06BHeadingSub-Section"/>
              <w:spacing w:after="0"/>
              <w:ind w:rightChars="-321" w:right="-674"/>
              <w:jc w:val="center"/>
              <w:rPr>
                <w:sz w:val="24"/>
                <w:szCs w:val="24"/>
              </w:rPr>
            </w:pPr>
            <w:r w:rsidRPr="00996BEF">
              <w:rPr>
                <w:w w:val="108"/>
                <w:sz w:val="24"/>
                <w:szCs w:val="24"/>
              </w:rPr>
              <w:t>Substrate</w:t>
            </w:r>
          </w:p>
        </w:tc>
        <w:tc>
          <w:tcPr>
            <w:tcW w:w="2268" w:type="dxa"/>
            <w:tcBorders>
              <w:top w:val="single" w:sz="12" w:space="0" w:color="auto"/>
              <w:bottom w:val="single" w:sz="6" w:space="0" w:color="auto"/>
            </w:tcBorders>
            <w:vAlign w:val="center"/>
          </w:tcPr>
          <w:p w14:paraId="3679F783" w14:textId="5FC765D1" w:rsidR="005578AD" w:rsidRPr="00996BEF" w:rsidRDefault="005578AD" w:rsidP="00171EA3">
            <w:pPr>
              <w:pStyle w:val="RSCB06BHeadingSub-Section"/>
              <w:spacing w:after="0"/>
              <w:ind w:rightChars="4" w:right="8"/>
              <w:jc w:val="center"/>
              <w:rPr>
                <w:sz w:val="24"/>
                <w:szCs w:val="24"/>
              </w:rPr>
            </w:pPr>
            <w:r w:rsidRPr="00996BEF">
              <w:rPr>
                <w:sz w:val="24"/>
                <w:szCs w:val="24"/>
              </w:rPr>
              <w:t>Loading capability</w:t>
            </w:r>
            <w:r w:rsidRPr="00996BEF">
              <w:rPr>
                <w:sz w:val="24"/>
                <w:szCs w:val="24"/>
              </w:rPr>
              <w:t>（</w:t>
            </w:r>
            <w:r w:rsidRPr="00996BEF">
              <w:rPr>
                <w:sz w:val="24"/>
                <w:szCs w:val="24"/>
              </w:rPr>
              <w:t>mg</w:t>
            </w:r>
            <w:r w:rsidR="00CF7C3E" w:rsidRPr="00996BEF">
              <w:rPr>
                <w:sz w:val="22"/>
                <w:szCs w:val="22"/>
              </w:rPr>
              <w:t>·</w:t>
            </w:r>
            <w:r w:rsidRPr="00996BEF">
              <w:rPr>
                <w:sz w:val="24"/>
                <w:szCs w:val="24"/>
              </w:rPr>
              <w:t>g</w:t>
            </w:r>
            <w:r w:rsidRPr="00996BEF">
              <w:rPr>
                <w:sz w:val="24"/>
                <w:szCs w:val="24"/>
                <w:vertAlign w:val="superscript"/>
              </w:rPr>
              <w:t>-1</w:t>
            </w:r>
            <w:r w:rsidRPr="00996BEF">
              <w:rPr>
                <w:sz w:val="24"/>
                <w:szCs w:val="24"/>
              </w:rPr>
              <w:t>）</w:t>
            </w:r>
          </w:p>
        </w:tc>
        <w:tc>
          <w:tcPr>
            <w:tcW w:w="1209" w:type="dxa"/>
            <w:tcBorders>
              <w:top w:val="single" w:sz="12" w:space="0" w:color="auto"/>
              <w:bottom w:val="single" w:sz="6" w:space="0" w:color="auto"/>
            </w:tcBorders>
            <w:vAlign w:val="center"/>
          </w:tcPr>
          <w:p w14:paraId="292728B3" w14:textId="10707935" w:rsidR="005578AD" w:rsidRPr="00996BEF" w:rsidRDefault="005578AD" w:rsidP="00171EA3">
            <w:pPr>
              <w:pStyle w:val="RSCB06BHeadingSub-Section"/>
              <w:spacing w:after="0"/>
              <w:jc w:val="center"/>
              <w:rPr>
                <w:sz w:val="24"/>
                <w:szCs w:val="24"/>
              </w:rPr>
            </w:pPr>
            <w:r w:rsidRPr="00996BEF">
              <w:rPr>
                <w:sz w:val="24"/>
                <w:szCs w:val="24"/>
              </w:rPr>
              <w:t>Refs.</w:t>
            </w:r>
          </w:p>
        </w:tc>
      </w:tr>
      <w:tr w:rsidR="00996BEF" w:rsidRPr="00996BEF" w14:paraId="430E4CD4" w14:textId="5F274EE5" w:rsidTr="00171EA3">
        <w:trPr>
          <w:trHeight w:val="423"/>
        </w:trPr>
        <w:tc>
          <w:tcPr>
            <w:tcW w:w="2127" w:type="dxa"/>
            <w:vAlign w:val="center"/>
          </w:tcPr>
          <w:p w14:paraId="0C09B82D" w14:textId="77777777" w:rsidR="005578AD" w:rsidRPr="00996BEF" w:rsidRDefault="005578AD" w:rsidP="001E6AD6">
            <w:pPr>
              <w:pStyle w:val="RSCB06BHeadingSub-Section"/>
              <w:jc w:val="center"/>
              <w:rPr>
                <w:b w:val="0"/>
                <w:bCs/>
                <w:sz w:val="24"/>
                <w:szCs w:val="24"/>
              </w:rPr>
            </w:pPr>
            <w:r w:rsidRPr="00996BEF">
              <w:rPr>
                <w:b w:val="0"/>
                <w:bCs/>
                <w:sz w:val="24"/>
                <w:szCs w:val="24"/>
              </w:rPr>
              <w:t>Covalent binding</w:t>
            </w:r>
          </w:p>
        </w:tc>
        <w:tc>
          <w:tcPr>
            <w:tcW w:w="2693" w:type="dxa"/>
            <w:vAlign w:val="center"/>
          </w:tcPr>
          <w:p w14:paraId="6BEB55F6" w14:textId="77777777" w:rsidR="005578AD" w:rsidRPr="00996BEF" w:rsidRDefault="005578AD">
            <w:pPr>
              <w:pStyle w:val="RSCB06BHeadingSub-Section"/>
              <w:jc w:val="center"/>
              <w:rPr>
                <w:b w:val="0"/>
                <w:bCs/>
                <w:sz w:val="24"/>
                <w:szCs w:val="24"/>
              </w:rPr>
            </w:pPr>
            <w:r w:rsidRPr="00996BEF">
              <w:rPr>
                <w:b w:val="0"/>
                <w:bCs/>
                <w:sz w:val="24"/>
                <w:szCs w:val="24"/>
              </w:rPr>
              <w:t>Fe</w:t>
            </w:r>
            <w:r w:rsidRPr="00996BEF">
              <w:rPr>
                <w:b w:val="0"/>
                <w:bCs/>
                <w:sz w:val="24"/>
                <w:szCs w:val="24"/>
                <w:vertAlign w:val="subscript"/>
              </w:rPr>
              <w:t>3</w:t>
            </w:r>
            <w:r w:rsidRPr="00996BEF">
              <w:rPr>
                <w:b w:val="0"/>
                <w:bCs/>
                <w:sz w:val="24"/>
                <w:szCs w:val="24"/>
              </w:rPr>
              <w:t>O</w:t>
            </w:r>
            <w:r w:rsidRPr="00996BEF">
              <w:rPr>
                <w:b w:val="0"/>
                <w:bCs/>
                <w:sz w:val="24"/>
                <w:szCs w:val="24"/>
                <w:vertAlign w:val="subscript"/>
              </w:rPr>
              <w:t>4</w:t>
            </w:r>
            <w:r w:rsidRPr="00996BEF">
              <w:rPr>
                <w:b w:val="0"/>
                <w:bCs/>
                <w:sz w:val="24"/>
                <w:szCs w:val="24"/>
              </w:rPr>
              <w:t>@PDA@GO-PEI</w:t>
            </w:r>
          </w:p>
        </w:tc>
        <w:tc>
          <w:tcPr>
            <w:tcW w:w="2268" w:type="dxa"/>
            <w:vAlign w:val="center"/>
          </w:tcPr>
          <w:p w14:paraId="3E4DA060" w14:textId="77777777" w:rsidR="005578AD" w:rsidRPr="00996BEF" w:rsidRDefault="005578AD">
            <w:pPr>
              <w:pStyle w:val="RSCB06BHeadingSub-Section"/>
              <w:ind w:rightChars="4" w:right="8"/>
              <w:jc w:val="center"/>
              <w:rPr>
                <w:b w:val="0"/>
                <w:bCs/>
                <w:sz w:val="24"/>
                <w:szCs w:val="24"/>
              </w:rPr>
            </w:pPr>
            <w:r w:rsidRPr="00996BEF">
              <w:rPr>
                <w:b w:val="0"/>
                <w:bCs/>
                <w:sz w:val="24"/>
                <w:szCs w:val="24"/>
              </w:rPr>
              <w:t>305.1</w:t>
            </w:r>
          </w:p>
        </w:tc>
        <w:tc>
          <w:tcPr>
            <w:tcW w:w="1209" w:type="dxa"/>
            <w:vAlign w:val="center"/>
          </w:tcPr>
          <w:p w14:paraId="020A8408" w14:textId="39D59CA7" w:rsidR="005578AD" w:rsidRPr="00996BEF" w:rsidRDefault="00547658">
            <w:pPr>
              <w:pStyle w:val="RSCB06BHeadingSub-Section"/>
              <w:jc w:val="center"/>
              <w:rPr>
                <w:b w:val="0"/>
                <w:bCs/>
                <w:sz w:val="24"/>
                <w:szCs w:val="24"/>
                <w:lang w:eastAsia="zh-CN"/>
              </w:rPr>
            </w:pPr>
            <w:r w:rsidRPr="00996BEF">
              <w:rPr>
                <w:b w:val="0"/>
                <w:bCs/>
                <w:sz w:val="24"/>
                <w:szCs w:val="24"/>
                <w:lang w:eastAsia="zh-CN"/>
              </w:rPr>
              <w:fldChar w:fldCharType="begin"/>
            </w:r>
            <w:r w:rsidR="00011EA9" w:rsidRPr="00996BEF">
              <w:rPr>
                <w:b w:val="0"/>
                <w:bCs/>
                <w:sz w:val="24"/>
                <w:szCs w:val="24"/>
                <w:lang w:eastAsia="zh-CN"/>
              </w:rPr>
              <w:instrText xml:space="preserve"> ADDIN ZOTERO_ITEM CSL_CITATION {"citationID":"a1KdKYBF","properties":{"formattedCitation":"[1]","plainCitation":"[1]","noteIndex":0},"citationItems":[{"id":241,"uris":["http://zotero.org/users/local/6BMiH9Tv/items/WXN7RMZ7"],"itemData":{"id":241,"type":"article-journal","container-title":"Biochemical Engineering Journal","DOI":"10.1016/j.bej.2018.10.015","ISSN":"1369703X","journalAbbreviation":"Biochemical Engineering Journal","language":"en","page":"163-172","source":"DOI.org (Crossref)","title":"Hydrophilic polyethylenimine modified magnetic graphene oxide composite as an efficient support for dextranase immobilization with improved stability and recyclable performance","volume":"141","author":[{"family":"Wang","given":"Yajie"},{"family":"Wang","given":"Qiang"},{"family":"Song","given":"Xiaoping"},{"family":"Cai","given":"Jingjing"}],"issued":{"date-parts":[["2019",1]]}}}],"schema":"https://github.com/citation-style-language/schema/raw/master/csl-citation.json"} </w:instrText>
            </w:r>
            <w:r w:rsidRPr="00996BEF">
              <w:rPr>
                <w:b w:val="0"/>
                <w:bCs/>
                <w:sz w:val="24"/>
                <w:szCs w:val="24"/>
                <w:lang w:eastAsia="zh-CN"/>
              </w:rPr>
              <w:fldChar w:fldCharType="separate"/>
            </w:r>
            <w:r w:rsidR="00011EA9" w:rsidRPr="00996BEF">
              <w:rPr>
                <w:b w:val="0"/>
                <w:bCs/>
                <w:sz w:val="24"/>
              </w:rPr>
              <w:t>[</w:t>
            </w:r>
            <w:hyperlink w:anchor="re" w:history="1">
              <w:r w:rsidR="00011EA9" w:rsidRPr="00996BEF">
                <w:rPr>
                  <w:rStyle w:val="ac"/>
                  <w:b w:val="0"/>
                  <w:bCs/>
                  <w:color w:val="auto"/>
                  <w:sz w:val="24"/>
                  <w:u w:val="none"/>
                </w:rPr>
                <w:t>1</w:t>
              </w:r>
            </w:hyperlink>
            <w:r w:rsidR="00011EA9" w:rsidRPr="00996BEF">
              <w:rPr>
                <w:b w:val="0"/>
                <w:bCs/>
                <w:sz w:val="24"/>
              </w:rPr>
              <w:t>]</w:t>
            </w:r>
            <w:r w:rsidRPr="00996BEF">
              <w:rPr>
                <w:b w:val="0"/>
                <w:bCs/>
                <w:sz w:val="24"/>
                <w:szCs w:val="24"/>
                <w:lang w:eastAsia="zh-CN"/>
              </w:rPr>
              <w:fldChar w:fldCharType="end"/>
            </w:r>
          </w:p>
        </w:tc>
      </w:tr>
      <w:tr w:rsidR="00996BEF" w:rsidRPr="00996BEF" w14:paraId="438946E0" w14:textId="6877DC67" w:rsidTr="00171EA3">
        <w:trPr>
          <w:trHeight w:val="403"/>
        </w:trPr>
        <w:tc>
          <w:tcPr>
            <w:tcW w:w="2127" w:type="dxa"/>
            <w:vAlign w:val="center"/>
          </w:tcPr>
          <w:p w14:paraId="16A64592" w14:textId="77777777" w:rsidR="005578AD" w:rsidRPr="00996BEF" w:rsidRDefault="005578AD" w:rsidP="001E6AD6">
            <w:pPr>
              <w:pStyle w:val="RSCB06BHeadingSub-Section"/>
              <w:jc w:val="center"/>
              <w:rPr>
                <w:b w:val="0"/>
                <w:bCs/>
                <w:sz w:val="24"/>
                <w:szCs w:val="24"/>
              </w:rPr>
            </w:pPr>
            <w:r w:rsidRPr="00996BEF">
              <w:rPr>
                <w:b w:val="0"/>
                <w:bCs/>
                <w:sz w:val="24"/>
                <w:szCs w:val="24"/>
              </w:rPr>
              <w:t>Covalent binding</w:t>
            </w:r>
          </w:p>
        </w:tc>
        <w:tc>
          <w:tcPr>
            <w:tcW w:w="2693" w:type="dxa"/>
            <w:vAlign w:val="center"/>
          </w:tcPr>
          <w:p w14:paraId="03C7C2BE" w14:textId="77777777" w:rsidR="005578AD" w:rsidRPr="00996BEF" w:rsidRDefault="005578AD">
            <w:pPr>
              <w:pStyle w:val="RSCB06BHeadingSub-Section"/>
              <w:jc w:val="center"/>
              <w:rPr>
                <w:b w:val="0"/>
                <w:bCs/>
                <w:sz w:val="24"/>
                <w:szCs w:val="24"/>
              </w:rPr>
            </w:pPr>
            <w:r w:rsidRPr="00996BEF">
              <w:rPr>
                <w:b w:val="0"/>
                <w:bCs/>
                <w:sz w:val="24"/>
                <w:szCs w:val="24"/>
              </w:rPr>
              <w:t>Fe</w:t>
            </w:r>
            <w:r w:rsidRPr="00996BEF">
              <w:rPr>
                <w:b w:val="0"/>
                <w:bCs/>
                <w:sz w:val="24"/>
                <w:szCs w:val="24"/>
                <w:vertAlign w:val="subscript"/>
              </w:rPr>
              <w:t>3</w:t>
            </w:r>
            <w:r w:rsidRPr="00996BEF">
              <w:rPr>
                <w:b w:val="0"/>
                <w:bCs/>
                <w:sz w:val="24"/>
                <w:szCs w:val="24"/>
              </w:rPr>
              <w:t>O</w:t>
            </w:r>
            <w:r w:rsidRPr="00996BEF">
              <w:rPr>
                <w:b w:val="0"/>
                <w:bCs/>
                <w:sz w:val="24"/>
                <w:szCs w:val="24"/>
                <w:vertAlign w:val="subscript"/>
              </w:rPr>
              <w:t>4</w:t>
            </w:r>
            <w:r w:rsidRPr="00996BEF">
              <w:rPr>
                <w:b w:val="0"/>
                <w:bCs/>
                <w:sz w:val="24"/>
                <w:szCs w:val="24"/>
              </w:rPr>
              <w:t>@SiO</w:t>
            </w:r>
            <w:r w:rsidRPr="00996BEF">
              <w:rPr>
                <w:b w:val="0"/>
                <w:bCs/>
                <w:sz w:val="24"/>
                <w:szCs w:val="24"/>
                <w:vertAlign w:val="subscript"/>
              </w:rPr>
              <w:t>2</w:t>
            </w:r>
            <w:r w:rsidRPr="00996BEF">
              <w:rPr>
                <w:b w:val="0"/>
                <w:bCs/>
                <w:sz w:val="24"/>
                <w:szCs w:val="24"/>
              </w:rPr>
              <w:t>-PEI</w:t>
            </w:r>
          </w:p>
        </w:tc>
        <w:tc>
          <w:tcPr>
            <w:tcW w:w="2268" w:type="dxa"/>
            <w:vAlign w:val="center"/>
          </w:tcPr>
          <w:p w14:paraId="21869831" w14:textId="77777777" w:rsidR="005578AD" w:rsidRPr="00996BEF" w:rsidRDefault="005578AD">
            <w:pPr>
              <w:pStyle w:val="RSCB06BHeadingSub-Section"/>
              <w:ind w:rightChars="4" w:right="8"/>
              <w:jc w:val="center"/>
              <w:rPr>
                <w:b w:val="0"/>
                <w:bCs/>
                <w:sz w:val="24"/>
                <w:szCs w:val="24"/>
              </w:rPr>
            </w:pPr>
            <w:r w:rsidRPr="00996BEF">
              <w:rPr>
                <w:b w:val="0"/>
                <w:bCs/>
                <w:sz w:val="24"/>
                <w:szCs w:val="24"/>
              </w:rPr>
              <w:t>217.2</w:t>
            </w:r>
          </w:p>
        </w:tc>
        <w:tc>
          <w:tcPr>
            <w:tcW w:w="1209" w:type="dxa"/>
            <w:vAlign w:val="center"/>
          </w:tcPr>
          <w:p w14:paraId="594F4FC8" w14:textId="177F2159" w:rsidR="005578AD" w:rsidRPr="00996BEF" w:rsidRDefault="00547658">
            <w:pPr>
              <w:pStyle w:val="RSCB06BHeadingSub-Section"/>
              <w:jc w:val="center"/>
              <w:rPr>
                <w:b w:val="0"/>
                <w:bCs/>
                <w:sz w:val="24"/>
                <w:szCs w:val="24"/>
                <w:lang w:eastAsia="zh-CN"/>
              </w:rPr>
            </w:pPr>
            <w:r w:rsidRPr="00996BEF">
              <w:rPr>
                <w:b w:val="0"/>
                <w:bCs/>
                <w:sz w:val="24"/>
                <w:szCs w:val="24"/>
                <w:lang w:eastAsia="zh-CN"/>
              </w:rPr>
              <w:fldChar w:fldCharType="begin"/>
            </w:r>
            <w:r w:rsidR="00011EA9" w:rsidRPr="00996BEF">
              <w:rPr>
                <w:b w:val="0"/>
                <w:bCs/>
                <w:sz w:val="24"/>
                <w:szCs w:val="24"/>
                <w:lang w:eastAsia="zh-CN"/>
              </w:rPr>
              <w:instrText xml:space="preserve"> ADDIN ZOTERO_ITEM CSL_CITATION {"citationID":"eqoH96yx","properties":{"formattedCitation":"[2]","plainCitation":"[2]","noteIndex":0},"citationItems":[{"id":271,"uris":["http://zotero.org/users/local/6BMiH9Tv/items/9CRDFNIH"],"itemData":{"id":271,"type":"article-journal","abstract":"The stability and reusability of dextranase were improved by immobilizing it on polyethylenimine modified magnetic particles.\n          , \n            \n              Dextranase is a unique biocatalyst for the enzymatic hydrolysis of dextran in carbohydrate chemistry, but the instability and poor recycling ability of dextranase significantly limit its long-term applications. As an alternative method, stabilization of dextranase on a solid carrier is a promising strategy. In this study, a kind of polyethylenimine (PEI) polymer modified magnetic particle was fabricated and employed as the substrate for covalent immobilization of dextranase (Fe\n              3\n              O\n              4\n              @SiO\n              2\n              -PEI-dextranase) to improve the stability and reusability performance for the first time. The grafted PEI polymer on the surface enhanced the amount of primary amine groups, and improved the loading capacity of dextranase on Fe\n              3\n              O\n              4\n              @SiO\n              2\n              -PEI-dextranase to 217.2 mg g\n              −1\n              , which was 3.84 times that measured on Fe\n              3\n              O\n              4\n              @SiO\n              2\n              -NH\n              2\n              -dextranase particles. Under the optimized conditions, high immobilization efficiency (72.38%) and enzymatic activity (82.84%) of Fe\n              3\n              O\n              4\n              @SiO\n              2\n              -PEI-dextranase were achieved. Thermal and pH tolerance, and long-term storage tests revealed that the Fe\n              3\n              O\n              4\n              @SiO\n              2\n              -PEI-dextranase exhibited much better stabilities. More importantly, Fe\n              3\n              O\n              4\n              @SiO\n              2\n              -PEI-dextranase retained 83.26% of its initial activity after reuse 15 times, suggesting its excellent reusability. It is believed that the immobilized dextranase could have potential applications in biological and biocatalytic fields.","container-title":"New Journal of Chemistry","DOI":"10.1039/C8NJ00227D","ISSN":"1144-0546, 1369-9261","issue":"11","journalAbbreviation":"New J. Chem.","language":"en","page":"8391-8399","source":"DOI.org (Crossref)","title":"Improving the stability and reusability of dextranase by immobilization on polyethylenimine modified magnetic particles","volume":"42","author":[{"family":"Wang","given":"Yajie"},{"family":"Wang","given":"Qiang"},{"family":"Song","given":"Xiaoping"},{"family":"Cai","given":"Jingjing"}],"issued":{"date-parts":[["2018"]]}}}],"schema":"https://github.com/citation-style-language/schema/raw/master/csl-citation.json"} </w:instrText>
            </w:r>
            <w:r w:rsidRPr="00996BEF">
              <w:rPr>
                <w:b w:val="0"/>
                <w:bCs/>
                <w:sz w:val="24"/>
                <w:szCs w:val="24"/>
                <w:lang w:eastAsia="zh-CN"/>
              </w:rPr>
              <w:fldChar w:fldCharType="separate"/>
            </w:r>
            <w:r w:rsidR="00011EA9" w:rsidRPr="00996BEF">
              <w:rPr>
                <w:b w:val="0"/>
                <w:bCs/>
                <w:sz w:val="24"/>
              </w:rPr>
              <w:t>[</w:t>
            </w:r>
            <w:hyperlink w:anchor="re" w:history="1">
              <w:r w:rsidR="00011EA9" w:rsidRPr="00996BEF">
                <w:rPr>
                  <w:rStyle w:val="ac"/>
                  <w:b w:val="0"/>
                  <w:bCs/>
                  <w:color w:val="auto"/>
                  <w:sz w:val="24"/>
                  <w:u w:val="none"/>
                </w:rPr>
                <w:t>2</w:t>
              </w:r>
            </w:hyperlink>
            <w:r w:rsidR="00011EA9" w:rsidRPr="00996BEF">
              <w:rPr>
                <w:b w:val="0"/>
                <w:bCs/>
                <w:sz w:val="24"/>
              </w:rPr>
              <w:t>]</w:t>
            </w:r>
            <w:r w:rsidRPr="00996BEF">
              <w:rPr>
                <w:b w:val="0"/>
                <w:bCs/>
                <w:sz w:val="24"/>
                <w:szCs w:val="24"/>
                <w:lang w:eastAsia="zh-CN"/>
              </w:rPr>
              <w:fldChar w:fldCharType="end"/>
            </w:r>
          </w:p>
        </w:tc>
      </w:tr>
      <w:tr w:rsidR="00996BEF" w:rsidRPr="00996BEF" w14:paraId="6FFE2E5F" w14:textId="52B49FDF" w:rsidTr="00171EA3">
        <w:trPr>
          <w:trHeight w:val="422"/>
        </w:trPr>
        <w:tc>
          <w:tcPr>
            <w:tcW w:w="2127" w:type="dxa"/>
            <w:vAlign w:val="center"/>
          </w:tcPr>
          <w:p w14:paraId="0470C643" w14:textId="77777777" w:rsidR="005578AD" w:rsidRPr="00996BEF" w:rsidRDefault="005578AD" w:rsidP="001E6AD6">
            <w:pPr>
              <w:pStyle w:val="RSCB06BHeadingSub-Section"/>
              <w:jc w:val="center"/>
              <w:rPr>
                <w:b w:val="0"/>
                <w:bCs/>
                <w:sz w:val="24"/>
                <w:szCs w:val="24"/>
              </w:rPr>
            </w:pPr>
            <w:r w:rsidRPr="00996BEF">
              <w:rPr>
                <w:b w:val="0"/>
                <w:bCs/>
                <w:sz w:val="24"/>
                <w:szCs w:val="24"/>
              </w:rPr>
              <w:t>Covalent binding</w:t>
            </w:r>
          </w:p>
        </w:tc>
        <w:tc>
          <w:tcPr>
            <w:tcW w:w="2693" w:type="dxa"/>
            <w:vAlign w:val="center"/>
          </w:tcPr>
          <w:p w14:paraId="7572A55E" w14:textId="77777777" w:rsidR="005578AD" w:rsidRPr="00996BEF" w:rsidRDefault="005578AD">
            <w:pPr>
              <w:pStyle w:val="RSCB06BHeadingSub-Section"/>
              <w:jc w:val="center"/>
              <w:rPr>
                <w:b w:val="0"/>
                <w:bCs/>
                <w:sz w:val="24"/>
                <w:szCs w:val="24"/>
              </w:rPr>
            </w:pPr>
            <w:r w:rsidRPr="00996BEF">
              <w:rPr>
                <w:b w:val="0"/>
                <w:bCs/>
                <w:sz w:val="24"/>
                <w:szCs w:val="24"/>
              </w:rPr>
              <w:t>Fe</w:t>
            </w:r>
            <w:r w:rsidRPr="00996BEF">
              <w:rPr>
                <w:b w:val="0"/>
                <w:bCs/>
                <w:sz w:val="24"/>
                <w:szCs w:val="24"/>
                <w:vertAlign w:val="subscript"/>
              </w:rPr>
              <w:t>3</w:t>
            </w:r>
            <w:r w:rsidRPr="00996BEF">
              <w:rPr>
                <w:b w:val="0"/>
                <w:bCs/>
                <w:sz w:val="24"/>
                <w:szCs w:val="24"/>
              </w:rPr>
              <w:t>O</w:t>
            </w:r>
            <w:r w:rsidRPr="00996BEF">
              <w:rPr>
                <w:b w:val="0"/>
                <w:bCs/>
                <w:sz w:val="24"/>
                <w:szCs w:val="24"/>
                <w:vertAlign w:val="subscript"/>
              </w:rPr>
              <w:t>4</w:t>
            </w:r>
            <w:r w:rsidRPr="00996BEF">
              <w:rPr>
                <w:b w:val="0"/>
                <w:bCs/>
                <w:sz w:val="24"/>
                <w:szCs w:val="24"/>
              </w:rPr>
              <w:t>@SiO</w:t>
            </w:r>
            <w:r w:rsidRPr="00996BEF">
              <w:rPr>
                <w:b w:val="0"/>
                <w:bCs/>
                <w:sz w:val="24"/>
                <w:szCs w:val="24"/>
                <w:vertAlign w:val="subscript"/>
              </w:rPr>
              <w:t>2</w:t>
            </w:r>
            <w:r w:rsidRPr="00996BEF">
              <w:rPr>
                <w:b w:val="0"/>
                <w:bCs/>
                <w:sz w:val="24"/>
                <w:szCs w:val="24"/>
              </w:rPr>
              <w:t>-NH</w:t>
            </w:r>
            <w:r w:rsidRPr="00996BEF">
              <w:rPr>
                <w:b w:val="0"/>
                <w:bCs/>
                <w:sz w:val="24"/>
                <w:szCs w:val="24"/>
                <w:vertAlign w:val="subscript"/>
              </w:rPr>
              <w:t>2</w:t>
            </w:r>
          </w:p>
        </w:tc>
        <w:tc>
          <w:tcPr>
            <w:tcW w:w="2268" w:type="dxa"/>
            <w:vAlign w:val="center"/>
          </w:tcPr>
          <w:p w14:paraId="4A3F0DB8" w14:textId="77777777" w:rsidR="005578AD" w:rsidRPr="00996BEF" w:rsidRDefault="005578AD">
            <w:pPr>
              <w:pStyle w:val="RSCB06BHeadingSub-Section"/>
              <w:ind w:rightChars="4" w:right="8"/>
              <w:jc w:val="center"/>
              <w:rPr>
                <w:b w:val="0"/>
                <w:bCs/>
                <w:sz w:val="24"/>
                <w:szCs w:val="24"/>
              </w:rPr>
            </w:pPr>
            <w:r w:rsidRPr="00996BEF">
              <w:rPr>
                <w:b w:val="0"/>
                <w:bCs/>
                <w:sz w:val="24"/>
                <w:szCs w:val="24"/>
              </w:rPr>
              <w:t>56.55</w:t>
            </w:r>
          </w:p>
        </w:tc>
        <w:tc>
          <w:tcPr>
            <w:tcW w:w="1209" w:type="dxa"/>
            <w:vAlign w:val="center"/>
          </w:tcPr>
          <w:p w14:paraId="7665FD48" w14:textId="68376203" w:rsidR="005578AD" w:rsidRPr="00996BEF" w:rsidRDefault="00547658">
            <w:pPr>
              <w:pStyle w:val="RSCB06BHeadingSub-Section"/>
              <w:jc w:val="center"/>
              <w:rPr>
                <w:b w:val="0"/>
                <w:bCs/>
                <w:sz w:val="24"/>
                <w:szCs w:val="24"/>
                <w:lang w:eastAsia="zh-CN"/>
              </w:rPr>
            </w:pPr>
            <w:r w:rsidRPr="00996BEF">
              <w:rPr>
                <w:b w:val="0"/>
                <w:bCs/>
                <w:sz w:val="24"/>
                <w:szCs w:val="24"/>
                <w:lang w:eastAsia="zh-CN"/>
              </w:rPr>
              <w:fldChar w:fldCharType="begin"/>
            </w:r>
            <w:r w:rsidR="00011EA9" w:rsidRPr="00996BEF">
              <w:rPr>
                <w:b w:val="0"/>
                <w:bCs/>
                <w:sz w:val="24"/>
                <w:szCs w:val="24"/>
                <w:lang w:eastAsia="zh-CN"/>
              </w:rPr>
              <w:instrText xml:space="preserve"> ADDIN ZOTERO_ITEM CSL_CITATION {"citationID":"Wr8FIv1O","properties":{"formattedCitation":"[3]","plainCitation":"[3]","noteIndex":0},"citationItems":[{"id":247,"uris":["http://zotero.org/users/local/6BMiH9Tv/items/RPZDWZ44"],"itemData":{"id":247,"type":"article-journal","abstract":"In order to facilitate the Co-Immobilization of dextransucrase and dextranase, various techniques for the immobilization of industrial endodextranase from Chaetomium erraticum (Novozymes A/S) were researched. Adsorption isotherms at various pH-values have been determined for bentonite (Montmorillonite), hydroxyapatite and Streamline DEAE. Using bentonite and hydroxyapatite, highest activity loads (12,000 U g−1; 2900 U g−1, respectively) can be achieved without a signiﬁcant change of the apparent Michaelis–Menten constant KM. For successful adsorption, enzyme to bentonite ratios greater than 0.4 (w/w) have to be used as lower ratios lead to 90% enzyme inactivation due to bentonite contact. In addition, covalent linkage using the activated oxiran carriers Eupergit C and Eupergit C250L as well as linkage with aminopropyl silica via metaperiodate activation of glycosyl moiety of dextranase are discussed. This is also the ﬁrst report probing the structure of a matrix containing dextranase by use of substrate species with different molecular weights. From this we can observe a relationship between the porosity of Eupergit and dextran dependent activity. For the reactor concept using Co-Immobilisates, hydroxyapatite will be preferred to Eupergit because of its higher speciﬁc activity and dispersity.","container-title":"Journal of Biotechnology","DOI":"10.1016/j.jbiotec.2007.07.946","ISSN":"01681656","issue":"4","journalAbbreviation":"Journal of Biotechnology","language":"en","page":"440-447","source":"DOI.org (Crossref)","title":"Immobilization of dextranase from Chaetomium erraticum","volume":"131","author":[{"family":"Erhardt","given":"Frank Alwin"},{"family":"Jördening","given":"Hans-Joachim"}],"issued":{"date-parts":[["2007",9]]}}}],"schema":"https://github.com/citation-style-language/schema/raw/master/csl-citation.json"} </w:instrText>
            </w:r>
            <w:r w:rsidRPr="00996BEF">
              <w:rPr>
                <w:b w:val="0"/>
                <w:bCs/>
                <w:sz w:val="24"/>
                <w:szCs w:val="24"/>
                <w:lang w:eastAsia="zh-CN"/>
              </w:rPr>
              <w:fldChar w:fldCharType="separate"/>
            </w:r>
            <w:r w:rsidR="00011EA9" w:rsidRPr="00996BEF">
              <w:rPr>
                <w:b w:val="0"/>
                <w:bCs/>
                <w:sz w:val="24"/>
              </w:rPr>
              <w:t>[</w:t>
            </w:r>
            <w:hyperlink w:anchor="re" w:history="1">
              <w:r w:rsidR="00011EA9" w:rsidRPr="00996BEF">
                <w:rPr>
                  <w:rStyle w:val="ac"/>
                  <w:b w:val="0"/>
                  <w:bCs/>
                  <w:color w:val="auto"/>
                  <w:sz w:val="24"/>
                  <w:u w:val="none"/>
                </w:rPr>
                <w:t>3</w:t>
              </w:r>
            </w:hyperlink>
            <w:r w:rsidR="00011EA9" w:rsidRPr="00996BEF">
              <w:rPr>
                <w:b w:val="0"/>
                <w:bCs/>
                <w:sz w:val="24"/>
              </w:rPr>
              <w:t>]</w:t>
            </w:r>
            <w:r w:rsidRPr="00996BEF">
              <w:rPr>
                <w:b w:val="0"/>
                <w:bCs/>
                <w:sz w:val="24"/>
                <w:szCs w:val="24"/>
                <w:lang w:eastAsia="zh-CN"/>
              </w:rPr>
              <w:fldChar w:fldCharType="end"/>
            </w:r>
          </w:p>
        </w:tc>
      </w:tr>
      <w:tr w:rsidR="00996BEF" w:rsidRPr="00996BEF" w14:paraId="22C8E628" w14:textId="41B2BA1A" w:rsidTr="00171EA3">
        <w:trPr>
          <w:trHeight w:val="403"/>
        </w:trPr>
        <w:tc>
          <w:tcPr>
            <w:tcW w:w="2127" w:type="dxa"/>
            <w:vAlign w:val="center"/>
          </w:tcPr>
          <w:p w14:paraId="0545ED40" w14:textId="77777777" w:rsidR="005578AD" w:rsidRPr="00996BEF" w:rsidRDefault="005578AD" w:rsidP="001E6AD6">
            <w:pPr>
              <w:pStyle w:val="RSCB06BHeadingSub-Section"/>
              <w:jc w:val="center"/>
              <w:rPr>
                <w:b w:val="0"/>
                <w:bCs/>
                <w:sz w:val="24"/>
                <w:szCs w:val="24"/>
              </w:rPr>
            </w:pPr>
            <w:r w:rsidRPr="00996BEF">
              <w:rPr>
                <w:b w:val="0"/>
                <w:bCs/>
                <w:sz w:val="24"/>
                <w:szCs w:val="24"/>
              </w:rPr>
              <w:t>Covalent binding</w:t>
            </w:r>
          </w:p>
        </w:tc>
        <w:tc>
          <w:tcPr>
            <w:tcW w:w="2693" w:type="dxa"/>
            <w:vAlign w:val="center"/>
          </w:tcPr>
          <w:p w14:paraId="66AB51BE" w14:textId="77777777" w:rsidR="005578AD" w:rsidRPr="00996BEF" w:rsidRDefault="005578AD">
            <w:pPr>
              <w:pStyle w:val="RSCB06BHeadingSub-Section"/>
              <w:jc w:val="center"/>
              <w:rPr>
                <w:b w:val="0"/>
                <w:bCs/>
                <w:sz w:val="24"/>
                <w:szCs w:val="24"/>
              </w:rPr>
            </w:pPr>
            <w:r w:rsidRPr="00996BEF">
              <w:rPr>
                <w:b w:val="0"/>
                <w:bCs/>
                <w:sz w:val="24"/>
                <w:szCs w:val="24"/>
              </w:rPr>
              <w:t>Eupergit C</w:t>
            </w:r>
          </w:p>
        </w:tc>
        <w:tc>
          <w:tcPr>
            <w:tcW w:w="2268" w:type="dxa"/>
            <w:vAlign w:val="center"/>
          </w:tcPr>
          <w:p w14:paraId="556BC748" w14:textId="77777777" w:rsidR="005578AD" w:rsidRPr="00996BEF" w:rsidRDefault="005578AD">
            <w:pPr>
              <w:pStyle w:val="RSCB06BHeadingSub-Section"/>
              <w:ind w:rightChars="4" w:right="8"/>
              <w:jc w:val="center"/>
              <w:rPr>
                <w:b w:val="0"/>
                <w:bCs/>
                <w:sz w:val="24"/>
                <w:szCs w:val="24"/>
              </w:rPr>
            </w:pPr>
            <w:r w:rsidRPr="00996BEF">
              <w:rPr>
                <w:b w:val="0"/>
                <w:bCs/>
                <w:sz w:val="24"/>
                <w:szCs w:val="24"/>
              </w:rPr>
              <w:t>16</w:t>
            </w:r>
          </w:p>
        </w:tc>
        <w:tc>
          <w:tcPr>
            <w:tcW w:w="1209" w:type="dxa"/>
            <w:vAlign w:val="center"/>
          </w:tcPr>
          <w:p w14:paraId="009A5689" w14:textId="4EC2F1A9" w:rsidR="005578AD" w:rsidRPr="00996BEF" w:rsidRDefault="00547658">
            <w:pPr>
              <w:pStyle w:val="RSCB06BHeadingSub-Section"/>
              <w:jc w:val="center"/>
              <w:rPr>
                <w:b w:val="0"/>
                <w:bCs/>
                <w:sz w:val="24"/>
                <w:szCs w:val="24"/>
                <w:lang w:eastAsia="zh-CN"/>
              </w:rPr>
            </w:pPr>
            <w:r w:rsidRPr="00996BEF">
              <w:rPr>
                <w:b w:val="0"/>
                <w:bCs/>
                <w:sz w:val="24"/>
                <w:szCs w:val="24"/>
                <w:lang w:eastAsia="zh-CN"/>
              </w:rPr>
              <w:fldChar w:fldCharType="begin"/>
            </w:r>
            <w:r w:rsidR="00011EA9" w:rsidRPr="00996BEF">
              <w:rPr>
                <w:b w:val="0"/>
                <w:bCs/>
                <w:sz w:val="24"/>
                <w:szCs w:val="24"/>
                <w:lang w:eastAsia="zh-CN"/>
              </w:rPr>
              <w:instrText xml:space="preserve"> ADDIN ZOTERO_ITEM CSL_CITATION {"citationID":"KBptIdPT","properties":{"formattedCitation":"[3]","plainCitation":"[3]","noteIndex":0},"citationItems":[{"id":247,"uris":["http://zotero.org/users/local/6BMiH9Tv/items/RPZDWZ44"],"itemData":{"id":247,"type":"article-journal","abstract":"In order to facilitate the Co-Immobilization of dextransucrase and dextranase, various techniques for the immobilization of industrial endodextranase from Chaetomium erraticum (Novozymes A/S) were researched. Adsorption isotherms at various pH-values have been determined for bentonite (Montmorillonite), hydroxyapatite and Streamline DEAE. Using bentonite and hydroxyapatite, highest activity loads (12,000 U g−1; 2900 U g−1, respectively) can be achieved without a signiﬁcant change of the apparent Michaelis–Menten constant KM. For successful adsorption, enzyme to bentonite ratios greater than 0.4 (w/w) have to be used as lower ratios lead to 90% enzyme inactivation due to bentonite contact. In addition, covalent linkage using the activated oxiran carriers Eupergit C and Eupergit C250L as well as linkage with aminopropyl silica via metaperiodate activation of glycosyl moiety of dextranase are discussed. This is also the ﬁrst report probing the structure of a matrix containing dextranase by use of substrate species with different molecular weights. From this we can observe a relationship between the porosity of Eupergit and dextran dependent activity. For the reactor concept using Co-Immobilisates, hydroxyapatite will be preferred to Eupergit because of its higher speciﬁc activity and dispersity.","container-title":"Journal of Biotechnology","DOI":"10.1016/j.jbiotec.2007.07.946","ISSN":"01681656","issue":"4","journalAbbreviation":"Journal of Biotechnology","language":"en","page":"440-447","source":"DOI.org (Crossref)","title":"Immobilization of dextranase from Chaetomium erraticum","volume":"131","author":[{"family":"Erhardt","given":"Frank Alwin"},{"family":"Jördening","given":"Hans-Joachim"}],"issued":{"date-parts":[["2007",9]]}}}],"schema":"https://github.com/citation-style-language/schema/raw/master/csl-citation.json"} </w:instrText>
            </w:r>
            <w:r w:rsidRPr="00996BEF">
              <w:rPr>
                <w:b w:val="0"/>
                <w:bCs/>
                <w:sz w:val="24"/>
                <w:szCs w:val="24"/>
                <w:lang w:eastAsia="zh-CN"/>
              </w:rPr>
              <w:fldChar w:fldCharType="separate"/>
            </w:r>
            <w:r w:rsidR="00011EA9" w:rsidRPr="00996BEF">
              <w:rPr>
                <w:b w:val="0"/>
                <w:bCs/>
                <w:sz w:val="24"/>
              </w:rPr>
              <w:t>[</w:t>
            </w:r>
            <w:hyperlink w:anchor="re" w:history="1">
              <w:r w:rsidR="00011EA9" w:rsidRPr="00996BEF">
                <w:rPr>
                  <w:rStyle w:val="ac"/>
                  <w:b w:val="0"/>
                  <w:bCs/>
                  <w:color w:val="auto"/>
                  <w:sz w:val="24"/>
                  <w:u w:val="none"/>
                </w:rPr>
                <w:t>3</w:t>
              </w:r>
            </w:hyperlink>
            <w:r w:rsidR="00011EA9" w:rsidRPr="00996BEF">
              <w:rPr>
                <w:b w:val="0"/>
                <w:bCs/>
                <w:sz w:val="24"/>
              </w:rPr>
              <w:t>]</w:t>
            </w:r>
            <w:r w:rsidRPr="00996BEF">
              <w:rPr>
                <w:b w:val="0"/>
                <w:bCs/>
                <w:sz w:val="24"/>
                <w:szCs w:val="24"/>
                <w:lang w:eastAsia="zh-CN"/>
              </w:rPr>
              <w:fldChar w:fldCharType="end"/>
            </w:r>
          </w:p>
        </w:tc>
      </w:tr>
      <w:tr w:rsidR="00996BEF" w:rsidRPr="00996BEF" w14:paraId="1A59A7ED" w14:textId="77777777" w:rsidTr="00171EA3">
        <w:trPr>
          <w:trHeight w:val="403"/>
        </w:trPr>
        <w:tc>
          <w:tcPr>
            <w:tcW w:w="2127" w:type="dxa"/>
            <w:vAlign w:val="center"/>
          </w:tcPr>
          <w:p w14:paraId="64F84EEA" w14:textId="1FEE968B" w:rsidR="006759CB" w:rsidRPr="00996BEF" w:rsidRDefault="006759CB" w:rsidP="001E6AD6">
            <w:pPr>
              <w:pStyle w:val="RSCB06BHeadingSub-Section"/>
              <w:jc w:val="center"/>
              <w:rPr>
                <w:b w:val="0"/>
                <w:bCs/>
                <w:sz w:val="24"/>
                <w:szCs w:val="24"/>
              </w:rPr>
            </w:pPr>
            <w:r w:rsidRPr="00996BEF">
              <w:rPr>
                <w:b w:val="0"/>
                <w:bCs/>
                <w:sz w:val="24"/>
                <w:szCs w:val="24"/>
              </w:rPr>
              <w:t>Covalent binding</w:t>
            </w:r>
          </w:p>
        </w:tc>
        <w:tc>
          <w:tcPr>
            <w:tcW w:w="2693" w:type="dxa"/>
            <w:vAlign w:val="center"/>
          </w:tcPr>
          <w:p w14:paraId="24F84233" w14:textId="1F121B54" w:rsidR="006759CB" w:rsidRPr="00996BEF" w:rsidRDefault="006759CB">
            <w:pPr>
              <w:pStyle w:val="RSCB06BHeadingSub-Section"/>
              <w:jc w:val="center"/>
              <w:rPr>
                <w:b w:val="0"/>
                <w:bCs/>
                <w:sz w:val="24"/>
                <w:szCs w:val="24"/>
              </w:rPr>
            </w:pPr>
            <w:r w:rsidRPr="00996BEF">
              <w:rPr>
                <w:b w:val="0"/>
                <w:bCs/>
                <w:sz w:val="24"/>
                <w:szCs w:val="24"/>
              </w:rPr>
              <w:t>Eupergit C250L</w:t>
            </w:r>
          </w:p>
        </w:tc>
        <w:tc>
          <w:tcPr>
            <w:tcW w:w="2268" w:type="dxa"/>
            <w:vAlign w:val="center"/>
          </w:tcPr>
          <w:p w14:paraId="63106B2D" w14:textId="14AF2E46" w:rsidR="006759CB" w:rsidRPr="00996BEF" w:rsidRDefault="006759CB">
            <w:pPr>
              <w:pStyle w:val="RSCB06BHeadingSub-Section"/>
              <w:ind w:rightChars="4" w:right="8"/>
              <w:jc w:val="center"/>
              <w:rPr>
                <w:b w:val="0"/>
                <w:bCs/>
                <w:sz w:val="24"/>
                <w:szCs w:val="24"/>
              </w:rPr>
            </w:pPr>
            <w:r w:rsidRPr="00996BEF">
              <w:rPr>
                <w:b w:val="0"/>
                <w:bCs/>
                <w:sz w:val="24"/>
                <w:szCs w:val="24"/>
              </w:rPr>
              <w:t>11</w:t>
            </w:r>
          </w:p>
        </w:tc>
        <w:tc>
          <w:tcPr>
            <w:tcW w:w="1209" w:type="dxa"/>
            <w:vAlign w:val="center"/>
          </w:tcPr>
          <w:p w14:paraId="07EC9696" w14:textId="319ADD99" w:rsidR="006759CB" w:rsidRPr="00996BEF" w:rsidRDefault="00547658">
            <w:pPr>
              <w:pStyle w:val="RSCB06BHeadingSub-Section"/>
              <w:jc w:val="center"/>
              <w:rPr>
                <w:b w:val="0"/>
                <w:bCs/>
                <w:sz w:val="24"/>
                <w:szCs w:val="24"/>
                <w:lang w:eastAsia="zh-CN"/>
              </w:rPr>
            </w:pPr>
            <w:r w:rsidRPr="00996BEF">
              <w:rPr>
                <w:b w:val="0"/>
                <w:bCs/>
                <w:sz w:val="24"/>
                <w:szCs w:val="24"/>
                <w:lang w:eastAsia="zh-CN"/>
              </w:rPr>
              <w:fldChar w:fldCharType="begin"/>
            </w:r>
            <w:r w:rsidR="00011EA9" w:rsidRPr="00996BEF">
              <w:rPr>
                <w:b w:val="0"/>
                <w:bCs/>
                <w:sz w:val="24"/>
                <w:szCs w:val="24"/>
                <w:lang w:eastAsia="zh-CN"/>
              </w:rPr>
              <w:instrText xml:space="preserve"> ADDIN ZOTERO_ITEM CSL_CITATION {"citationID":"Cv31YpAZ","properties":{"formattedCitation":"[3]","plainCitation":"[3]","noteIndex":0},"citationItems":[{"id":247,"uris":["http://zotero.org/users/local/6BMiH9Tv/items/RPZDWZ44"],"itemData":{"id":247,"type":"article-journal","abstract":"In order to facilitate the Co-Immobilization of dextransucrase and dextranase, various techniques for the immobilization of industrial endodextranase from Chaetomium erraticum (Novozymes A/S) were researched. Adsorption isotherms at various pH-values have been determined for bentonite (Montmorillonite), hydroxyapatite and Streamline DEAE. Using bentonite and hydroxyapatite, highest activity loads (12,000 U g−1; 2900 U g−1, respectively) can be achieved without a signiﬁcant change of the apparent Michaelis–Menten constant KM. For successful adsorption, enzyme to bentonite ratios greater than 0.4 (w/w) have to be used as lower ratios lead to 90% enzyme inactivation due to bentonite contact. In addition, covalent linkage using the activated oxiran carriers Eupergit C and Eupergit C250L as well as linkage with aminopropyl silica via metaperiodate activation of glycosyl moiety of dextranase are discussed. This is also the ﬁrst report probing the structure of a matrix containing dextranase by use of substrate species with different molecular weights. From this we can observe a relationship between the porosity of Eupergit and dextran dependent activity. For the reactor concept using Co-Immobilisates, hydroxyapatite will be preferred to Eupergit because of its higher speciﬁc activity and dispersity.","container-title":"Journal of Biotechnology","DOI":"10.1016/j.jbiotec.2007.07.946","ISSN":"01681656","issue":"4","journalAbbreviation":"Journal of Biotechnology","language":"en","page":"440-447","source":"DOI.org (Crossref)","title":"Immobilization of dextranase from Chaetomium erraticum","volume":"131","author":[{"family":"Erhardt","given":"Frank Alwin"},{"family":"Jördening","given":"Hans-Joachim"}],"issued":{"date-parts":[["2007",9]]}}}],"schema":"https://github.com/citation-style-language/schema/raw/master/csl-citation.json"} </w:instrText>
            </w:r>
            <w:r w:rsidRPr="00996BEF">
              <w:rPr>
                <w:b w:val="0"/>
                <w:bCs/>
                <w:sz w:val="24"/>
                <w:szCs w:val="24"/>
                <w:lang w:eastAsia="zh-CN"/>
              </w:rPr>
              <w:fldChar w:fldCharType="separate"/>
            </w:r>
            <w:r w:rsidR="00011EA9" w:rsidRPr="00996BEF">
              <w:rPr>
                <w:b w:val="0"/>
                <w:bCs/>
                <w:sz w:val="24"/>
              </w:rPr>
              <w:t>[</w:t>
            </w:r>
            <w:hyperlink w:anchor="re" w:history="1">
              <w:r w:rsidR="00011EA9" w:rsidRPr="00996BEF">
                <w:rPr>
                  <w:rStyle w:val="ac"/>
                  <w:b w:val="0"/>
                  <w:bCs/>
                  <w:color w:val="auto"/>
                  <w:sz w:val="24"/>
                  <w:u w:val="none"/>
                </w:rPr>
                <w:t>3</w:t>
              </w:r>
            </w:hyperlink>
            <w:r w:rsidR="00011EA9" w:rsidRPr="00996BEF">
              <w:rPr>
                <w:b w:val="0"/>
                <w:bCs/>
                <w:sz w:val="24"/>
              </w:rPr>
              <w:t>]</w:t>
            </w:r>
            <w:r w:rsidRPr="00996BEF">
              <w:rPr>
                <w:b w:val="0"/>
                <w:bCs/>
                <w:sz w:val="24"/>
                <w:szCs w:val="24"/>
                <w:lang w:eastAsia="zh-CN"/>
              </w:rPr>
              <w:fldChar w:fldCharType="end"/>
            </w:r>
          </w:p>
        </w:tc>
      </w:tr>
      <w:tr w:rsidR="00996BEF" w:rsidRPr="00996BEF" w14:paraId="17C4C07E" w14:textId="3BF66624" w:rsidTr="00171EA3">
        <w:trPr>
          <w:trHeight w:val="403"/>
        </w:trPr>
        <w:tc>
          <w:tcPr>
            <w:tcW w:w="2127" w:type="dxa"/>
            <w:vAlign w:val="center"/>
          </w:tcPr>
          <w:p w14:paraId="10324D92" w14:textId="77777777" w:rsidR="005578AD" w:rsidRPr="00996BEF" w:rsidRDefault="005578AD" w:rsidP="001E6AD6">
            <w:pPr>
              <w:pStyle w:val="RSCB06BHeadingSub-Section"/>
              <w:jc w:val="center"/>
              <w:rPr>
                <w:b w:val="0"/>
                <w:bCs/>
                <w:sz w:val="24"/>
                <w:szCs w:val="24"/>
              </w:rPr>
            </w:pPr>
            <w:r w:rsidRPr="00996BEF">
              <w:rPr>
                <w:b w:val="0"/>
                <w:bCs/>
                <w:sz w:val="24"/>
                <w:szCs w:val="24"/>
              </w:rPr>
              <w:t>Covalent binding</w:t>
            </w:r>
          </w:p>
        </w:tc>
        <w:tc>
          <w:tcPr>
            <w:tcW w:w="2693" w:type="dxa"/>
            <w:vAlign w:val="center"/>
          </w:tcPr>
          <w:p w14:paraId="74D6A6FD" w14:textId="77777777" w:rsidR="005578AD" w:rsidRPr="00996BEF" w:rsidRDefault="005578AD">
            <w:pPr>
              <w:pStyle w:val="RSCB06BHeadingSub-Section"/>
              <w:jc w:val="center"/>
              <w:rPr>
                <w:b w:val="0"/>
                <w:bCs/>
                <w:sz w:val="24"/>
                <w:szCs w:val="24"/>
              </w:rPr>
            </w:pPr>
            <w:r w:rsidRPr="00996BEF">
              <w:rPr>
                <w:b w:val="0"/>
                <w:bCs/>
                <w:sz w:val="24"/>
                <w:szCs w:val="24"/>
              </w:rPr>
              <w:t>Hydroxyapatite</w:t>
            </w:r>
          </w:p>
        </w:tc>
        <w:tc>
          <w:tcPr>
            <w:tcW w:w="2268" w:type="dxa"/>
            <w:vAlign w:val="center"/>
          </w:tcPr>
          <w:p w14:paraId="69D126A7" w14:textId="77777777" w:rsidR="005578AD" w:rsidRPr="00996BEF" w:rsidRDefault="005578AD">
            <w:pPr>
              <w:pStyle w:val="RSCB06BHeadingSub-Section"/>
              <w:ind w:rightChars="4" w:right="8"/>
              <w:jc w:val="center"/>
              <w:rPr>
                <w:b w:val="0"/>
                <w:bCs/>
                <w:sz w:val="24"/>
                <w:szCs w:val="24"/>
              </w:rPr>
            </w:pPr>
            <w:r w:rsidRPr="00996BEF">
              <w:rPr>
                <w:b w:val="0"/>
                <w:bCs/>
                <w:sz w:val="24"/>
                <w:szCs w:val="24"/>
              </w:rPr>
              <w:t>40</w:t>
            </w:r>
          </w:p>
        </w:tc>
        <w:tc>
          <w:tcPr>
            <w:tcW w:w="1209" w:type="dxa"/>
            <w:vAlign w:val="center"/>
          </w:tcPr>
          <w:p w14:paraId="76B93889" w14:textId="6CC90585" w:rsidR="005578AD" w:rsidRPr="00996BEF" w:rsidRDefault="00547658">
            <w:pPr>
              <w:pStyle w:val="RSCB06BHeadingSub-Section"/>
              <w:jc w:val="center"/>
              <w:rPr>
                <w:b w:val="0"/>
                <w:bCs/>
                <w:sz w:val="24"/>
                <w:szCs w:val="24"/>
                <w:lang w:eastAsia="zh-CN"/>
              </w:rPr>
            </w:pPr>
            <w:r w:rsidRPr="00996BEF">
              <w:rPr>
                <w:b w:val="0"/>
                <w:bCs/>
                <w:sz w:val="24"/>
                <w:szCs w:val="24"/>
                <w:lang w:eastAsia="zh-CN"/>
              </w:rPr>
              <w:fldChar w:fldCharType="begin"/>
            </w:r>
            <w:r w:rsidR="00011EA9" w:rsidRPr="00996BEF">
              <w:rPr>
                <w:b w:val="0"/>
                <w:bCs/>
                <w:sz w:val="24"/>
                <w:szCs w:val="24"/>
                <w:lang w:eastAsia="zh-CN"/>
              </w:rPr>
              <w:instrText xml:space="preserve"> ADDIN ZOTERO_ITEM CSL_CITATION {"citationID":"XGImFPEy","properties":{"formattedCitation":"[4]","plainCitation":"[4]","noteIndex":0},"citationItems":[{"id":226,"uris":["http://zotero.org/users/local/6BMiH9Tv/items/ESIEEF3Y"],"itemData":{"id":226,"type":"article-journal","abstract":"The immobilization technology provides a potential pathway for enzyme recycling. Here, we evaluated the potential of using dextranase immobilized onto hydroxyapatite nanoparticles as a promising inorganic material. The optimal immobilization temperature, reaction time, and pH were determined to be 25 ◦C, 120 min, and pH 5, respectively. Dextranase could be loaded at 359.7 U/g. The immobilized dextranase was characterized by ﬁeld emission gun-scanning electron microscope (FEG-SEM), X-ray diffraction (XRD), and Fourier-transformed infrared spectroscopy (FT-IR). The hydrolysis capacity of the immobilized enzyme was maintained at 71% at the 30th time of use. According to the constant temperature acceleration experiment, it was estimated that the immobilized dextranase could be stored for 99 days at 20 ◦C, indicating that the immobilized enzyme had good storage properties. Sodium chloride and sodium acetic did not desorb the immobilized dextranase. In contrast, dextranase was desorbed by sodium ﬂuoride and sodium citrate. The hydrolysates were 79% oligosaccharides. The immobilized dextranase could signiﬁcantly and thoroughly remove the dental plaque bioﬁlm. Thus, immobilized dextranase has broad potential application in diverse ﬁelds in the future.","container-title":"Materials","DOI":"10.3390/ma14010130","ISSN":"1996-1944","issue":"1","journalAbbreviation":"Materials","language":"en","page":"130","source":"DOI.org (Crossref)","title":"Immobilization of Dextranase on Nano-Hydroxyapatite as a Recyclable Catalyst","volume":"14","author":[{"family":"Ding","given":"Yanshuai"},{"family":"Zhang","given":"Hao"},{"family":"Wang","given":"Xuelian"},{"family":"Zu","given":"Hangtian"},{"family":"Wang","given":"Cang"},{"family":"Dong","given":"Dongxue"},{"family":"Lyu","given":"Mingsheng"},{"family":"Wang","given":"Shujun"}],"issued":{"date-parts":[["2020",12,30]]}}}],"schema":"https://github.com/citation-style-language/schema/raw/master/csl-citation.json"} </w:instrText>
            </w:r>
            <w:r w:rsidRPr="00996BEF">
              <w:rPr>
                <w:b w:val="0"/>
                <w:bCs/>
                <w:sz w:val="24"/>
                <w:szCs w:val="24"/>
                <w:lang w:eastAsia="zh-CN"/>
              </w:rPr>
              <w:fldChar w:fldCharType="separate"/>
            </w:r>
            <w:r w:rsidR="00011EA9" w:rsidRPr="00996BEF">
              <w:rPr>
                <w:b w:val="0"/>
                <w:bCs/>
                <w:sz w:val="24"/>
              </w:rPr>
              <w:t>[</w:t>
            </w:r>
            <w:hyperlink w:anchor="re" w:history="1">
              <w:r w:rsidR="00011EA9" w:rsidRPr="00996BEF">
                <w:rPr>
                  <w:rStyle w:val="ac"/>
                  <w:b w:val="0"/>
                  <w:bCs/>
                  <w:color w:val="auto"/>
                  <w:sz w:val="24"/>
                  <w:u w:val="none"/>
                </w:rPr>
                <w:t>4</w:t>
              </w:r>
            </w:hyperlink>
            <w:r w:rsidR="00011EA9" w:rsidRPr="00996BEF">
              <w:rPr>
                <w:b w:val="0"/>
                <w:bCs/>
                <w:sz w:val="24"/>
              </w:rPr>
              <w:t>]</w:t>
            </w:r>
            <w:r w:rsidRPr="00996BEF">
              <w:rPr>
                <w:b w:val="0"/>
                <w:bCs/>
                <w:sz w:val="24"/>
                <w:szCs w:val="24"/>
                <w:lang w:eastAsia="zh-CN"/>
              </w:rPr>
              <w:fldChar w:fldCharType="end"/>
            </w:r>
          </w:p>
        </w:tc>
      </w:tr>
      <w:tr w:rsidR="00547658" w:rsidRPr="00996BEF" w14:paraId="5CA9E6A4" w14:textId="3C97462E" w:rsidTr="00171EA3">
        <w:trPr>
          <w:trHeight w:val="331"/>
        </w:trPr>
        <w:tc>
          <w:tcPr>
            <w:tcW w:w="2127" w:type="dxa"/>
            <w:vAlign w:val="center"/>
          </w:tcPr>
          <w:p w14:paraId="3B1A1ECB" w14:textId="77777777" w:rsidR="005578AD" w:rsidRPr="00996BEF" w:rsidRDefault="005578AD" w:rsidP="001E6AD6">
            <w:pPr>
              <w:pStyle w:val="RSCB06BHeadingSub-Section"/>
              <w:jc w:val="center"/>
              <w:rPr>
                <w:b w:val="0"/>
                <w:bCs/>
                <w:sz w:val="24"/>
                <w:szCs w:val="24"/>
              </w:rPr>
            </w:pPr>
            <w:r w:rsidRPr="00996BEF">
              <w:rPr>
                <w:b w:val="0"/>
                <w:bCs/>
                <w:sz w:val="24"/>
                <w:szCs w:val="24"/>
              </w:rPr>
              <w:t>Adsorption</w:t>
            </w:r>
          </w:p>
        </w:tc>
        <w:tc>
          <w:tcPr>
            <w:tcW w:w="2693" w:type="dxa"/>
            <w:vAlign w:val="center"/>
          </w:tcPr>
          <w:p w14:paraId="741C2836" w14:textId="77777777" w:rsidR="005578AD" w:rsidRPr="00996BEF" w:rsidRDefault="005578AD">
            <w:pPr>
              <w:pStyle w:val="RSCB06BHeadingSub-Section"/>
              <w:jc w:val="center"/>
              <w:rPr>
                <w:b w:val="0"/>
                <w:bCs/>
                <w:sz w:val="24"/>
                <w:szCs w:val="24"/>
              </w:rPr>
            </w:pPr>
            <w:r w:rsidRPr="00996BEF">
              <w:rPr>
                <w:b w:val="0"/>
                <w:bCs/>
                <w:sz w:val="24"/>
                <w:szCs w:val="24"/>
              </w:rPr>
              <w:t>Mg/Fe-LDH</w:t>
            </w:r>
          </w:p>
        </w:tc>
        <w:tc>
          <w:tcPr>
            <w:tcW w:w="2268" w:type="dxa"/>
            <w:vAlign w:val="center"/>
          </w:tcPr>
          <w:p w14:paraId="773F90FB" w14:textId="77777777" w:rsidR="005578AD" w:rsidRPr="00996BEF" w:rsidRDefault="005578AD">
            <w:pPr>
              <w:pStyle w:val="RSCB06BHeadingSub-Section"/>
              <w:ind w:rightChars="4" w:right="8"/>
              <w:jc w:val="center"/>
              <w:rPr>
                <w:b w:val="0"/>
                <w:bCs/>
                <w:sz w:val="24"/>
                <w:szCs w:val="24"/>
              </w:rPr>
            </w:pPr>
            <w:r w:rsidRPr="00996BEF">
              <w:rPr>
                <w:b w:val="0"/>
                <w:bCs/>
                <w:sz w:val="24"/>
                <w:szCs w:val="24"/>
              </w:rPr>
              <w:t>1.38</w:t>
            </w:r>
          </w:p>
        </w:tc>
        <w:tc>
          <w:tcPr>
            <w:tcW w:w="1209" w:type="dxa"/>
            <w:vAlign w:val="center"/>
          </w:tcPr>
          <w:p w14:paraId="126C2C1A" w14:textId="5A5F9BB2" w:rsidR="005578AD" w:rsidRPr="00996BEF" w:rsidRDefault="00547658">
            <w:pPr>
              <w:pStyle w:val="RSCB06BHeadingSub-Section"/>
              <w:jc w:val="center"/>
              <w:rPr>
                <w:b w:val="0"/>
                <w:bCs/>
                <w:sz w:val="24"/>
                <w:szCs w:val="24"/>
                <w:lang w:eastAsia="zh-CN"/>
              </w:rPr>
            </w:pPr>
            <w:r w:rsidRPr="00996BEF">
              <w:rPr>
                <w:b w:val="0"/>
                <w:bCs/>
                <w:sz w:val="24"/>
                <w:szCs w:val="24"/>
                <w:lang w:eastAsia="zh-CN"/>
              </w:rPr>
              <w:fldChar w:fldCharType="begin"/>
            </w:r>
            <w:r w:rsidR="00011EA9" w:rsidRPr="00996BEF">
              <w:rPr>
                <w:b w:val="0"/>
                <w:bCs/>
                <w:sz w:val="24"/>
                <w:szCs w:val="24"/>
                <w:lang w:eastAsia="zh-CN"/>
              </w:rPr>
              <w:instrText xml:space="preserve"> ADDIN ZOTERO_ITEM CSL_CITATION {"citationID":"XVozSzEe","properties":{"formattedCitation":"[5]","plainCitation":"[5]","noteIndex":0},"citationItems":[{"id":274,"uris":["http://zotero.org/users/local/6BMiH9Tv/items/3XRD3M8Z"],"itemData":{"id":274,"type":"article-journal","container-title":"Nanomaterials","DOI":"10.3390/nano8030173","ISSN":"2079-4991","issue":"3","journalAbbreviation":"Nanomaterials","language":"en","page":"173","source":"DOI.org (Crossref)","title":"The Adsorption of Dextranase onto Mg/Fe-Layered Double Hydroxide: Insight into the Immobilization","title-short":"The Adsorption of Dextranase onto Mg/Fe-Layered Double Hydroxide","volume":"8","author":[{"family":"Ding","given":"Yi"},{"family":"Liu","given":"Le"},{"family":"Fang","given":"Yaowei"},{"family":"Zhang","given":"Xu"},{"family":"Lyu","given":"Mingsheng"},{"family":"Wang","given":"Shujun"}],"issued":{"date-parts":[["2018",3,19]]}}}],"schema":"https://github.com/citation-style-language/schema/raw/master/csl-citation.json"} </w:instrText>
            </w:r>
            <w:r w:rsidRPr="00996BEF">
              <w:rPr>
                <w:b w:val="0"/>
                <w:bCs/>
                <w:sz w:val="24"/>
                <w:szCs w:val="24"/>
                <w:lang w:eastAsia="zh-CN"/>
              </w:rPr>
              <w:fldChar w:fldCharType="separate"/>
            </w:r>
            <w:r w:rsidR="00011EA9" w:rsidRPr="00996BEF">
              <w:rPr>
                <w:b w:val="0"/>
                <w:bCs/>
                <w:sz w:val="24"/>
              </w:rPr>
              <w:t>[</w:t>
            </w:r>
            <w:hyperlink w:anchor="re" w:history="1">
              <w:r w:rsidR="00011EA9" w:rsidRPr="00996BEF">
                <w:rPr>
                  <w:rStyle w:val="ac"/>
                  <w:b w:val="0"/>
                  <w:bCs/>
                  <w:color w:val="auto"/>
                  <w:sz w:val="24"/>
                  <w:u w:val="none"/>
                </w:rPr>
                <w:t>5</w:t>
              </w:r>
            </w:hyperlink>
            <w:r w:rsidR="00011EA9" w:rsidRPr="00996BEF">
              <w:rPr>
                <w:b w:val="0"/>
                <w:bCs/>
                <w:sz w:val="24"/>
              </w:rPr>
              <w:t>]</w:t>
            </w:r>
            <w:r w:rsidRPr="00996BEF">
              <w:rPr>
                <w:b w:val="0"/>
                <w:bCs/>
                <w:sz w:val="24"/>
                <w:szCs w:val="24"/>
                <w:lang w:eastAsia="zh-CN"/>
              </w:rPr>
              <w:fldChar w:fldCharType="end"/>
            </w:r>
          </w:p>
        </w:tc>
      </w:tr>
    </w:tbl>
    <w:p w14:paraId="2305C6A1" w14:textId="77777777" w:rsidR="00253ED2" w:rsidRPr="00996BEF" w:rsidRDefault="00253ED2">
      <w:pPr>
        <w:rPr>
          <w:lang w:val="en-GB"/>
        </w:rPr>
      </w:pPr>
    </w:p>
    <w:p w14:paraId="7593CA16" w14:textId="77777777" w:rsidR="00AD51AF" w:rsidRPr="00996BEF" w:rsidRDefault="00AD51AF">
      <w:pPr>
        <w:rPr>
          <w:lang w:val="en-GB"/>
        </w:rPr>
      </w:pPr>
    </w:p>
    <w:p w14:paraId="0F36D1B6" w14:textId="6156EE78" w:rsidR="00961802" w:rsidRPr="00996BEF" w:rsidRDefault="00361052" w:rsidP="00961802">
      <w:pPr>
        <w:pStyle w:val="RSCB02ArticleText"/>
        <w:spacing w:line="240" w:lineRule="auto"/>
        <w:jc w:val="center"/>
        <w:rPr>
          <w:rFonts w:ascii="Times New Roman" w:eastAsia="宋体" w:hAnsi="Times New Roman"/>
          <w:b/>
          <w:bCs/>
          <w:sz w:val="22"/>
          <w:szCs w:val="22"/>
        </w:rPr>
      </w:pPr>
      <w:r w:rsidRPr="00996BEF">
        <w:rPr>
          <w:rFonts w:ascii="Times New Roman" w:hAnsi="Times New Roman"/>
          <w:b/>
          <w:bCs/>
          <w:sz w:val="22"/>
          <w:szCs w:val="22"/>
        </w:rPr>
        <w:t>Table S</w:t>
      </w:r>
      <w:r w:rsidR="005578AD" w:rsidRPr="00996BEF">
        <w:rPr>
          <w:rFonts w:ascii="Times New Roman" w:hAnsi="Times New Roman"/>
          <w:b/>
          <w:bCs/>
          <w:sz w:val="22"/>
          <w:szCs w:val="22"/>
        </w:rPr>
        <w:t>2</w:t>
      </w:r>
      <w:r w:rsidR="00961802" w:rsidRPr="00996BEF">
        <w:rPr>
          <w:rFonts w:ascii="Times New Roman" w:hAnsi="Times New Roman"/>
          <w:b/>
          <w:bCs/>
          <w:sz w:val="22"/>
          <w:szCs w:val="22"/>
        </w:rPr>
        <w:t xml:space="preserve"> </w:t>
      </w:r>
      <w:bookmarkStart w:id="3" w:name="_Hlk132741035"/>
      <w:r w:rsidR="00961802" w:rsidRPr="00996BEF">
        <w:rPr>
          <w:rFonts w:ascii="Times New Roman" w:hAnsi="Times New Roman"/>
          <w:sz w:val="22"/>
          <w:szCs w:val="22"/>
        </w:rPr>
        <w:t>Relative activity of immobilized enzyme at 70</w:t>
      </w:r>
      <w:r w:rsidR="005113A9" w:rsidRPr="00996BEF">
        <w:rPr>
          <w:rFonts w:ascii="Times New Roman" w:hAnsi="Times New Roman"/>
          <w:sz w:val="24"/>
          <w:lang w:val="en-US"/>
        </w:rPr>
        <w:t>°C</w:t>
      </w:r>
      <w:r w:rsidR="00961802" w:rsidRPr="00996BEF">
        <w:rPr>
          <w:rFonts w:ascii="Times New Roman" w:eastAsia="宋体" w:hAnsi="Times New Roman"/>
          <w:sz w:val="22"/>
          <w:szCs w:val="22"/>
        </w:rPr>
        <w:t xml:space="preserve"> on different substrate</w:t>
      </w:r>
      <w:r w:rsidR="00837449" w:rsidRPr="00996BEF">
        <w:rPr>
          <w:rFonts w:ascii="Times New Roman" w:eastAsia="宋体" w:hAnsi="Times New Roman"/>
          <w:sz w:val="22"/>
          <w:szCs w:val="22"/>
        </w:rPr>
        <w:t>.</w:t>
      </w:r>
    </w:p>
    <w:tbl>
      <w:tblPr>
        <w:tblStyle w:val="a7"/>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382"/>
        <w:gridCol w:w="2721"/>
        <w:gridCol w:w="1843"/>
        <w:gridCol w:w="1360"/>
      </w:tblGrid>
      <w:tr w:rsidR="00996BEF" w:rsidRPr="00996BEF" w14:paraId="637FBA22" w14:textId="579CD77C" w:rsidTr="00171EA3">
        <w:trPr>
          <w:trHeight w:val="569"/>
          <w:jc w:val="center"/>
        </w:trPr>
        <w:tc>
          <w:tcPr>
            <w:tcW w:w="2382" w:type="dxa"/>
            <w:tcBorders>
              <w:top w:val="single" w:sz="12" w:space="0" w:color="auto"/>
              <w:bottom w:val="single" w:sz="6" w:space="0" w:color="auto"/>
            </w:tcBorders>
            <w:vAlign w:val="center"/>
          </w:tcPr>
          <w:bookmarkEnd w:id="3"/>
          <w:p w14:paraId="4517E5B2" w14:textId="77777777" w:rsidR="00752327" w:rsidRPr="00996BEF" w:rsidRDefault="00752327" w:rsidP="001E6AD6">
            <w:pPr>
              <w:pStyle w:val="RSCB02ArticleText"/>
              <w:spacing w:line="240" w:lineRule="auto"/>
              <w:jc w:val="center"/>
              <w:rPr>
                <w:b/>
                <w:bCs/>
                <w:sz w:val="24"/>
                <w:szCs w:val="24"/>
              </w:rPr>
            </w:pPr>
            <w:r w:rsidRPr="00996BEF">
              <w:rPr>
                <w:b/>
                <w:bCs/>
                <w:sz w:val="24"/>
                <w:szCs w:val="24"/>
              </w:rPr>
              <w:t>Immobilization method</w:t>
            </w:r>
          </w:p>
        </w:tc>
        <w:tc>
          <w:tcPr>
            <w:tcW w:w="2721" w:type="dxa"/>
            <w:tcBorders>
              <w:top w:val="single" w:sz="12" w:space="0" w:color="auto"/>
              <w:bottom w:val="single" w:sz="6" w:space="0" w:color="auto"/>
            </w:tcBorders>
            <w:vAlign w:val="center"/>
          </w:tcPr>
          <w:p w14:paraId="40D3A871" w14:textId="77777777" w:rsidR="00752327" w:rsidRPr="00996BEF" w:rsidRDefault="00752327">
            <w:pPr>
              <w:pStyle w:val="RSCB02ArticleText"/>
              <w:spacing w:line="240" w:lineRule="auto"/>
              <w:jc w:val="center"/>
              <w:rPr>
                <w:b/>
                <w:bCs/>
                <w:sz w:val="24"/>
                <w:szCs w:val="24"/>
              </w:rPr>
            </w:pPr>
            <w:r w:rsidRPr="00996BEF">
              <w:rPr>
                <w:b/>
                <w:bCs/>
                <w:sz w:val="24"/>
                <w:szCs w:val="24"/>
              </w:rPr>
              <w:t>Support</w:t>
            </w:r>
          </w:p>
        </w:tc>
        <w:tc>
          <w:tcPr>
            <w:tcW w:w="1843" w:type="dxa"/>
            <w:tcBorders>
              <w:top w:val="single" w:sz="12" w:space="0" w:color="auto"/>
              <w:bottom w:val="single" w:sz="6" w:space="0" w:color="auto"/>
            </w:tcBorders>
            <w:vAlign w:val="center"/>
          </w:tcPr>
          <w:p w14:paraId="12F1DB88" w14:textId="77777777" w:rsidR="00752327" w:rsidRPr="00996BEF" w:rsidRDefault="00752327">
            <w:pPr>
              <w:pStyle w:val="RSCB02ArticleText"/>
              <w:spacing w:line="240" w:lineRule="auto"/>
              <w:jc w:val="center"/>
              <w:rPr>
                <w:b/>
                <w:bCs/>
                <w:sz w:val="24"/>
                <w:szCs w:val="24"/>
              </w:rPr>
            </w:pPr>
            <w:r w:rsidRPr="00996BEF">
              <w:rPr>
                <w:b/>
                <w:bCs/>
                <w:sz w:val="24"/>
                <w:szCs w:val="24"/>
              </w:rPr>
              <w:t>Relative activity (%)</w:t>
            </w:r>
          </w:p>
        </w:tc>
        <w:tc>
          <w:tcPr>
            <w:tcW w:w="1360" w:type="dxa"/>
            <w:tcBorders>
              <w:top w:val="single" w:sz="12" w:space="0" w:color="auto"/>
              <w:bottom w:val="single" w:sz="6" w:space="0" w:color="auto"/>
            </w:tcBorders>
            <w:vAlign w:val="center"/>
          </w:tcPr>
          <w:p w14:paraId="3703A7B5" w14:textId="5A8AC5EE" w:rsidR="00752327" w:rsidRPr="00996BEF" w:rsidRDefault="00B431C3">
            <w:pPr>
              <w:pStyle w:val="RSCB02ArticleText"/>
              <w:spacing w:line="240" w:lineRule="auto"/>
              <w:jc w:val="center"/>
              <w:rPr>
                <w:b/>
                <w:bCs/>
                <w:sz w:val="24"/>
                <w:szCs w:val="24"/>
              </w:rPr>
            </w:pPr>
            <w:r w:rsidRPr="00996BEF">
              <w:rPr>
                <w:rFonts w:hint="eastAsia"/>
                <w:b/>
                <w:bCs/>
                <w:sz w:val="24"/>
                <w:szCs w:val="24"/>
              </w:rPr>
              <w:t>Refs.</w:t>
            </w:r>
          </w:p>
        </w:tc>
      </w:tr>
      <w:tr w:rsidR="00996BEF" w:rsidRPr="00996BEF" w14:paraId="4EF5DF41" w14:textId="17B5F5BD" w:rsidTr="008F7C5E">
        <w:trPr>
          <w:trHeight w:val="456"/>
          <w:jc w:val="center"/>
        </w:trPr>
        <w:tc>
          <w:tcPr>
            <w:tcW w:w="2382" w:type="dxa"/>
          </w:tcPr>
          <w:p w14:paraId="7B204471" w14:textId="77777777" w:rsidR="00752327" w:rsidRPr="00996BEF" w:rsidRDefault="00752327" w:rsidP="003023ED">
            <w:pPr>
              <w:pStyle w:val="RSCB02ArticleText"/>
              <w:spacing w:line="240" w:lineRule="auto"/>
              <w:jc w:val="center"/>
              <w:rPr>
                <w:sz w:val="24"/>
                <w:szCs w:val="24"/>
              </w:rPr>
            </w:pPr>
            <w:r w:rsidRPr="00996BEF">
              <w:rPr>
                <w:sz w:val="24"/>
                <w:szCs w:val="24"/>
              </w:rPr>
              <w:t>Covalent binding</w:t>
            </w:r>
          </w:p>
        </w:tc>
        <w:tc>
          <w:tcPr>
            <w:tcW w:w="2721" w:type="dxa"/>
          </w:tcPr>
          <w:p w14:paraId="1FEE9731" w14:textId="77777777" w:rsidR="00752327" w:rsidRPr="00996BEF" w:rsidRDefault="00752327" w:rsidP="003023ED">
            <w:pPr>
              <w:pStyle w:val="RSCB02ArticleText"/>
              <w:spacing w:line="240" w:lineRule="auto"/>
              <w:jc w:val="center"/>
              <w:rPr>
                <w:sz w:val="24"/>
                <w:szCs w:val="24"/>
              </w:rPr>
            </w:pPr>
            <w:r w:rsidRPr="00996BEF">
              <w:rPr>
                <w:sz w:val="24"/>
                <w:szCs w:val="24"/>
              </w:rPr>
              <w:t>Fe</w:t>
            </w:r>
            <w:r w:rsidRPr="00996BEF">
              <w:rPr>
                <w:sz w:val="24"/>
                <w:szCs w:val="24"/>
                <w:vertAlign w:val="subscript"/>
              </w:rPr>
              <w:t>3</w:t>
            </w:r>
            <w:r w:rsidRPr="00996BEF">
              <w:rPr>
                <w:sz w:val="24"/>
                <w:szCs w:val="24"/>
              </w:rPr>
              <w:t>O</w:t>
            </w:r>
            <w:r w:rsidRPr="00996BEF">
              <w:rPr>
                <w:sz w:val="24"/>
                <w:szCs w:val="24"/>
                <w:vertAlign w:val="subscript"/>
              </w:rPr>
              <w:t>4</w:t>
            </w:r>
            <w:r w:rsidRPr="00996BEF">
              <w:rPr>
                <w:sz w:val="24"/>
                <w:szCs w:val="24"/>
              </w:rPr>
              <w:t>@SiO</w:t>
            </w:r>
            <w:r w:rsidRPr="00996BEF">
              <w:rPr>
                <w:sz w:val="24"/>
                <w:szCs w:val="24"/>
                <w:vertAlign w:val="subscript"/>
              </w:rPr>
              <w:t>2</w:t>
            </w:r>
            <w:r w:rsidRPr="00996BEF">
              <w:rPr>
                <w:sz w:val="24"/>
                <w:szCs w:val="24"/>
              </w:rPr>
              <w:t>-PEI</w:t>
            </w:r>
          </w:p>
        </w:tc>
        <w:tc>
          <w:tcPr>
            <w:tcW w:w="1843" w:type="dxa"/>
          </w:tcPr>
          <w:p w14:paraId="1F2AFB42" w14:textId="77777777" w:rsidR="00752327" w:rsidRPr="00996BEF" w:rsidRDefault="00752327" w:rsidP="003023ED">
            <w:pPr>
              <w:pStyle w:val="RSCB02ArticleText"/>
              <w:spacing w:line="240" w:lineRule="auto"/>
              <w:jc w:val="center"/>
              <w:rPr>
                <w:sz w:val="24"/>
                <w:szCs w:val="24"/>
              </w:rPr>
            </w:pPr>
            <w:r w:rsidRPr="00996BEF">
              <w:rPr>
                <w:sz w:val="24"/>
                <w:szCs w:val="24"/>
              </w:rPr>
              <w:t>86.43</w:t>
            </w:r>
          </w:p>
        </w:tc>
        <w:tc>
          <w:tcPr>
            <w:tcW w:w="1360" w:type="dxa"/>
          </w:tcPr>
          <w:p w14:paraId="3AA10AE2" w14:textId="0F694D5E" w:rsidR="00752327" w:rsidRPr="00996BEF" w:rsidRDefault="00547658" w:rsidP="003023ED">
            <w:pPr>
              <w:pStyle w:val="RSCB02ArticleText"/>
              <w:spacing w:line="240" w:lineRule="auto"/>
              <w:jc w:val="center"/>
              <w:rPr>
                <w:sz w:val="24"/>
                <w:szCs w:val="24"/>
                <w:lang w:eastAsia="zh-CN"/>
              </w:rPr>
            </w:pPr>
            <w:r w:rsidRPr="00996BEF">
              <w:rPr>
                <w:sz w:val="24"/>
                <w:szCs w:val="24"/>
                <w:lang w:eastAsia="zh-CN"/>
              </w:rPr>
              <w:fldChar w:fldCharType="begin"/>
            </w:r>
            <w:r w:rsidR="00011EA9" w:rsidRPr="00996BEF">
              <w:rPr>
                <w:sz w:val="24"/>
                <w:szCs w:val="24"/>
                <w:lang w:eastAsia="zh-CN"/>
              </w:rPr>
              <w:instrText xml:space="preserve"> ADDIN ZOTERO_ITEM CSL_CITATION {"citationID":"LQF4K5Dg","properties":{"formattedCitation":"[2]","plainCitation":"[2]","noteIndex":0},"citationItems":[{"id":271,"uris":["http://zotero.org/users/local/6BMiH9Tv/items/9CRDFNIH"],"itemData":{"id":271,"type":"article-journal","abstract":"The stability and reusability of dextranase were improved by immobilizing it on polyethylenimine modified magnetic particles.\n          , \n            \n              Dextranase is a unique biocatalyst for the enzymatic hydrolysis of dextran in carbohydrate chemistry, but the instability and poor recycling ability of dextranase significantly limit its long-term applications. As an alternative method, stabilization of dextranase on a solid carrier is a promising strategy. In this study, a kind of polyethylenimine (PEI) polymer modified magnetic particle was fabricated and employed as the substrate for covalent immobilization of dextranase (Fe\n              3\n              O\n              4\n              @SiO\n              2\n              -PEI-dextranase) to improve the stability and reusability performance for the first time. The grafted PEI polymer on the surface enhanced the amount of primary amine groups, and improved the loading capacity of dextranase on Fe\n              3\n              O\n              4\n              @SiO\n              2\n              -PEI-dextranase to 217.2 mg g\n              −1\n              , which was 3.84 times that measured on Fe\n              3\n              O\n              4\n              @SiO\n              2\n              -NH\n              2\n              -dextranase particles. Under the optimized conditions, high immobilization efficiency (72.38%) and enzymatic activity (82.84%) of Fe\n              3\n              O\n              4\n              @SiO\n              2\n              -PEI-dextranase were achieved. Thermal and pH tolerance, and long-term storage tests revealed that the Fe\n              3\n              O\n              4\n              @SiO\n              2\n              -PEI-dextranase exhibited much better stabilities. More importantly, Fe\n              3\n              O\n              4\n              @SiO\n              2\n              -PEI-dextranase retained 83.26% of its initial activity after reuse 15 times, suggesting its excellent reusability. It is believed that the immobilized dextranase could have potential applications in biological and biocatalytic fields.","container-title":"New Journal of Chemistry","DOI":"10.1039/C8NJ00227D","ISSN":"1144-0546, 1369-9261","issue":"11","journalAbbreviation":"New J. Chem.","language":"en","page":"8391-8399","source":"DOI.org (Crossref)","title":"Improving the stability and reusability of dextranase by immobilization on polyethylenimine modified magnetic particles","volume":"42","author":[{"family":"Wang","given":"Yajie"},{"family":"Wang","given":"Qiang"},{"family":"Song","given":"Xiaoping"},{"family":"Cai","given":"Jingjing"}],"issued":{"date-parts":[["2018"]]}}}],"schema":"https://github.com/citation-style-language/schema/raw/master/csl-citation.json"} </w:instrText>
            </w:r>
            <w:r w:rsidRPr="00996BEF">
              <w:rPr>
                <w:sz w:val="24"/>
                <w:szCs w:val="24"/>
                <w:lang w:eastAsia="zh-CN"/>
              </w:rPr>
              <w:fldChar w:fldCharType="separate"/>
            </w:r>
            <w:r w:rsidR="00011EA9" w:rsidRPr="00996BEF">
              <w:rPr>
                <w:sz w:val="24"/>
              </w:rPr>
              <w:t>[</w:t>
            </w:r>
            <w:hyperlink w:anchor="re" w:history="1">
              <w:r w:rsidR="00011EA9" w:rsidRPr="00996BEF">
                <w:rPr>
                  <w:rStyle w:val="ac"/>
                  <w:color w:val="auto"/>
                  <w:sz w:val="24"/>
                  <w:u w:val="none"/>
                </w:rPr>
                <w:t>2</w:t>
              </w:r>
            </w:hyperlink>
            <w:r w:rsidR="00011EA9" w:rsidRPr="00996BEF">
              <w:rPr>
                <w:sz w:val="24"/>
              </w:rPr>
              <w:t>]</w:t>
            </w:r>
            <w:r w:rsidRPr="00996BEF">
              <w:rPr>
                <w:sz w:val="24"/>
                <w:szCs w:val="24"/>
                <w:lang w:eastAsia="zh-CN"/>
              </w:rPr>
              <w:fldChar w:fldCharType="end"/>
            </w:r>
          </w:p>
        </w:tc>
      </w:tr>
      <w:tr w:rsidR="00996BEF" w:rsidRPr="00996BEF" w14:paraId="744A7689" w14:textId="4F2B54EB" w:rsidTr="008F7C5E">
        <w:trPr>
          <w:trHeight w:val="439"/>
          <w:jc w:val="center"/>
        </w:trPr>
        <w:tc>
          <w:tcPr>
            <w:tcW w:w="2382" w:type="dxa"/>
          </w:tcPr>
          <w:p w14:paraId="49829701" w14:textId="77777777" w:rsidR="00752327" w:rsidRPr="00996BEF" w:rsidRDefault="00752327" w:rsidP="003023ED">
            <w:pPr>
              <w:pStyle w:val="RSCB02ArticleText"/>
              <w:spacing w:line="240" w:lineRule="auto"/>
              <w:jc w:val="center"/>
              <w:rPr>
                <w:sz w:val="24"/>
                <w:szCs w:val="24"/>
              </w:rPr>
            </w:pPr>
            <w:r w:rsidRPr="00996BEF">
              <w:rPr>
                <w:sz w:val="24"/>
                <w:szCs w:val="24"/>
              </w:rPr>
              <w:t>Covalent binding</w:t>
            </w:r>
          </w:p>
        </w:tc>
        <w:tc>
          <w:tcPr>
            <w:tcW w:w="2721" w:type="dxa"/>
          </w:tcPr>
          <w:p w14:paraId="31E7EBC3" w14:textId="77777777" w:rsidR="00752327" w:rsidRPr="00996BEF" w:rsidRDefault="00752327" w:rsidP="003023ED">
            <w:pPr>
              <w:pStyle w:val="RSCB02ArticleText"/>
              <w:spacing w:line="240" w:lineRule="auto"/>
              <w:jc w:val="center"/>
              <w:rPr>
                <w:sz w:val="24"/>
                <w:szCs w:val="24"/>
              </w:rPr>
            </w:pPr>
            <w:r w:rsidRPr="00996BEF">
              <w:rPr>
                <w:sz w:val="24"/>
                <w:szCs w:val="24"/>
              </w:rPr>
              <w:t>Fe</w:t>
            </w:r>
            <w:r w:rsidRPr="00996BEF">
              <w:rPr>
                <w:sz w:val="24"/>
                <w:szCs w:val="24"/>
                <w:vertAlign w:val="subscript"/>
              </w:rPr>
              <w:t>3</w:t>
            </w:r>
            <w:r w:rsidRPr="00996BEF">
              <w:rPr>
                <w:sz w:val="24"/>
                <w:szCs w:val="24"/>
              </w:rPr>
              <w:t>O</w:t>
            </w:r>
            <w:r w:rsidRPr="00996BEF">
              <w:rPr>
                <w:sz w:val="24"/>
                <w:szCs w:val="24"/>
                <w:vertAlign w:val="subscript"/>
              </w:rPr>
              <w:t>4</w:t>
            </w:r>
            <w:r w:rsidRPr="00996BEF">
              <w:rPr>
                <w:sz w:val="24"/>
                <w:szCs w:val="24"/>
              </w:rPr>
              <w:t>@SiO</w:t>
            </w:r>
            <w:r w:rsidRPr="00996BEF">
              <w:rPr>
                <w:sz w:val="24"/>
                <w:szCs w:val="24"/>
                <w:vertAlign w:val="subscript"/>
              </w:rPr>
              <w:t>2</w:t>
            </w:r>
            <w:r w:rsidRPr="00996BEF">
              <w:rPr>
                <w:sz w:val="24"/>
                <w:szCs w:val="24"/>
              </w:rPr>
              <w:t>-NH</w:t>
            </w:r>
            <w:r w:rsidRPr="00996BEF">
              <w:rPr>
                <w:sz w:val="24"/>
                <w:szCs w:val="24"/>
                <w:vertAlign w:val="subscript"/>
              </w:rPr>
              <w:t>2</w:t>
            </w:r>
          </w:p>
        </w:tc>
        <w:tc>
          <w:tcPr>
            <w:tcW w:w="1843" w:type="dxa"/>
          </w:tcPr>
          <w:p w14:paraId="294C6EFC" w14:textId="77777777" w:rsidR="00752327" w:rsidRPr="00996BEF" w:rsidRDefault="00752327" w:rsidP="003023ED">
            <w:pPr>
              <w:pStyle w:val="RSCB02ArticleText"/>
              <w:spacing w:line="240" w:lineRule="auto"/>
              <w:jc w:val="center"/>
              <w:rPr>
                <w:sz w:val="24"/>
                <w:szCs w:val="24"/>
              </w:rPr>
            </w:pPr>
            <w:r w:rsidRPr="00996BEF">
              <w:rPr>
                <w:sz w:val="24"/>
                <w:szCs w:val="24"/>
              </w:rPr>
              <w:t>77.68</w:t>
            </w:r>
          </w:p>
        </w:tc>
        <w:tc>
          <w:tcPr>
            <w:tcW w:w="1360" w:type="dxa"/>
          </w:tcPr>
          <w:p w14:paraId="4C65ACE3" w14:textId="4B2619DC" w:rsidR="00752327" w:rsidRPr="00996BEF" w:rsidRDefault="00547658" w:rsidP="003023ED">
            <w:pPr>
              <w:pStyle w:val="RSCB02ArticleText"/>
              <w:spacing w:line="240" w:lineRule="auto"/>
              <w:jc w:val="center"/>
              <w:rPr>
                <w:sz w:val="24"/>
                <w:szCs w:val="24"/>
                <w:lang w:eastAsia="zh-CN"/>
              </w:rPr>
            </w:pPr>
            <w:r w:rsidRPr="00996BEF">
              <w:rPr>
                <w:sz w:val="24"/>
                <w:szCs w:val="24"/>
                <w:lang w:eastAsia="zh-CN"/>
              </w:rPr>
              <w:fldChar w:fldCharType="begin"/>
            </w:r>
            <w:r w:rsidR="00011EA9" w:rsidRPr="00996BEF">
              <w:rPr>
                <w:sz w:val="24"/>
                <w:szCs w:val="24"/>
                <w:lang w:eastAsia="zh-CN"/>
              </w:rPr>
              <w:instrText xml:space="preserve"> ADDIN ZOTERO_ITEM CSL_CITATION {"citationID":"0o0DPcgO","properties":{"formattedCitation":"[2]","plainCitation":"[2]","noteIndex":0},"citationItems":[{"id":271,"uris":["http://zotero.org/users/local/6BMiH9Tv/items/9CRDFNIH"],"itemData":{"id":271,"type":"article-journal","abstract":"The stability and reusability of dextranase were improved by immobilizing it on polyethylenimine modified magnetic particles.\n          , \n            \n              Dextranase is a unique biocatalyst for the enzymatic hydrolysis of dextran in carbohydrate chemistry, but the instability and poor recycling ability of dextranase significantly limit its long-term applications. As an alternative method, stabilization of dextranase on a solid carrier is a promising strategy. In this study, a kind of polyethylenimine (PEI) polymer modified magnetic particle was fabricated and employed as the substrate for covalent immobilization of dextranase (Fe\n              3\n              O\n              4\n              @SiO\n              2\n              -PEI-dextranase) to improve the stability and reusability performance for the first time. The grafted PEI polymer on the surface enhanced the amount of primary amine groups, and improved the loading capacity of dextranase on Fe\n              3\n              O\n              4\n              @SiO\n              2\n              -PEI-dextranase to 217.2 mg g\n              −1\n              , which was 3.84 times that measured on Fe\n              3\n              O\n              4\n              @SiO\n              2\n              -NH\n              2\n              -dextranase particles. Under the optimized conditions, high immobilization efficiency (72.38%) and enzymatic activity (82.84%) of Fe\n              3\n              O\n              4\n              @SiO\n              2\n              -PEI-dextranase were achieved. Thermal and pH tolerance, and long-term storage tests revealed that the Fe\n              3\n              O\n              4\n              @SiO\n              2\n              -PEI-dextranase exhibited much better stabilities. More importantly, Fe\n              3\n              O\n              4\n              @SiO\n              2\n              -PEI-dextranase retained 83.26% of its initial activity after reuse 15 times, suggesting its excellent reusability. It is believed that the immobilized dextranase could have potential applications in biological and biocatalytic fields.","container-title":"New Journal of Chemistry","DOI":"10.1039/C8NJ00227D","ISSN":"1144-0546, 1369-9261","issue":"11","journalAbbreviation":"New J. Chem.","language":"en","page":"8391-8399","source":"DOI.org (Crossref)","title":"Improving the stability and reusability of dextranase by immobilization on polyethylenimine modified magnetic particles","volume":"42","author":[{"family":"Wang","given":"Yajie"},{"family":"Wang","given":"Qiang"},{"family":"Song","given":"Xiaoping"},{"family":"Cai","given":"Jingjing"}],"issued":{"date-parts":[["2018"]]}}}],"schema":"https://github.com/citation-style-language/schema/raw/master/csl-citation.json"} </w:instrText>
            </w:r>
            <w:r w:rsidRPr="00996BEF">
              <w:rPr>
                <w:sz w:val="24"/>
                <w:szCs w:val="24"/>
                <w:lang w:eastAsia="zh-CN"/>
              </w:rPr>
              <w:fldChar w:fldCharType="separate"/>
            </w:r>
            <w:r w:rsidR="00011EA9" w:rsidRPr="00996BEF">
              <w:rPr>
                <w:sz w:val="24"/>
              </w:rPr>
              <w:t>[</w:t>
            </w:r>
            <w:hyperlink w:anchor="re" w:history="1">
              <w:r w:rsidR="00011EA9" w:rsidRPr="00996BEF">
                <w:rPr>
                  <w:rStyle w:val="ac"/>
                  <w:color w:val="auto"/>
                  <w:sz w:val="24"/>
                  <w:u w:val="none"/>
                </w:rPr>
                <w:t>2</w:t>
              </w:r>
            </w:hyperlink>
            <w:r w:rsidR="00011EA9" w:rsidRPr="00996BEF">
              <w:rPr>
                <w:sz w:val="24"/>
              </w:rPr>
              <w:t>]</w:t>
            </w:r>
            <w:r w:rsidRPr="00996BEF">
              <w:rPr>
                <w:sz w:val="24"/>
                <w:szCs w:val="24"/>
                <w:lang w:eastAsia="zh-CN"/>
              </w:rPr>
              <w:fldChar w:fldCharType="end"/>
            </w:r>
          </w:p>
        </w:tc>
      </w:tr>
      <w:tr w:rsidR="00996BEF" w:rsidRPr="00996BEF" w14:paraId="3CD75D61" w14:textId="77777777" w:rsidTr="008F7C5E">
        <w:trPr>
          <w:trHeight w:val="439"/>
          <w:jc w:val="center"/>
        </w:trPr>
        <w:tc>
          <w:tcPr>
            <w:tcW w:w="2382" w:type="dxa"/>
          </w:tcPr>
          <w:p w14:paraId="7E6D5718" w14:textId="25F2FC8E" w:rsidR="00895D20" w:rsidRPr="00996BEF" w:rsidRDefault="00895D20" w:rsidP="00895D20">
            <w:pPr>
              <w:pStyle w:val="RSCB02ArticleText"/>
              <w:spacing w:line="240" w:lineRule="auto"/>
              <w:jc w:val="center"/>
              <w:rPr>
                <w:sz w:val="24"/>
                <w:szCs w:val="24"/>
              </w:rPr>
            </w:pPr>
            <w:r w:rsidRPr="00996BEF">
              <w:rPr>
                <w:sz w:val="24"/>
                <w:szCs w:val="24"/>
              </w:rPr>
              <w:t>Covalent binding</w:t>
            </w:r>
          </w:p>
        </w:tc>
        <w:tc>
          <w:tcPr>
            <w:tcW w:w="2721" w:type="dxa"/>
          </w:tcPr>
          <w:p w14:paraId="43B33B6A" w14:textId="75CF943F" w:rsidR="00895D20" w:rsidRPr="00996BEF" w:rsidRDefault="00895D20" w:rsidP="00895D20">
            <w:pPr>
              <w:pStyle w:val="RSCB02ArticleText"/>
              <w:spacing w:line="240" w:lineRule="auto"/>
              <w:jc w:val="center"/>
              <w:rPr>
                <w:sz w:val="24"/>
                <w:szCs w:val="24"/>
              </w:rPr>
            </w:pPr>
            <w:r w:rsidRPr="00996BEF">
              <w:rPr>
                <w:sz w:val="24"/>
                <w:szCs w:val="24"/>
              </w:rPr>
              <w:t>HAP-GA</w:t>
            </w:r>
          </w:p>
        </w:tc>
        <w:tc>
          <w:tcPr>
            <w:tcW w:w="1843" w:type="dxa"/>
          </w:tcPr>
          <w:p w14:paraId="4DFB298C" w14:textId="37772BB9" w:rsidR="00895D20" w:rsidRPr="00996BEF" w:rsidRDefault="00895D20" w:rsidP="00895D20">
            <w:pPr>
              <w:pStyle w:val="RSCB02ArticleText"/>
              <w:spacing w:line="240" w:lineRule="auto"/>
              <w:jc w:val="center"/>
              <w:rPr>
                <w:sz w:val="24"/>
                <w:szCs w:val="24"/>
              </w:rPr>
            </w:pPr>
            <w:r w:rsidRPr="00996BEF">
              <w:rPr>
                <w:sz w:val="24"/>
                <w:szCs w:val="24"/>
              </w:rPr>
              <w:t>92.29</w:t>
            </w:r>
          </w:p>
        </w:tc>
        <w:tc>
          <w:tcPr>
            <w:tcW w:w="1360" w:type="dxa"/>
          </w:tcPr>
          <w:p w14:paraId="3775CA1C" w14:textId="11F12BF1" w:rsidR="00895D20" w:rsidRPr="00996BEF" w:rsidRDefault="00547658" w:rsidP="00895D20">
            <w:pPr>
              <w:pStyle w:val="RSCB02ArticleText"/>
              <w:spacing w:line="240" w:lineRule="auto"/>
              <w:jc w:val="center"/>
              <w:rPr>
                <w:sz w:val="24"/>
                <w:szCs w:val="24"/>
                <w:lang w:eastAsia="zh-CN"/>
              </w:rPr>
            </w:pPr>
            <w:r w:rsidRPr="00996BEF">
              <w:rPr>
                <w:sz w:val="24"/>
                <w:szCs w:val="24"/>
                <w:lang w:eastAsia="zh-CN"/>
              </w:rPr>
              <w:fldChar w:fldCharType="begin"/>
            </w:r>
            <w:r w:rsidR="00011EA9" w:rsidRPr="00996BEF">
              <w:rPr>
                <w:sz w:val="24"/>
                <w:szCs w:val="24"/>
                <w:lang w:eastAsia="zh-CN"/>
              </w:rPr>
              <w:instrText xml:space="preserve"> ADDIN ZOTERO_ITEM CSL_CITATION {"citationID":"ZX8Cu9ag","properties":{"formattedCitation":"[4]","plainCitation":"[4]","noteIndex":0},"citationItems":[{"id":226,"uris":["http://zotero.org/users/local/6BMiH9Tv/items/ESIEEF3Y"],"itemData":{"id":226,"type":"article-journal","abstract":"The immobilization technology provides a potential pathway for enzyme recycling. Here, we evaluated the potential of using dextranase immobilized onto hydroxyapatite nanoparticles as a promising inorganic material. The optimal immobilization temperature, reaction time, and pH were determined to be 25 ◦C, 120 min, and pH 5, respectively. Dextranase could be loaded at 359.7 U/g. The immobilized dextranase was characterized by ﬁeld emission gun-scanning electron microscope (FEG-SEM), X-ray diffraction (XRD), and Fourier-transformed infrared spectroscopy (FT-IR). The hydrolysis capacity of the immobilized enzyme was maintained at 71% at the 30th time of use. According to the constant temperature acceleration experiment, it was estimated that the immobilized dextranase could be stored for 99 days at 20 ◦C, indicating that the immobilized enzyme had good storage properties. Sodium chloride and sodium acetic did not desorb the immobilized dextranase. In contrast, dextranase was desorbed by sodium ﬂuoride and sodium citrate. The hydrolysates were 79% oligosaccharides. The immobilized dextranase could signiﬁcantly and thoroughly remove the dental plaque bioﬁlm. Thus, immobilized dextranase has broad potential application in diverse ﬁelds in the future.","container-title":"Materials","DOI":"10.3390/ma14010130","ISSN":"1996-1944","issue":"1","journalAbbreviation":"Materials","language":"en","page":"130","source":"DOI.org (Crossref)","title":"Immobilization of Dextranase on Nano-Hydroxyapatite as a Recyclable Catalyst","volume":"14","author":[{"family":"Ding","given":"Yanshuai"},{"family":"Zhang","given":"Hao"},{"family":"Wang","given":"Xuelian"},{"family":"Zu","given":"Hangtian"},{"family":"Wang","given":"Cang"},{"family":"Dong","given":"Dongxue"},{"family":"Lyu","given":"Mingsheng"},{"family":"Wang","given":"Shujun"}],"issued":{"date-parts":[["2020",12,30]]}}}],"schema":"https://github.com/citation-style-language/schema/raw/master/csl-citation.json"} </w:instrText>
            </w:r>
            <w:r w:rsidRPr="00996BEF">
              <w:rPr>
                <w:sz w:val="24"/>
                <w:szCs w:val="24"/>
                <w:lang w:eastAsia="zh-CN"/>
              </w:rPr>
              <w:fldChar w:fldCharType="separate"/>
            </w:r>
            <w:r w:rsidR="00011EA9" w:rsidRPr="00996BEF">
              <w:rPr>
                <w:sz w:val="24"/>
              </w:rPr>
              <w:t>[</w:t>
            </w:r>
            <w:hyperlink w:anchor="re" w:history="1">
              <w:r w:rsidR="00011EA9" w:rsidRPr="00996BEF">
                <w:rPr>
                  <w:rStyle w:val="ac"/>
                  <w:color w:val="auto"/>
                  <w:sz w:val="24"/>
                  <w:u w:val="none"/>
                </w:rPr>
                <w:t>4</w:t>
              </w:r>
            </w:hyperlink>
            <w:r w:rsidR="00011EA9" w:rsidRPr="00996BEF">
              <w:rPr>
                <w:sz w:val="24"/>
              </w:rPr>
              <w:t>]</w:t>
            </w:r>
            <w:r w:rsidRPr="00996BEF">
              <w:rPr>
                <w:sz w:val="24"/>
                <w:szCs w:val="24"/>
                <w:lang w:eastAsia="zh-CN"/>
              </w:rPr>
              <w:fldChar w:fldCharType="end"/>
            </w:r>
          </w:p>
        </w:tc>
      </w:tr>
      <w:tr w:rsidR="00895D20" w:rsidRPr="00996BEF" w14:paraId="7AFA3AAA" w14:textId="77777777" w:rsidTr="008F7C5E">
        <w:trPr>
          <w:trHeight w:val="439"/>
          <w:jc w:val="center"/>
        </w:trPr>
        <w:tc>
          <w:tcPr>
            <w:tcW w:w="2382" w:type="dxa"/>
          </w:tcPr>
          <w:p w14:paraId="58D03A7A" w14:textId="66D7DA95" w:rsidR="00895D20" w:rsidRPr="00996BEF" w:rsidRDefault="00895D20" w:rsidP="00895D20">
            <w:pPr>
              <w:pStyle w:val="RSCB02ArticleText"/>
              <w:spacing w:line="240" w:lineRule="auto"/>
              <w:jc w:val="center"/>
              <w:rPr>
                <w:sz w:val="24"/>
                <w:szCs w:val="24"/>
              </w:rPr>
            </w:pPr>
            <w:r w:rsidRPr="00996BEF">
              <w:rPr>
                <w:sz w:val="24"/>
                <w:szCs w:val="24"/>
              </w:rPr>
              <w:t>Embedding</w:t>
            </w:r>
          </w:p>
        </w:tc>
        <w:tc>
          <w:tcPr>
            <w:tcW w:w="2721" w:type="dxa"/>
          </w:tcPr>
          <w:p w14:paraId="476040D2" w14:textId="01E96B49" w:rsidR="00895D20" w:rsidRPr="00996BEF" w:rsidRDefault="00895D20" w:rsidP="00895D20">
            <w:pPr>
              <w:pStyle w:val="RSCB02ArticleText"/>
              <w:spacing w:line="240" w:lineRule="auto"/>
              <w:jc w:val="center"/>
              <w:rPr>
                <w:sz w:val="24"/>
                <w:szCs w:val="24"/>
              </w:rPr>
            </w:pPr>
            <w:r w:rsidRPr="00996BEF">
              <w:rPr>
                <w:sz w:val="24"/>
                <w:szCs w:val="24"/>
              </w:rPr>
              <w:t>Alginate</w:t>
            </w:r>
          </w:p>
        </w:tc>
        <w:tc>
          <w:tcPr>
            <w:tcW w:w="1843" w:type="dxa"/>
          </w:tcPr>
          <w:p w14:paraId="52A3A4B6" w14:textId="72C58B3C" w:rsidR="00895D20" w:rsidRPr="00996BEF" w:rsidRDefault="00895D20" w:rsidP="00895D20">
            <w:pPr>
              <w:pStyle w:val="RSCB02ArticleText"/>
              <w:spacing w:line="240" w:lineRule="auto"/>
              <w:jc w:val="center"/>
              <w:rPr>
                <w:sz w:val="24"/>
                <w:szCs w:val="24"/>
              </w:rPr>
            </w:pPr>
            <w:r w:rsidRPr="00996BEF">
              <w:rPr>
                <w:sz w:val="24"/>
                <w:szCs w:val="24"/>
              </w:rPr>
              <w:t>83.12</w:t>
            </w:r>
          </w:p>
        </w:tc>
        <w:tc>
          <w:tcPr>
            <w:tcW w:w="1360" w:type="dxa"/>
          </w:tcPr>
          <w:p w14:paraId="6AF2AD96" w14:textId="1E527C13" w:rsidR="00895D20" w:rsidRPr="00996BEF" w:rsidRDefault="00547658" w:rsidP="00895D20">
            <w:pPr>
              <w:pStyle w:val="RSCB02ArticleText"/>
              <w:spacing w:line="240" w:lineRule="auto"/>
              <w:jc w:val="center"/>
              <w:rPr>
                <w:sz w:val="24"/>
                <w:szCs w:val="24"/>
                <w:lang w:eastAsia="zh-CN"/>
              </w:rPr>
            </w:pPr>
            <w:r w:rsidRPr="00996BEF">
              <w:rPr>
                <w:sz w:val="24"/>
                <w:szCs w:val="24"/>
                <w:lang w:eastAsia="zh-CN"/>
              </w:rPr>
              <w:fldChar w:fldCharType="begin"/>
            </w:r>
            <w:r w:rsidR="00011EA9" w:rsidRPr="00996BEF">
              <w:rPr>
                <w:sz w:val="24"/>
                <w:szCs w:val="24"/>
                <w:lang w:eastAsia="zh-CN"/>
              </w:rPr>
              <w:instrText xml:space="preserve"> ADDIN ZOTERO_ITEM CSL_CITATION {"citationID":"T8Am982D","properties":{"formattedCitation":"[6]","plainCitation":"[6]","noteIndex":0},"citationItems":[{"id":273,"uris":["http://zotero.org/users/local/6BMiH9Tv/items/VPWG76Y8"],"itemData":{"id":273,"type":"article-journal","abstract":"Alginate is an inexpensive, nontoxic, valuable biopolymer utilized in the study for the immobilization of commercially applicable biocatalyst dextranase. Dextranase was immobilized by an entrapment method, and alginate hydrogel spheres were synthesized after optimizing several parameters. A sodium alginate concentration of 4.0% was noticed to be suitable along with a calcium chloride concentration of 0.2 molar after providing a curing time of 20 minutes. After comparing the characteristics of the entrapped enzyme with those of the soluble one, it was observed that the characteristics were more or less the same except for the change in reaction time which was noticed to be prolonged in the case of entrapped dextranase while the change in temperature and pH optima was not observed. The variation in\n              \n                \n                  \n                    V\n                  \n                  \n                    max\n                  \n                \n              \n              and\n              \n                \n                  \n                    K\n                  \n                  \n                    m\n                  \n                \n              \n              values of dextranase after entrapment was also noted. However, after extensive stability examination studies, it was found that dextranase became more stable after entrapment; as a result, it retained more than 50% of its original activity at elevated temperature even after exposure for about 2.0 hours. The reusability of dextranase was up to 7.0 cycles after performing catalytic activity under constant condition.","container-title":"International Journal of Polymer Science","DOI":"10.1155/2019/1354872","ISSN":"1687-9422, 1687-9430","journalAbbreviation":"International Journal of Polymer Science","language":"en","page":"1-8","source":"DOI.org (Crossref)","title":"Immobilization of Dextranase Using Anionic Natural Polymer Alginate as a Matrix for the Degradation of a Long-Chain Biopolymer (Dextran)","volume":"2019","author":[{"family":"Shahid","given":"Faiza"},{"family":"Aman","given":"Afsheen"},{"family":"Qader","given":"Shah Ali Ul"}],"issued":{"date-parts":[["2019",3,31]]}}}],"schema":"https://github.com/citation-style-language/schema/raw/master/csl-citation.json"} </w:instrText>
            </w:r>
            <w:r w:rsidRPr="00996BEF">
              <w:rPr>
                <w:sz w:val="24"/>
                <w:szCs w:val="24"/>
                <w:lang w:eastAsia="zh-CN"/>
              </w:rPr>
              <w:fldChar w:fldCharType="separate"/>
            </w:r>
            <w:r w:rsidR="00011EA9" w:rsidRPr="00996BEF">
              <w:rPr>
                <w:sz w:val="24"/>
              </w:rPr>
              <w:t>[</w:t>
            </w:r>
            <w:hyperlink w:anchor="re" w:history="1">
              <w:r w:rsidR="00011EA9" w:rsidRPr="00996BEF">
                <w:rPr>
                  <w:rStyle w:val="ac"/>
                  <w:color w:val="auto"/>
                  <w:sz w:val="24"/>
                  <w:u w:val="none"/>
                </w:rPr>
                <w:t>6</w:t>
              </w:r>
            </w:hyperlink>
            <w:r w:rsidR="00011EA9" w:rsidRPr="00996BEF">
              <w:rPr>
                <w:sz w:val="24"/>
              </w:rPr>
              <w:t>]</w:t>
            </w:r>
            <w:r w:rsidRPr="00996BEF">
              <w:rPr>
                <w:sz w:val="24"/>
                <w:szCs w:val="24"/>
                <w:lang w:eastAsia="zh-CN"/>
              </w:rPr>
              <w:fldChar w:fldCharType="end"/>
            </w:r>
          </w:p>
        </w:tc>
      </w:tr>
    </w:tbl>
    <w:p w14:paraId="66F0B30D" w14:textId="3B11E28C" w:rsidR="00A7721D" w:rsidRPr="00996BEF" w:rsidRDefault="00A7721D">
      <w:pPr>
        <w:rPr>
          <w:lang w:val="en-GB"/>
        </w:rPr>
      </w:pPr>
    </w:p>
    <w:p w14:paraId="7491D91A" w14:textId="77777777" w:rsidR="003D17CB" w:rsidRPr="00996BEF" w:rsidRDefault="003D17CB">
      <w:pPr>
        <w:widowControl/>
        <w:jc w:val="left"/>
        <w:rPr>
          <w:lang w:val="en-GB"/>
        </w:rPr>
      </w:pPr>
      <w:r w:rsidRPr="00996BEF">
        <w:rPr>
          <w:lang w:val="en-GB"/>
        </w:rPr>
        <w:br w:type="page"/>
      </w:r>
    </w:p>
    <w:p w14:paraId="366ED886" w14:textId="77777777" w:rsidR="00547658" w:rsidRPr="00996BEF" w:rsidRDefault="00A7721D" w:rsidP="00547658">
      <w:pPr>
        <w:pStyle w:val="a8"/>
        <w:rPr>
          <w:rFonts w:ascii="Times New Roman" w:eastAsia="宋体" w:hAnsi="Times New Roman" w:cs="Times New Roman"/>
          <w:b/>
          <w:bCs/>
          <w:sz w:val="29"/>
          <w:szCs w:val="29"/>
          <w:lang w:bidi="ar"/>
        </w:rPr>
      </w:pPr>
      <w:r w:rsidRPr="00996BEF">
        <w:rPr>
          <w:rFonts w:ascii="Times New Roman" w:eastAsia="宋体" w:hAnsi="Times New Roman" w:cs="Times New Roman"/>
          <w:b/>
          <w:bCs/>
          <w:sz w:val="29"/>
          <w:szCs w:val="29"/>
          <w:lang w:bidi="ar"/>
        </w:rPr>
        <w:lastRenderedPageBreak/>
        <w:t>References</w:t>
      </w:r>
    </w:p>
    <w:bookmarkStart w:id="4" w:name="re"/>
    <w:bookmarkEnd w:id="4"/>
    <w:p w14:paraId="489BF1FD" w14:textId="1C331C73" w:rsidR="00011EA9" w:rsidRPr="00996BEF" w:rsidRDefault="00547658" w:rsidP="00996BEF">
      <w:pPr>
        <w:pStyle w:val="a8"/>
        <w:numPr>
          <w:ilvl w:val="0"/>
          <w:numId w:val="2"/>
        </w:numPr>
        <w:rPr>
          <w:rFonts w:ascii="Times New Roman" w:hAnsi="Times New Roman" w:cs="Times New Roman"/>
          <w:sz w:val="24"/>
        </w:rPr>
      </w:pPr>
      <w:r w:rsidRPr="00996BEF">
        <w:rPr>
          <w:rFonts w:eastAsia="宋体"/>
          <w:sz w:val="24"/>
          <w:lang w:bidi="ar"/>
        </w:rPr>
        <w:fldChar w:fldCharType="begin"/>
      </w:r>
      <w:r w:rsidR="00011EA9" w:rsidRPr="00996BEF">
        <w:rPr>
          <w:rFonts w:eastAsia="宋体"/>
          <w:sz w:val="24"/>
          <w:lang w:bidi="ar"/>
        </w:rPr>
        <w:instrText xml:space="preserve"> ADDIN ZOTERO_BIBL {"uncited":[],"omitted":[],"custom":[]} CSL_BIBLIOGRAPHY </w:instrText>
      </w:r>
      <w:r w:rsidRPr="00996BEF">
        <w:rPr>
          <w:rFonts w:eastAsia="宋体"/>
          <w:sz w:val="24"/>
          <w:lang w:bidi="ar"/>
        </w:rPr>
        <w:fldChar w:fldCharType="separate"/>
      </w:r>
      <w:r w:rsidR="00011EA9" w:rsidRPr="00996BEF">
        <w:rPr>
          <w:rFonts w:ascii="Times New Roman" w:hAnsi="Times New Roman" w:cs="Times New Roman"/>
          <w:sz w:val="24"/>
        </w:rPr>
        <w:t xml:space="preserve">Y. Wang, Q. Wang, X. Song, and J. Cai, Biochemical Engineering Journal </w:t>
      </w:r>
      <w:r w:rsidR="00011EA9" w:rsidRPr="00996BEF">
        <w:rPr>
          <w:rFonts w:ascii="Times New Roman" w:hAnsi="Times New Roman" w:cs="Times New Roman"/>
          <w:b/>
          <w:bCs/>
          <w:sz w:val="24"/>
        </w:rPr>
        <w:t>141</w:t>
      </w:r>
      <w:r w:rsidR="00011EA9" w:rsidRPr="00996BEF">
        <w:rPr>
          <w:rFonts w:ascii="Times New Roman" w:hAnsi="Times New Roman" w:cs="Times New Roman"/>
          <w:sz w:val="24"/>
        </w:rPr>
        <w:t>, 163 (2019).</w:t>
      </w:r>
    </w:p>
    <w:p w14:paraId="219F54DF" w14:textId="6FD72943" w:rsidR="00011EA9" w:rsidRPr="00996BEF" w:rsidRDefault="00011EA9" w:rsidP="00996BEF">
      <w:pPr>
        <w:pStyle w:val="a8"/>
        <w:numPr>
          <w:ilvl w:val="0"/>
          <w:numId w:val="2"/>
        </w:numPr>
        <w:rPr>
          <w:rFonts w:ascii="Times New Roman" w:hAnsi="Times New Roman" w:cs="Times New Roman"/>
          <w:sz w:val="24"/>
        </w:rPr>
      </w:pPr>
      <w:r w:rsidRPr="00996BEF">
        <w:rPr>
          <w:rFonts w:ascii="Times New Roman" w:hAnsi="Times New Roman" w:cs="Times New Roman"/>
          <w:sz w:val="24"/>
        </w:rPr>
        <w:t xml:space="preserve">Y. Wang, Q. Wang, X. Song, and J. Cai, New J. Chem. </w:t>
      </w:r>
      <w:r w:rsidRPr="00996BEF">
        <w:rPr>
          <w:rFonts w:ascii="Times New Roman" w:hAnsi="Times New Roman" w:cs="Times New Roman"/>
          <w:b/>
          <w:bCs/>
          <w:sz w:val="24"/>
        </w:rPr>
        <w:t>42</w:t>
      </w:r>
      <w:r w:rsidRPr="00996BEF">
        <w:rPr>
          <w:rFonts w:ascii="Times New Roman" w:hAnsi="Times New Roman" w:cs="Times New Roman"/>
          <w:sz w:val="24"/>
        </w:rPr>
        <w:t>, 8391 (2018).</w:t>
      </w:r>
    </w:p>
    <w:p w14:paraId="7887C04E" w14:textId="2C56E61A" w:rsidR="00011EA9" w:rsidRPr="00996BEF" w:rsidRDefault="00011EA9" w:rsidP="00996BEF">
      <w:pPr>
        <w:pStyle w:val="a8"/>
        <w:numPr>
          <w:ilvl w:val="0"/>
          <w:numId w:val="2"/>
        </w:numPr>
        <w:rPr>
          <w:rFonts w:ascii="Times New Roman" w:hAnsi="Times New Roman" w:cs="Times New Roman"/>
          <w:sz w:val="24"/>
        </w:rPr>
      </w:pPr>
      <w:r w:rsidRPr="00996BEF">
        <w:rPr>
          <w:rFonts w:ascii="Times New Roman" w:hAnsi="Times New Roman" w:cs="Times New Roman"/>
          <w:sz w:val="24"/>
        </w:rPr>
        <w:t xml:space="preserve">F. A. Erhardt and H.-J. Jördening, Journal of Biotechnology </w:t>
      </w:r>
      <w:r w:rsidRPr="00996BEF">
        <w:rPr>
          <w:rFonts w:ascii="Times New Roman" w:hAnsi="Times New Roman" w:cs="Times New Roman"/>
          <w:b/>
          <w:bCs/>
          <w:sz w:val="24"/>
        </w:rPr>
        <w:t>131</w:t>
      </w:r>
      <w:r w:rsidRPr="00996BEF">
        <w:rPr>
          <w:rFonts w:ascii="Times New Roman" w:hAnsi="Times New Roman" w:cs="Times New Roman"/>
          <w:sz w:val="24"/>
        </w:rPr>
        <w:t>, 440 (2007).</w:t>
      </w:r>
    </w:p>
    <w:p w14:paraId="0AE9739D" w14:textId="1CC6498A" w:rsidR="00011EA9" w:rsidRPr="00996BEF" w:rsidRDefault="00011EA9" w:rsidP="00996BEF">
      <w:pPr>
        <w:pStyle w:val="a8"/>
        <w:numPr>
          <w:ilvl w:val="0"/>
          <w:numId w:val="2"/>
        </w:numPr>
        <w:rPr>
          <w:rFonts w:ascii="Times New Roman" w:hAnsi="Times New Roman" w:cs="Times New Roman"/>
          <w:sz w:val="24"/>
          <w:lang w:val="de-DE"/>
        </w:rPr>
      </w:pPr>
      <w:r w:rsidRPr="00996BEF">
        <w:rPr>
          <w:rFonts w:ascii="Times New Roman" w:hAnsi="Times New Roman" w:cs="Times New Roman"/>
          <w:sz w:val="24"/>
          <w:lang w:val="de-DE"/>
        </w:rPr>
        <w:t xml:space="preserve">Y. Ding, H. Zhang, X. Wang, H. Zu, C. Wang, D. Dong, M. Lyu, and S. Wang, Materials </w:t>
      </w:r>
      <w:r w:rsidRPr="00996BEF">
        <w:rPr>
          <w:rFonts w:ascii="Times New Roman" w:hAnsi="Times New Roman" w:cs="Times New Roman"/>
          <w:b/>
          <w:bCs/>
          <w:sz w:val="24"/>
          <w:lang w:val="de-DE"/>
        </w:rPr>
        <w:t>14</w:t>
      </w:r>
      <w:r w:rsidRPr="00996BEF">
        <w:rPr>
          <w:rFonts w:ascii="Times New Roman" w:hAnsi="Times New Roman" w:cs="Times New Roman"/>
          <w:sz w:val="24"/>
          <w:lang w:val="de-DE"/>
        </w:rPr>
        <w:t>, 130 (2020).</w:t>
      </w:r>
    </w:p>
    <w:p w14:paraId="39050A81" w14:textId="7E0001A7" w:rsidR="00011EA9" w:rsidRPr="00996BEF" w:rsidRDefault="00011EA9" w:rsidP="00996BEF">
      <w:pPr>
        <w:pStyle w:val="a8"/>
        <w:numPr>
          <w:ilvl w:val="0"/>
          <w:numId w:val="2"/>
        </w:numPr>
        <w:rPr>
          <w:rFonts w:ascii="Times New Roman" w:hAnsi="Times New Roman" w:cs="Times New Roman"/>
          <w:sz w:val="24"/>
          <w:lang w:val="de-DE"/>
        </w:rPr>
      </w:pPr>
      <w:r w:rsidRPr="00996BEF">
        <w:rPr>
          <w:rFonts w:ascii="Times New Roman" w:hAnsi="Times New Roman" w:cs="Times New Roman"/>
          <w:sz w:val="24"/>
          <w:lang w:val="de-DE"/>
        </w:rPr>
        <w:t xml:space="preserve">Y. Ding, L. Liu, Y. Fang, </w:t>
      </w:r>
      <w:bookmarkStart w:id="5" w:name="_GoBack"/>
      <w:bookmarkEnd w:id="5"/>
      <w:r w:rsidRPr="00996BEF">
        <w:rPr>
          <w:rFonts w:ascii="Times New Roman" w:hAnsi="Times New Roman" w:cs="Times New Roman"/>
          <w:sz w:val="24"/>
          <w:lang w:val="de-DE"/>
        </w:rPr>
        <w:t xml:space="preserve">X. Zhang, M. Lyu, and S. Wang, Nanomaterials </w:t>
      </w:r>
      <w:r w:rsidRPr="00996BEF">
        <w:rPr>
          <w:rFonts w:ascii="Times New Roman" w:hAnsi="Times New Roman" w:cs="Times New Roman"/>
          <w:b/>
          <w:bCs/>
          <w:sz w:val="24"/>
          <w:lang w:val="de-DE"/>
        </w:rPr>
        <w:t>8</w:t>
      </w:r>
      <w:r w:rsidRPr="00996BEF">
        <w:rPr>
          <w:rFonts w:ascii="Times New Roman" w:hAnsi="Times New Roman" w:cs="Times New Roman"/>
          <w:sz w:val="24"/>
          <w:lang w:val="de-DE"/>
        </w:rPr>
        <w:t>, 173 (2018).</w:t>
      </w:r>
    </w:p>
    <w:p w14:paraId="054FA81B" w14:textId="5194B7CE" w:rsidR="00F53646" w:rsidRPr="00996BEF" w:rsidRDefault="00011EA9" w:rsidP="00BA385C">
      <w:pPr>
        <w:pStyle w:val="a8"/>
        <w:widowControl/>
        <w:numPr>
          <w:ilvl w:val="0"/>
          <w:numId w:val="2"/>
        </w:numPr>
      </w:pPr>
      <w:r w:rsidRPr="00996BEF">
        <w:rPr>
          <w:rFonts w:ascii="Times New Roman" w:hAnsi="Times New Roman" w:cs="Times New Roman"/>
          <w:sz w:val="24"/>
        </w:rPr>
        <w:t xml:space="preserve">F. Shahid, A. Aman, and S. A. U. Qader, International Journal of Polymer Science </w:t>
      </w:r>
      <w:r w:rsidRPr="00996BEF">
        <w:rPr>
          <w:rFonts w:ascii="Times New Roman" w:hAnsi="Times New Roman" w:cs="Times New Roman"/>
          <w:b/>
          <w:bCs/>
          <w:sz w:val="24"/>
        </w:rPr>
        <w:t>2019</w:t>
      </w:r>
      <w:r w:rsidRPr="00996BEF">
        <w:rPr>
          <w:rFonts w:ascii="Times New Roman" w:hAnsi="Times New Roman" w:cs="Times New Roman"/>
          <w:sz w:val="24"/>
        </w:rPr>
        <w:t>, 1 (2019).</w:t>
      </w:r>
      <w:r w:rsidR="00547658" w:rsidRPr="00996BEF">
        <w:rPr>
          <w:rFonts w:ascii="Times New Roman" w:eastAsia="宋体" w:hAnsi="Times New Roman" w:cs="Times New Roman"/>
          <w:b/>
          <w:bCs/>
          <w:kern w:val="0"/>
          <w:sz w:val="24"/>
          <w:lang w:bidi="ar"/>
        </w:rPr>
        <w:fldChar w:fldCharType="end"/>
      </w:r>
    </w:p>
    <w:sectPr w:rsidR="00F53646" w:rsidRPr="00996BE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3FD0A" w14:textId="77777777" w:rsidR="00BE1B21" w:rsidRDefault="00BE1B21" w:rsidP="00CA62AA">
      <w:r>
        <w:separator/>
      </w:r>
    </w:p>
  </w:endnote>
  <w:endnote w:type="continuationSeparator" w:id="0">
    <w:p w14:paraId="086D1C5C" w14:textId="77777777" w:rsidR="00BE1B21" w:rsidRDefault="00BE1B21" w:rsidP="00CA6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D9067" w14:textId="77777777" w:rsidR="00BE1B21" w:rsidRDefault="00BE1B21" w:rsidP="00CA62AA">
      <w:r>
        <w:separator/>
      </w:r>
    </w:p>
  </w:footnote>
  <w:footnote w:type="continuationSeparator" w:id="0">
    <w:p w14:paraId="6336EB68" w14:textId="77777777" w:rsidR="00BE1B21" w:rsidRDefault="00BE1B21" w:rsidP="00CA62A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8A2115"/>
    <w:multiLevelType w:val="hybridMultilevel"/>
    <w:tmpl w:val="D9762E7C"/>
    <w:lvl w:ilvl="0" w:tplc="AA26FC16">
      <w:start w:val="1"/>
      <w:numFmt w:val="decimal"/>
      <w:lvlText w:val="[%1]."/>
      <w:lvlJc w:val="left"/>
      <w:pPr>
        <w:ind w:left="440" w:hanging="440"/>
      </w:pPr>
      <w:rPr>
        <w:rFonts w:ascii="Times New Roman" w:hAnsi="Times New Roman" w:cs="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6B9052C2"/>
    <w:multiLevelType w:val="hybridMultilevel"/>
    <w:tmpl w:val="23386CF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972"/>
    <w:rsid w:val="00011EA9"/>
    <w:rsid w:val="00035972"/>
    <w:rsid w:val="000605AA"/>
    <w:rsid w:val="00115D99"/>
    <w:rsid w:val="001302E5"/>
    <w:rsid w:val="00131C84"/>
    <w:rsid w:val="00171EA3"/>
    <w:rsid w:val="001E2122"/>
    <w:rsid w:val="001E254B"/>
    <w:rsid w:val="001E6AD6"/>
    <w:rsid w:val="00240FFA"/>
    <w:rsid w:val="0024103E"/>
    <w:rsid w:val="00244181"/>
    <w:rsid w:val="00253ED2"/>
    <w:rsid w:val="002F2C3A"/>
    <w:rsid w:val="00361052"/>
    <w:rsid w:val="00383BDB"/>
    <w:rsid w:val="003D17CB"/>
    <w:rsid w:val="003E59F9"/>
    <w:rsid w:val="0043624E"/>
    <w:rsid w:val="004375C7"/>
    <w:rsid w:val="004605AB"/>
    <w:rsid w:val="005113A9"/>
    <w:rsid w:val="00544320"/>
    <w:rsid w:val="00547658"/>
    <w:rsid w:val="005578AD"/>
    <w:rsid w:val="0058119C"/>
    <w:rsid w:val="005A6D2E"/>
    <w:rsid w:val="005D7801"/>
    <w:rsid w:val="00604619"/>
    <w:rsid w:val="00604645"/>
    <w:rsid w:val="00651434"/>
    <w:rsid w:val="006759CB"/>
    <w:rsid w:val="006944FC"/>
    <w:rsid w:val="006B2715"/>
    <w:rsid w:val="006F6E1A"/>
    <w:rsid w:val="007048AD"/>
    <w:rsid w:val="00735F3B"/>
    <w:rsid w:val="00752327"/>
    <w:rsid w:val="007C1D55"/>
    <w:rsid w:val="007D248E"/>
    <w:rsid w:val="007E7AE6"/>
    <w:rsid w:val="00837449"/>
    <w:rsid w:val="00895D20"/>
    <w:rsid w:val="008C01D1"/>
    <w:rsid w:val="008D383C"/>
    <w:rsid w:val="008F7C5E"/>
    <w:rsid w:val="009131D7"/>
    <w:rsid w:val="009324E7"/>
    <w:rsid w:val="00935ED7"/>
    <w:rsid w:val="00951CA1"/>
    <w:rsid w:val="00961802"/>
    <w:rsid w:val="0099188D"/>
    <w:rsid w:val="00996BEF"/>
    <w:rsid w:val="009D65CB"/>
    <w:rsid w:val="00A03B1E"/>
    <w:rsid w:val="00A50307"/>
    <w:rsid w:val="00A515E8"/>
    <w:rsid w:val="00A6614F"/>
    <w:rsid w:val="00A71AED"/>
    <w:rsid w:val="00A7721D"/>
    <w:rsid w:val="00AB7D32"/>
    <w:rsid w:val="00AD11D7"/>
    <w:rsid w:val="00AD51AF"/>
    <w:rsid w:val="00B431C3"/>
    <w:rsid w:val="00BE15FE"/>
    <w:rsid w:val="00BE1B21"/>
    <w:rsid w:val="00BE6302"/>
    <w:rsid w:val="00CA62AA"/>
    <w:rsid w:val="00CA7181"/>
    <w:rsid w:val="00CD5B8C"/>
    <w:rsid w:val="00CF7C3E"/>
    <w:rsid w:val="00D13A47"/>
    <w:rsid w:val="00D32458"/>
    <w:rsid w:val="00D855CA"/>
    <w:rsid w:val="00DC4FCB"/>
    <w:rsid w:val="00DC689A"/>
    <w:rsid w:val="00DE58D6"/>
    <w:rsid w:val="00DE5EAE"/>
    <w:rsid w:val="00DF2577"/>
    <w:rsid w:val="00DF3559"/>
    <w:rsid w:val="00E306DE"/>
    <w:rsid w:val="00E64938"/>
    <w:rsid w:val="00EA66B0"/>
    <w:rsid w:val="00EB1AC5"/>
    <w:rsid w:val="00F53646"/>
    <w:rsid w:val="00F67B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CCF09"/>
  <w15:chartTrackingRefBased/>
  <w15:docId w15:val="{ADC68749-888B-4CD6-B0A5-596DAF04D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464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62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A62AA"/>
    <w:rPr>
      <w:sz w:val="18"/>
      <w:szCs w:val="18"/>
    </w:rPr>
  </w:style>
  <w:style w:type="paragraph" w:styleId="a5">
    <w:name w:val="footer"/>
    <w:basedOn w:val="a"/>
    <w:link w:val="a6"/>
    <w:uiPriority w:val="99"/>
    <w:unhideWhenUsed/>
    <w:rsid w:val="00CA62AA"/>
    <w:pPr>
      <w:tabs>
        <w:tab w:val="center" w:pos="4153"/>
        <w:tab w:val="right" w:pos="8306"/>
      </w:tabs>
      <w:snapToGrid w:val="0"/>
      <w:jc w:val="left"/>
    </w:pPr>
    <w:rPr>
      <w:sz w:val="18"/>
      <w:szCs w:val="18"/>
    </w:rPr>
  </w:style>
  <w:style w:type="character" w:customStyle="1" w:styleId="a6">
    <w:name w:val="页脚 字符"/>
    <w:basedOn w:val="a0"/>
    <w:link w:val="a5"/>
    <w:uiPriority w:val="99"/>
    <w:rsid w:val="00CA62AA"/>
    <w:rPr>
      <w:sz w:val="18"/>
      <w:szCs w:val="18"/>
    </w:rPr>
  </w:style>
  <w:style w:type="paragraph" w:customStyle="1" w:styleId="RSCB06BHeadingSub-Section">
    <w:name w:val="RSC B06 B Heading (Sub-Section)"/>
    <w:link w:val="RSCB06BHeadingSub-SectionChar"/>
    <w:qFormat/>
    <w:rsid w:val="00CA62AA"/>
    <w:pPr>
      <w:spacing w:after="80" w:line="240" w:lineRule="exact"/>
    </w:pPr>
    <w:rPr>
      <w:b/>
      <w:sz w:val="18"/>
      <w:lang w:val="en-GB" w:eastAsia="en-US"/>
    </w:rPr>
  </w:style>
  <w:style w:type="character" w:customStyle="1" w:styleId="RSCB06BHeadingSub-SectionChar">
    <w:name w:val="RSC B06 B Heading (Sub-Section) Char"/>
    <w:basedOn w:val="a0"/>
    <w:link w:val="RSCB06BHeadingSub-Section"/>
    <w:rsid w:val="00CA62AA"/>
    <w:rPr>
      <w:b/>
      <w:sz w:val="18"/>
      <w:lang w:val="en-GB" w:eastAsia="en-US"/>
    </w:rPr>
  </w:style>
  <w:style w:type="table" w:styleId="a7">
    <w:name w:val="Table Grid"/>
    <w:basedOn w:val="a1"/>
    <w:uiPriority w:val="59"/>
    <w:qFormat/>
    <w:rsid w:val="0060464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SCB02ArticleText">
    <w:name w:val="RSC B02 Article Text"/>
    <w:basedOn w:val="a"/>
    <w:link w:val="RSCB02ArticleTextChar"/>
    <w:qFormat/>
    <w:rsid w:val="00604645"/>
    <w:pPr>
      <w:widowControl/>
      <w:spacing w:line="240" w:lineRule="exact"/>
    </w:pPr>
    <w:rPr>
      <w:rFonts w:cs="Times New Roman"/>
      <w:w w:val="108"/>
      <w:sz w:val="18"/>
      <w:szCs w:val="18"/>
      <w:lang w:val="en-GB" w:eastAsia="en-US"/>
    </w:rPr>
  </w:style>
  <w:style w:type="character" w:customStyle="1" w:styleId="RSCB02ArticleTextChar">
    <w:name w:val="RSC B02 Article Text Char"/>
    <w:basedOn w:val="a0"/>
    <w:link w:val="RSCB02ArticleText"/>
    <w:qFormat/>
    <w:rsid w:val="00604645"/>
    <w:rPr>
      <w:rFonts w:cs="Times New Roman"/>
      <w:w w:val="108"/>
      <w:sz w:val="18"/>
      <w:szCs w:val="18"/>
      <w:lang w:val="en-GB" w:eastAsia="en-US"/>
    </w:rPr>
  </w:style>
  <w:style w:type="paragraph" w:styleId="a8">
    <w:name w:val="Bibliography"/>
    <w:basedOn w:val="a"/>
    <w:next w:val="a"/>
    <w:uiPriority w:val="37"/>
    <w:unhideWhenUsed/>
    <w:rsid w:val="00547658"/>
  </w:style>
  <w:style w:type="paragraph" w:styleId="a9">
    <w:name w:val="Balloon Text"/>
    <w:basedOn w:val="a"/>
    <w:link w:val="aa"/>
    <w:uiPriority w:val="99"/>
    <w:semiHidden/>
    <w:unhideWhenUsed/>
    <w:rsid w:val="001E6AD6"/>
    <w:rPr>
      <w:sz w:val="18"/>
      <w:szCs w:val="18"/>
    </w:rPr>
  </w:style>
  <w:style w:type="character" w:customStyle="1" w:styleId="aa">
    <w:name w:val="批注框文本 字符"/>
    <w:basedOn w:val="a0"/>
    <w:link w:val="a9"/>
    <w:uiPriority w:val="99"/>
    <w:semiHidden/>
    <w:rsid w:val="001E6AD6"/>
    <w:rPr>
      <w:sz w:val="18"/>
      <w:szCs w:val="18"/>
    </w:rPr>
  </w:style>
  <w:style w:type="paragraph" w:styleId="ab">
    <w:name w:val="Revision"/>
    <w:hidden/>
    <w:uiPriority w:val="99"/>
    <w:semiHidden/>
    <w:rsid w:val="00171EA3"/>
    <w:rPr>
      <w:szCs w:val="24"/>
    </w:rPr>
  </w:style>
  <w:style w:type="character" w:styleId="ac">
    <w:name w:val="Hyperlink"/>
    <w:basedOn w:val="a0"/>
    <w:uiPriority w:val="99"/>
    <w:unhideWhenUsed/>
    <w:qFormat/>
    <w:rsid w:val="001E2122"/>
    <w:rPr>
      <w:color w:val="0563C1" w:themeColor="hyperlink"/>
      <w:u w:val="single"/>
    </w:rPr>
  </w:style>
  <w:style w:type="character" w:customStyle="1" w:styleId="UnresolvedMention">
    <w:name w:val="Unresolved Mention"/>
    <w:basedOn w:val="a0"/>
    <w:uiPriority w:val="99"/>
    <w:semiHidden/>
    <w:unhideWhenUsed/>
    <w:rsid w:val="00D855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999127">
      <w:bodyDiv w:val="1"/>
      <w:marLeft w:val="0"/>
      <w:marRight w:val="0"/>
      <w:marTop w:val="0"/>
      <w:marBottom w:val="0"/>
      <w:divBdr>
        <w:top w:val="none" w:sz="0" w:space="0" w:color="auto"/>
        <w:left w:val="none" w:sz="0" w:space="0" w:color="auto"/>
        <w:bottom w:val="none" w:sz="0" w:space="0" w:color="auto"/>
        <w:right w:val="none" w:sz="0" w:space="0" w:color="auto"/>
      </w:divBdr>
    </w:div>
    <w:div w:id="86081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ibingzhang@ecust.edu.c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izhang595@ecust.edu.cn" TargetMode="External"/><Relationship Id="rId12" Type="http://schemas.openxmlformats.org/officeDocument/2006/relationships/image" Target="media/image2.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tiff"/><Relationship Id="rId5" Type="http://schemas.openxmlformats.org/officeDocument/2006/relationships/footnotes" Target="footnotes.xml"/><Relationship Id="rId10" Type="http://schemas.openxmlformats.org/officeDocument/2006/relationships/hyperlink" Target="mailto:cactus0926@hotmail.com" TargetMode="External"/><Relationship Id="rId4" Type="http://schemas.openxmlformats.org/officeDocument/2006/relationships/webSettings" Target="webSettings.xml"/><Relationship Id="rId9" Type="http://schemas.openxmlformats.org/officeDocument/2006/relationships/hyperlink" Target="mailto:sun98510102@163.com"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4166</Words>
  <Characters>23749</Characters>
  <Application>Microsoft Office Word</Application>
  <DocSecurity>0</DocSecurity>
  <Lines>197</Lines>
  <Paragraphs>55</Paragraphs>
  <ScaleCrop>false</ScaleCrop>
  <Company/>
  <LinksUpToDate>false</LinksUpToDate>
  <CharactersWithSpaces>27860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1033266715@qq.com</dc:creator>
  <cp:keywords/>
  <dc:description/>
  <cp:lastModifiedBy>lenovo</cp:lastModifiedBy>
  <cp:revision>12</cp:revision>
  <dcterms:created xsi:type="dcterms:W3CDTF">2023-04-25T10:17:00Z</dcterms:created>
  <dcterms:modified xsi:type="dcterms:W3CDTF">2023-05-11T00:25:00Z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id="q8YyDNQK"/&gt;&lt;style id="http://www.zotero.org/styles/research-on-chemical-intermediates" hasBibliography="1" bibliographyStyleHasBeenSet="1"/&gt;&lt;prefs&gt;&lt;pref name="fieldType" value="Field"/&gt;&lt;/prefs&gt;&lt;/</vt:lpwstr>
  </property>
  <property fmtid="{D5CDD505-2E9C-101B-9397-08002B2CF9AE}" pid="3" name="ZOTERO_PREF_2">
    <vt:lpwstr>data&gt;</vt:lpwstr>
  </property>
</Properties>
</file>