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4B1181" w14:textId="77777777" w:rsidR="00635834" w:rsidRPr="001902C2" w:rsidRDefault="00635834" w:rsidP="00635834">
      <w:pPr>
        <w:pStyle w:val="NoSpacing"/>
        <w:bidi w:val="0"/>
        <w:rPr>
          <w:rFonts w:asciiTheme="majorBidi" w:hAnsiTheme="majorBidi" w:cstheme="majorBidi"/>
          <w:b/>
          <w:bCs/>
          <w:lang w:val="en-AE" w:eastAsia="en-AE"/>
        </w:rPr>
      </w:pPr>
    </w:p>
    <w:p w14:paraId="64EB3C4E" w14:textId="77777777" w:rsidR="00635834" w:rsidRPr="001902C2" w:rsidRDefault="00635834" w:rsidP="00635834">
      <w:pPr>
        <w:pStyle w:val="NoSpacing"/>
        <w:bidi w:val="0"/>
        <w:rPr>
          <w:rFonts w:asciiTheme="majorBidi" w:hAnsiTheme="majorBidi" w:cstheme="majorBidi"/>
          <w:b/>
          <w:bCs/>
          <w:lang w:val="en-AE" w:eastAsia="en-AE"/>
        </w:rPr>
      </w:pPr>
    </w:p>
    <w:p w14:paraId="2F757040" w14:textId="77777777" w:rsidR="00635834" w:rsidRPr="001902C2" w:rsidRDefault="00635834" w:rsidP="00635834">
      <w:pPr>
        <w:pStyle w:val="NoSpacing"/>
        <w:bidi w:val="0"/>
        <w:rPr>
          <w:rFonts w:asciiTheme="majorBidi" w:hAnsiTheme="majorBidi" w:cstheme="majorBidi"/>
          <w:b/>
          <w:bCs/>
          <w:lang w:val="en-AE" w:eastAsia="en-AE"/>
        </w:rPr>
      </w:pPr>
      <w:r w:rsidRPr="001902C2">
        <w:rPr>
          <w:rFonts w:asciiTheme="majorBidi" w:hAnsiTheme="majorBidi" w:cstheme="majorBidi"/>
          <w:noProof/>
          <w:rtl/>
        </w:rPr>
        <w:drawing>
          <wp:inline distT="0" distB="0" distL="0" distR="0" wp14:anchorId="51EE5943" wp14:editId="3FE34F5C">
            <wp:extent cx="4054896" cy="2996565"/>
            <wp:effectExtent l="0" t="0" r="0" b="0"/>
            <wp:docPr id="189131865" name="Chart 18913186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47602104" w14:textId="77777777" w:rsidR="00635834" w:rsidRPr="001902C2" w:rsidRDefault="00635834" w:rsidP="00635834">
      <w:pPr>
        <w:pStyle w:val="NoSpacing"/>
        <w:bidi w:val="0"/>
        <w:rPr>
          <w:rFonts w:asciiTheme="majorBidi" w:hAnsiTheme="majorBidi" w:cstheme="majorBidi"/>
          <w:b/>
          <w:bCs/>
          <w:lang w:val="en-AE" w:eastAsia="en-AE"/>
        </w:rPr>
      </w:pPr>
    </w:p>
    <w:p w14:paraId="4DDF6128" w14:textId="77777777" w:rsidR="00635834" w:rsidRPr="001902C2" w:rsidRDefault="00635834" w:rsidP="00635834">
      <w:pPr>
        <w:pStyle w:val="NoSpacing"/>
        <w:bidi w:val="0"/>
        <w:rPr>
          <w:rFonts w:asciiTheme="majorBidi" w:hAnsiTheme="majorBidi" w:cstheme="majorBidi"/>
          <w:b/>
          <w:bCs/>
          <w:lang w:val="en-AE" w:eastAsia="en-AE"/>
        </w:rPr>
      </w:pPr>
      <w:r w:rsidRPr="001902C2">
        <w:rPr>
          <w:rFonts w:asciiTheme="majorBidi" w:hAnsiTheme="majorBidi" w:cstheme="majorBidi"/>
          <w:b/>
          <w:bCs/>
          <w:lang w:val="en-AE" w:eastAsia="en-AE"/>
        </w:rPr>
        <w:t xml:space="preserve">Graph 1 hearing loos before and after surgery ,A,B,C and D </w:t>
      </w:r>
      <w:r w:rsidRPr="001902C2">
        <w:rPr>
          <w:rFonts w:asciiTheme="majorBidi" w:hAnsiTheme="majorBidi" w:cstheme="majorBidi"/>
        </w:rPr>
        <w:t xml:space="preserve">(AAO-HNS). </w:t>
      </w:r>
      <w:r w:rsidRPr="001902C2">
        <w:rPr>
          <w:rFonts w:asciiTheme="majorBidi" w:hAnsiTheme="majorBidi" w:cstheme="majorBidi"/>
          <w:b/>
          <w:bCs/>
          <w:lang w:val="en-AE" w:eastAsia="en-AE"/>
        </w:rPr>
        <w:t>Classification.</w:t>
      </w:r>
    </w:p>
    <w:p w14:paraId="0D9F190C" w14:textId="77777777" w:rsidR="00635834" w:rsidRPr="001902C2" w:rsidRDefault="00635834" w:rsidP="00635834">
      <w:pPr>
        <w:pStyle w:val="NoSpacing"/>
        <w:bidi w:val="0"/>
        <w:rPr>
          <w:rFonts w:asciiTheme="majorBidi" w:hAnsiTheme="majorBidi" w:cstheme="majorBidi"/>
          <w:b/>
          <w:bCs/>
          <w:lang w:val="en-AE" w:eastAsia="en-AE"/>
        </w:rPr>
      </w:pPr>
    </w:p>
    <w:p w14:paraId="2B9088D9" w14:textId="77777777" w:rsidR="00635834" w:rsidRPr="001902C2" w:rsidRDefault="00635834" w:rsidP="00635834">
      <w:pPr>
        <w:pStyle w:val="NoSpacing"/>
        <w:bidi w:val="0"/>
        <w:rPr>
          <w:rFonts w:asciiTheme="majorBidi" w:hAnsiTheme="majorBidi" w:cstheme="majorBidi"/>
          <w:b/>
          <w:bCs/>
          <w:lang w:val="en-AE" w:eastAsia="en-AE"/>
        </w:rPr>
      </w:pPr>
    </w:p>
    <w:p w14:paraId="62DEBC1B" w14:textId="77777777" w:rsidR="00635834" w:rsidRPr="001902C2" w:rsidRDefault="00635834" w:rsidP="00635834">
      <w:pPr>
        <w:pStyle w:val="NoSpacing"/>
        <w:bidi w:val="0"/>
        <w:rPr>
          <w:rFonts w:asciiTheme="majorBidi" w:hAnsiTheme="majorBidi" w:cstheme="majorBidi"/>
          <w:b/>
          <w:bCs/>
          <w:lang w:val="en-AE" w:eastAsia="en-AE"/>
        </w:rPr>
      </w:pPr>
    </w:p>
    <w:p w14:paraId="15E33865" w14:textId="77777777" w:rsidR="00635834" w:rsidRPr="001902C2" w:rsidRDefault="00635834" w:rsidP="00635834">
      <w:pPr>
        <w:pStyle w:val="NoSpacing"/>
        <w:bidi w:val="0"/>
        <w:rPr>
          <w:rFonts w:asciiTheme="majorBidi" w:hAnsiTheme="majorBidi" w:cstheme="majorBidi"/>
          <w:b/>
          <w:bCs/>
          <w:lang w:val="en-AE" w:eastAsia="en-AE"/>
        </w:rPr>
      </w:pPr>
    </w:p>
    <w:p w14:paraId="48F73356" w14:textId="77777777" w:rsidR="00635834" w:rsidRPr="001902C2" w:rsidRDefault="00635834" w:rsidP="00635834">
      <w:pPr>
        <w:pStyle w:val="NoSpacing"/>
        <w:bidi w:val="0"/>
        <w:rPr>
          <w:rFonts w:asciiTheme="majorBidi" w:hAnsiTheme="majorBidi" w:cstheme="majorBidi"/>
          <w:b/>
          <w:bCs/>
          <w:lang w:val="en-AE" w:eastAsia="en-AE"/>
        </w:rPr>
      </w:pPr>
      <w:r w:rsidRPr="001902C2">
        <w:rPr>
          <w:rFonts w:asciiTheme="majorBidi" w:hAnsiTheme="majorBidi" w:cstheme="majorBidi"/>
          <w:noProof/>
          <w:rtl/>
        </w:rPr>
        <w:drawing>
          <wp:inline distT="0" distB="0" distL="0" distR="0" wp14:anchorId="0E68451B" wp14:editId="512FD7A0">
            <wp:extent cx="4396770" cy="2777980"/>
            <wp:effectExtent l="0" t="0" r="0" b="0"/>
            <wp:docPr id="26" name="Chart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4E79505E" w14:textId="77777777" w:rsidR="00635834" w:rsidRPr="001902C2" w:rsidRDefault="00635834" w:rsidP="00635834">
      <w:pPr>
        <w:pStyle w:val="NoSpacing"/>
        <w:bidi w:val="0"/>
        <w:rPr>
          <w:rFonts w:asciiTheme="majorBidi" w:hAnsiTheme="majorBidi" w:cstheme="majorBidi"/>
          <w:b/>
          <w:bCs/>
          <w:lang w:val="en-AE" w:eastAsia="en-AE"/>
        </w:rPr>
      </w:pPr>
    </w:p>
    <w:p w14:paraId="1F0D1618" w14:textId="77777777" w:rsidR="00635834" w:rsidRPr="001902C2" w:rsidRDefault="00635834" w:rsidP="00635834">
      <w:pPr>
        <w:bidi w:val="0"/>
        <w:spacing w:after="0" w:line="240" w:lineRule="auto"/>
        <w:rPr>
          <w:rFonts w:asciiTheme="majorBidi" w:hAnsiTheme="majorBidi" w:cstheme="majorBidi"/>
          <w:shd w:val="clear" w:color="auto" w:fill="FFFFFF"/>
        </w:rPr>
      </w:pPr>
      <w:r w:rsidRPr="001902C2">
        <w:rPr>
          <w:rFonts w:asciiTheme="majorBidi" w:hAnsiTheme="majorBidi" w:cstheme="majorBidi"/>
          <w:b/>
          <w:bCs/>
          <w:lang w:val="en-AE" w:eastAsia="en-AE"/>
        </w:rPr>
        <w:t xml:space="preserve">Graph 2, functionality of the facial never before and after surgery depending </w:t>
      </w:r>
    </w:p>
    <w:p w14:paraId="5415586E" w14:textId="77777777" w:rsidR="00635834" w:rsidRPr="001902C2" w:rsidRDefault="00635834" w:rsidP="00635834">
      <w:pPr>
        <w:pStyle w:val="Heading3"/>
        <w:bidi w:val="0"/>
        <w:spacing w:before="0" w:after="45"/>
        <w:rPr>
          <w:b w:val="0"/>
          <w:bCs/>
          <w:sz w:val="22"/>
          <w:szCs w:val="22"/>
        </w:rPr>
      </w:pPr>
      <w:r w:rsidRPr="001902C2">
        <w:rPr>
          <w:b w:val="0"/>
          <w:bCs/>
          <w:sz w:val="22"/>
          <w:szCs w:val="22"/>
          <w:shd w:val="clear" w:color="auto" w:fill="FFFFFF"/>
        </w:rPr>
        <w:t>House Brackmann - Facial Nerve Grading ,1 ( grade I and  II), 2 ( grade III and  IV), 3 ( grade V and VI),</w:t>
      </w:r>
    </w:p>
    <w:p w14:paraId="189EE67A" w14:textId="77777777" w:rsidR="002F0F5E" w:rsidRDefault="00635834"/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834"/>
    <w:rsid w:val="0021090F"/>
    <w:rsid w:val="003A76DF"/>
    <w:rsid w:val="00635834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9F5F9"/>
  <w15:chartTrackingRefBased/>
  <w15:docId w15:val="{D55BAB03-C11B-482D-AC4B-E78C27FBF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834"/>
    <w:pPr>
      <w:bidi/>
      <w:spacing w:after="200" w:line="276" w:lineRule="auto"/>
    </w:pPr>
    <w:rPr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35834"/>
    <w:pPr>
      <w:keepNext/>
      <w:keepLines/>
      <w:spacing w:before="40" w:after="0"/>
      <w:outlineLvl w:val="2"/>
    </w:pPr>
    <w:rPr>
      <w:rFonts w:asciiTheme="majorBidi" w:eastAsiaTheme="majorEastAsia" w:hAnsiTheme="majorBidi" w:cstheme="majorBidi"/>
      <w:b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35834"/>
    <w:rPr>
      <w:rFonts w:asciiTheme="majorBidi" w:eastAsiaTheme="majorEastAsia" w:hAnsiTheme="majorBidi" w:cstheme="majorBidi"/>
      <w:b/>
      <w:sz w:val="32"/>
      <w:szCs w:val="24"/>
      <w14:ligatures w14:val="standardContextual"/>
    </w:rPr>
  </w:style>
  <w:style w:type="paragraph" w:styleId="NoSpacing">
    <w:name w:val="No Spacing"/>
    <w:uiPriority w:val="1"/>
    <w:qFormat/>
    <w:rsid w:val="00635834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solidFill>
          <a:schemeClr val="bg1"/>
        </a:solidFill>
        <a:ln>
          <a:noFill/>
        </a:ln>
        <a:effectLst/>
        <a:sp3d/>
      </c:spPr>
    </c:floor>
    <c:sideWall>
      <c:thickness val="0"/>
      <c:spPr>
        <a:solidFill>
          <a:schemeClr val="bg1"/>
        </a:solidFill>
        <a:ln>
          <a:noFill/>
        </a:ln>
        <a:effectLst/>
        <a:sp3d/>
      </c:spPr>
    </c:sideWall>
    <c:backWall>
      <c:thickness val="0"/>
      <c:spPr>
        <a:solidFill>
          <a:schemeClr val="bg1"/>
        </a:solidFill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4652960046660832E-2"/>
          <c:y val="4.3650793650793648E-2"/>
          <c:w val="0.8998840769903762"/>
          <c:h val="0.76509758840246866"/>
        </c:manualLayout>
      </c:layout>
      <c:bar3DChart>
        <c:barDir val="col"/>
        <c:grouping val="clustered"/>
        <c:varyColors val="0"/>
        <c:ser>
          <c:idx val="0"/>
          <c:order val="0"/>
          <c:tx>
            <c:v>pre-op</c:v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Sheet1!$A$2:$A$5</c:f>
              <c:strCache>
                <c:ptCount val="4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</c:strCache>
            </c:strRef>
          </c:cat>
          <c:val>
            <c:numRef>
              <c:f>Sheet1!$B$2:$B$5</c:f>
              <c:numCache>
                <c:formatCode>0.00%</c:formatCode>
                <c:ptCount val="4"/>
                <c:pt idx="0" formatCode="0%">
                  <c:v>0.13300000000000001</c:v>
                </c:pt>
                <c:pt idx="1">
                  <c:v>6.6699999999999995E-2</c:v>
                </c:pt>
                <c:pt idx="2">
                  <c:v>0.25</c:v>
                </c:pt>
                <c:pt idx="3" formatCode="0%">
                  <c:v>0.55000000000000004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4B1-4DBB-94D5-812C3567351B}"/>
            </c:ext>
          </c:extLst>
        </c:ser>
        <c:ser>
          <c:idx val="1"/>
          <c:order val="1"/>
          <c:tx>
            <c:v>post-op</c:v>
          </c:tx>
          <c:spPr>
            <a:solidFill>
              <a:schemeClr val="dk1">
                <a:tint val="55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Sheet1!$A$2:$A$5</c:f>
              <c:strCache>
                <c:ptCount val="4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</c:strCache>
            </c:strRef>
          </c:cat>
          <c:val>
            <c:numRef>
              <c:f>Sheet1!$C$2:$C$5</c:f>
              <c:numCache>
                <c:formatCode>0.00%</c:formatCode>
                <c:ptCount val="4"/>
                <c:pt idx="0" formatCode="0%">
                  <c:v>8.3000000000000004E-2</c:v>
                </c:pt>
                <c:pt idx="1">
                  <c:v>3.3300000000000003E-2</c:v>
                </c:pt>
                <c:pt idx="2">
                  <c:v>0.183</c:v>
                </c:pt>
                <c:pt idx="3" formatCode="0%">
                  <c:v>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4B1-4DBB-94D5-812C356735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42185712"/>
        <c:axId val="242185384"/>
        <c:axId val="0"/>
      </c:bar3DChart>
      <c:catAx>
        <c:axId val="242185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42185384"/>
        <c:crosses val="autoZero"/>
        <c:auto val="1"/>
        <c:lblAlgn val="ctr"/>
        <c:lblOffset val="100"/>
        <c:noMultiLvlLbl val="0"/>
      </c:catAx>
      <c:valAx>
        <c:axId val="2421853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42185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solidFill>
          <a:schemeClr val="bg1"/>
        </a:solidFill>
        <a:ln>
          <a:noFill/>
        </a:ln>
        <a:effectLst/>
        <a:sp3d/>
      </c:spPr>
    </c:floor>
    <c:sideWall>
      <c:thickness val="0"/>
      <c:spPr>
        <a:solidFill>
          <a:schemeClr val="bg1"/>
        </a:solidFill>
        <a:ln>
          <a:noFill/>
        </a:ln>
        <a:effectLst/>
        <a:sp3d/>
      </c:spPr>
    </c:sideWall>
    <c:backWall>
      <c:thickness val="0"/>
      <c:spPr>
        <a:solidFill>
          <a:schemeClr val="bg1"/>
        </a:solidFill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4652960046660832E-2"/>
          <c:y val="3.2953864589574597E-2"/>
          <c:w val="0.8998840769903762"/>
          <c:h val="0.7788368724730258"/>
        </c:manualLayout>
      </c:layout>
      <c:bar3DChart>
        <c:barDir val="col"/>
        <c:grouping val="clustered"/>
        <c:varyColors val="0"/>
        <c:ser>
          <c:idx val="0"/>
          <c:order val="0"/>
          <c:tx>
            <c:v>pre-op</c:v>
          </c:tx>
          <c:spPr>
            <a:gradFill rotWithShape="1">
              <a:gsLst>
                <a:gs pos="0">
                  <a:schemeClr val="dk1">
                    <a:tint val="88500"/>
                    <a:shade val="51000"/>
                    <a:satMod val="130000"/>
                  </a:schemeClr>
                </a:gs>
                <a:gs pos="80000">
                  <a:schemeClr val="dk1">
                    <a:tint val="88500"/>
                    <a:shade val="93000"/>
                    <a:satMod val="130000"/>
                  </a:schemeClr>
                </a:gs>
                <a:gs pos="100000">
                  <a:schemeClr val="dk1">
                    <a:tint val="885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val>
            <c:numRef>
              <c:f>Sheet1!$B$2:$B$4</c:f>
              <c:numCache>
                <c:formatCode>0.00%</c:formatCode>
                <c:ptCount val="3"/>
                <c:pt idx="0" formatCode="0%">
                  <c:v>0.9</c:v>
                </c:pt>
                <c:pt idx="1">
                  <c:v>3.3300000000000003E-2</c:v>
                </c:pt>
                <c:pt idx="2">
                  <c:v>6.6699999999999995E-2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0F2-415E-965E-BB4ACB700BDB}"/>
            </c:ext>
          </c:extLst>
        </c:ser>
        <c:ser>
          <c:idx val="1"/>
          <c:order val="1"/>
          <c:tx>
            <c:v>post-op</c:v>
          </c:tx>
          <c:spPr>
            <a:gradFill rotWithShape="1">
              <a:gsLst>
                <a:gs pos="0">
                  <a:schemeClr val="dk1">
                    <a:tint val="55000"/>
                    <a:shade val="51000"/>
                    <a:satMod val="130000"/>
                  </a:schemeClr>
                </a:gs>
                <a:gs pos="80000">
                  <a:schemeClr val="dk1">
                    <a:tint val="55000"/>
                    <a:shade val="93000"/>
                    <a:satMod val="130000"/>
                  </a:schemeClr>
                </a:gs>
                <a:gs pos="100000">
                  <a:schemeClr val="dk1">
                    <a:tint val="55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val>
            <c:numRef>
              <c:f>Sheet1!$C$2:$C$4</c:f>
              <c:numCache>
                <c:formatCode>0%</c:formatCode>
                <c:ptCount val="3"/>
                <c:pt idx="0">
                  <c:v>0.65</c:v>
                </c:pt>
                <c:pt idx="1">
                  <c:v>0.25</c:v>
                </c:pt>
                <c:pt idx="2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0F2-415E-965E-BB4ACB700B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17771160"/>
        <c:axId val="217771488"/>
        <c:axId val="0"/>
      </c:bar3DChart>
      <c:catAx>
        <c:axId val="217771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7771488"/>
        <c:crosses val="autoZero"/>
        <c:auto val="1"/>
        <c:lblAlgn val="ctr"/>
        <c:lblOffset val="100"/>
        <c:noMultiLvlLbl val="0"/>
      </c:catAx>
      <c:valAx>
        <c:axId val="217771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7771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3038003062117235"/>
          <c:y val="0.90630345862249539"/>
          <c:w val="0.57164734616506274"/>
          <c:h val="7.57217061468275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243</Characters>
  <Application>Microsoft Office Word</Application>
  <DocSecurity>0</DocSecurity>
  <Lines>2</Lines>
  <Paragraphs>1</Paragraphs>
  <ScaleCrop>false</ScaleCrop>
  <Company>Springer Nature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2023-05-16T10:59:00Z</dcterms:created>
  <dcterms:modified xsi:type="dcterms:W3CDTF">2023-05-16T10:59:00Z</dcterms:modified>
</cp:coreProperties>
</file>