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5F5759" w14:textId="77777777" w:rsidR="00B661D1" w:rsidRPr="006F2D83" w:rsidRDefault="00B661D1" w:rsidP="00B661D1">
      <w:pPr>
        <w:wordWrap/>
        <w:spacing w:line="360" w:lineRule="auto"/>
        <w:ind w:firstLineChars="0" w:firstLine="0"/>
        <w:contextualSpacing/>
        <w:rPr>
          <w:b/>
          <w:sz w:val="24"/>
          <w:szCs w:val="24"/>
        </w:rPr>
      </w:pPr>
      <w:r w:rsidRPr="006F2D83">
        <w:rPr>
          <w:b/>
          <w:sz w:val="24"/>
          <w:szCs w:val="24"/>
        </w:rPr>
        <w:t>Supplementary Materials</w:t>
      </w:r>
    </w:p>
    <w:p w14:paraId="3EA6AD33" w14:textId="77777777" w:rsidR="00B661D1" w:rsidRPr="006F2D83" w:rsidRDefault="00B661D1" w:rsidP="00B661D1">
      <w:pPr>
        <w:wordWrap/>
        <w:spacing w:line="360" w:lineRule="auto"/>
        <w:ind w:firstLineChars="0" w:firstLine="0"/>
        <w:contextualSpacing/>
        <w:rPr>
          <w:b/>
          <w:i/>
          <w:sz w:val="24"/>
          <w:szCs w:val="24"/>
        </w:rPr>
      </w:pPr>
    </w:p>
    <w:p w14:paraId="1BC58470" w14:textId="77777777" w:rsidR="00CE5725" w:rsidRDefault="00B661D1" w:rsidP="00CE5725">
      <w:pPr>
        <w:wordWrap/>
        <w:spacing w:line="360" w:lineRule="auto"/>
        <w:ind w:firstLineChars="0" w:firstLine="0"/>
        <w:contextualSpacing/>
        <w:rPr>
          <w:b/>
          <w:sz w:val="24"/>
          <w:szCs w:val="24"/>
        </w:rPr>
      </w:pPr>
      <w:r w:rsidRPr="006F2D83">
        <w:rPr>
          <w:b/>
          <w:sz w:val="24"/>
          <w:szCs w:val="24"/>
        </w:rPr>
        <w:t>Materials and Methods</w:t>
      </w:r>
    </w:p>
    <w:p w14:paraId="1C2FDF56" w14:textId="0376829A" w:rsidR="00CE5725" w:rsidRPr="00CE5725" w:rsidRDefault="00CE5725" w:rsidP="00CE5725">
      <w:pPr>
        <w:wordWrap/>
        <w:spacing w:line="360" w:lineRule="auto"/>
        <w:ind w:firstLineChars="0" w:firstLine="0"/>
        <w:contextualSpacing/>
        <w:rPr>
          <w:i/>
          <w:sz w:val="24"/>
          <w:szCs w:val="24"/>
        </w:rPr>
      </w:pPr>
      <w:bookmarkStart w:id="0" w:name="_GoBack"/>
      <w:bookmarkEnd w:id="0"/>
      <w:r w:rsidRPr="0029756C">
        <w:rPr>
          <w:rFonts w:asciiTheme="minorEastAsia" w:hAnsiTheme="minorEastAsia"/>
          <w:i/>
          <w:color w:val="000000"/>
          <w:sz w:val="24"/>
        </w:rPr>
        <w:t>Imaging Acquisition</w:t>
      </w:r>
    </w:p>
    <w:p w14:paraId="05114E61" w14:textId="23D1F317" w:rsidR="00CE5725" w:rsidRDefault="00CE5725" w:rsidP="00CE5725">
      <w:pPr>
        <w:spacing w:line="360" w:lineRule="auto"/>
        <w:ind w:firstLineChars="333" w:firstLine="799"/>
        <w:rPr>
          <w:rFonts w:asciiTheme="minorEastAsia" w:hAnsiTheme="minorEastAsia"/>
          <w:color w:val="000000"/>
          <w:sz w:val="24"/>
        </w:rPr>
      </w:pPr>
      <w:r w:rsidRPr="0029756C">
        <w:rPr>
          <w:rFonts w:asciiTheme="minorEastAsia" w:hAnsiTheme="minorEastAsia"/>
          <w:color w:val="000000"/>
          <w:sz w:val="24"/>
        </w:rPr>
        <w:t xml:space="preserve">CT examinations were performed using one of </w:t>
      </w:r>
      <w:r>
        <w:rPr>
          <w:rFonts w:asciiTheme="minorEastAsia" w:hAnsiTheme="minorEastAsia"/>
          <w:color w:val="000000"/>
          <w:sz w:val="24"/>
        </w:rPr>
        <w:t xml:space="preserve">the following </w:t>
      </w:r>
      <w:r w:rsidRPr="0029756C">
        <w:rPr>
          <w:rFonts w:asciiTheme="minorEastAsia" w:hAnsiTheme="minorEastAsia"/>
          <w:color w:val="000000"/>
          <w:sz w:val="24"/>
        </w:rPr>
        <w:t>multi-detector CT scanners</w:t>
      </w:r>
      <w:r>
        <w:rPr>
          <w:rFonts w:asciiTheme="minorEastAsia" w:hAnsiTheme="minorEastAsia"/>
          <w:color w:val="000000"/>
          <w:sz w:val="24"/>
        </w:rPr>
        <w:t xml:space="preserve">: </w:t>
      </w:r>
      <w:r w:rsidRPr="0029756C">
        <w:rPr>
          <w:rFonts w:asciiTheme="minorEastAsia" w:hAnsiTheme="minorEastAsia"/>
          <w:color w:val="000000"/>
          <w:sz w:val="24"/>
        </w:rPr>
        <w:t xml:space="preserve">Brilliance 64, Philips Medical Systems (n=25); </w:t>
      </w:r>
      <w:proofErr w:type="spellStart"/>
      <w:r w:rsidRPr="0029756C">
        <w:rPr>
          <w:rFonts w:asciiTheme="minorEastAsia" w:hAnsiTheme="minorEastAsia"/>
          <w:color w:val="000000"/>
          <w:sz w:val="24"/>
        </w:rPr>
        <w:t>IQon</w:t>
      </w:r>
      <w:proofErr w:type="spellEnd"/>
      <w:r w:rsidRPr="0029756C">
        <w:rPr>
          <w:rFonts w:asciiTheme="minorEastAsia" w:hAnsiTheme="minorEastAsia"/>
          <w:color w:val="000000"/>
          <w:sz w:val="24"/>
        </w:rPr>
        <w:t xml:space="preserve"> Spectral CT, Philips Medical Systems (n=43);</w:t>
      </w:r>
      <w:r w:rsidRPr="0029756C">
        <w:rPr>
          <w:rFonts w:asciiTheme="minorEastAsia" w:hAnsiTheme="minorEastAsia"/>
          <w:sz w:val="24"/>
        </w:rPr>
        <w:t xml:space="preserve"> </w:t>
      </w:r>
      <w:r w:rsidRPr="0029756C">
        <w:rPr>
          <w:rFonts w:asciiTheme="minorEastAsia" w:hAnsiTheme="minorEastAsia"/>
          <w:color w:val="000000"/>
          <w:sz w:val="24"/>
        </w:rPr>
        <w:t xml:space="preserve">Brilliance </w:t>
      </w:r>
      <w:proofErr w:type="spellStart"/>
      <w:r w:rsidRPr="0029756C">
        <w:rPr>
          <w:rFonts w:asciiTheme="minorEastAsia" w:hAnsiTheme="minorEastAsia"/>
          <w:color w:val="000000"/>
          <w:sz w:val="24"/>
        </w:rPr>
        <w:t>iCT</w:t>
      </w:r>
      <w:proofErr w:type="spellEnd"/>
      <w:r w:rsidRPr="0029756C">
        <w:rPr>
          <w:rFonts w:asciiTheme="minorEastAsia" w:hAnsiTheme="minorEastAsia"/>
          <w:color w:val="000000"/>
          <w:sz w:val="24"/>
        </w:rPr>
        <w:t xml:space="preserve"> 256, Philips Medical Systems (n=2); SOMATOM Force, Siemens Medical Systems (n=30); SOMATOM Definition, Siemens Medical Systems (n=38); Sensation 16, Siemens Medical Systems (n=2); and </w:t>
      </w:r>
      <w:proofErr w:type="spellStart"/>
      <w:r w:rsidRPr="0029756C">
        <w:rPr>
          <w:rFonts w:asciiTheme="minorEastAsia" w:hAnsiTheme="minorEastAsia"/>
          <w:color w:val="000000"/>
          <w:sz w:val="24"/>
        </w:rPr>
        <w:t>Aquilion</w:t>
      </w:r>
      <w:proofErr w:type="spellEnd"/>
      <w:r w:rsidRPr="0029756C">
        <w:rPr>
          <w:rFonts w:asciiTheme="minorEastAsia" w:hAnsiTheme="minorEastAsia"/>
          <w:color w:val="000000"/>
          <w:sz w:val="24"/>
        </w:rPr>
        <w:t xml:space="preserve"> ONE, Canon Medical Systems (n=1). Non-IV contrast CT images were obtained immediately after fluoroscopic examination. The following CT acquisition </w:t>
      </w:r>
      <w:proofErr w:type="gramStart"/>
      <w:r w:rsidRPr="0029756C">
        <w:rPr>
          <w:rFonts w:asciiTheme="minorEastAsia" w:hAnsiTheme="minorEastAsia"/>
          <w:color w:val="000000"/>
          <w:sz w:val="24"/>
        </w:rPr>
        <w:t>parameters</w:t>
      </w:r>
      <w:proofErr w:type="gramEnd"/>
      <w:r w:rsidRPr="0029756C">
        <w:rPr>
          <w:rFonts w:asciiTheme="minorEastAsia" w:hAnsiTheme="minorEastAsia"/>
          <w:color w:val="000000"/>
          <w:sz w:val="24"/>
        </w:rPr>
        <w:t xml:space="preserve"> were used: 100–120 </w:t>
      </w:r>
      <w:proofErr w:type="spellStart"/>
      <w:r w:rsidRPr="0029756C">
        <w:rPr>
          <w:rFonts w:asciiTheme="minorEastAsia" w:hAnsiTheme="minorEastAsia"/>
          <w:color w:val="000000"/>
          <w:sz w:val="24"/>
        </w:rPr>
        <w:t>kVp</w:t>
      </w:r>
      <w:proofErr w:type="spellEnd"/>
      <w:r w:rsidRPr="0029756C">
        <w:rPr>
          <w:rFonts w:asciiTheme="minorEastAsia" w:hAnsiTheme="minorEastAsia"/>
          <w:color w:val="000000"/>
          <w:sz w:val="24"/>
        </w:rPr>
        <w:t xml:space="preserve">, 150–300 </w:t>
      </w:r>
      <w:proofErr w:type="spellStart"/>
      <w:r w:rsidRPr="0029756C">
        <w:rPr>
          <w:rFonts w:asciiTheme="minorEastAsia" w:hAnsiTheme="minorEastAsia"/>
          <w:color w:val="000000"/>
          <w:sz w:val="24"/>
        </w:rPr>
        <w:t>mAs</w:t>
      </w:r>
      <w:proofErr w:type="spellEnd"/>
      <w:r w:rsidRPr="0029756C">
        <w:rPr>
          <w:rFonts w:asciiTheme="minorEastAsia" w:hAnsiTheme="minorEastAsia"/>
          <w:color w:val="000000"/>
          <w:sz w:val="24"/>
        </w:rPr>
        <w:t>, 2.8–11.5 mm detector collimation, 0.6–1.0 pitch, 0.33–0.75 second gantry rotation time, 3 mm slice thickness, and 3 mm reconstruction interval.</w:t>
      </w:r>
    </w:p>
    <w:p w14:paraId="2A299BF1" w14:textId="77777777" w:rsidR="004314BB" w:rsidRDefault="004314BB" w:rsidP="004314BB">
      <w:pPr>
        <w:spacing w:line="360" w:lineRule="auto"/>
        <w:ind w:firstLineChars="0" w:firstLine="0"/>
        <w:rPr>
          <w:rFonts w:asciiTheme="minorEastAsia" w:hAnsiTheme="minorEastAsia"/>
          <w:color w:val="000000"/>
          <w:sz w:val="24"/>
        </w:rPr>
      </w:pPr>
    </w:p>
    <w:p w14:paraId="7FACFB17" w14:textId="77777777" w:rsidR="004314BB" w:rsidRPr="0033246A" w:rsidRDefault="004314BB" w:rsidP="004314BB">
      <w:pPr>
        <w:spacing w:line="360" w:lineRule="auto"/>
        <w:ind w:firstLineChars="0" w:firstLine="0"/>
        <w:rPr>
          <w:rFonts w:asciiTheme="minorEastAsia" w:hAnsiTheme="minorEastAsia"/>
          <w:i/>
          <w:color w:val="000000"/>
          <w:sz w:val="24"/>
        </w:rPr>
      </w:pPr>
      <w:r w:rsidRPr="0033246A">
        <w:rPr>
          <w:rFonts w:asciiTheme="minorEastAsia" w:hAnsiTheme="minorEastAsia"/>
          <w:i/>
          <w:color w:val="000000"/>
          <w:sz w:val="24"/>
        </w:rPr>
        <w:t xml:space="preserve">Statistical Analysis </w:t>
      </w:r>
    </w:p>
    <w:p w14:paraId="50E763C7" w14:textId="77777777" w:rsidR="004314BB" w:rsidRPr="0033246A" w:rsidRDefault="004314BB" w:rsidP="004314BB">
      <w:pPr>
        <w:spacing w:line="360" w:lineRule="auto"/>
        <w:ind w:firstLineChars="333" w:firstLine="799"/>
        <w:rPr>
          <w:rFonts w:asciiTheme="minorEastAsia" w:hAnsiTheme="minorEastAsia"/>
          <w:color w:val="000000"/>
          <w:sz w:val="24"/>
        </w:rPr>
      </w:pPr>
      <w:r w:rsidRPr="0033246A">
        <w:rPr>
          <w:rFonts w:asciiTheme="minorEastAsia" w:hAnsiTheme="minorEastAsia"/>
          <w:color w:val="000000"/>
          <w:sz w:val="24"/>
        </w:rPr>
        <w:t xml:space="preserve">Among patients with and without GI leakage, continuous variables, such as </w:t>
      </w:r>
      <w:r w:rsidRPr="0033246A">
        <w:rPr>
          <w:rFonts w:asciiTheme="minorEastAsia" w:hAnsiTheme="minorEastAsia"/>
          <w:color w:val="000000"/>
          <w:sz w:val="24"/>
        </w:rPr>
        <w:lastRenderedPageBreak/>
        <w:t xml:space="preserve">the age and duration of hospital stay (from the date of surgery to the date of discharge) were compared using the independent t-test, while categorical variables including the type (PCD, endoscopic clipping, and re-operation) of management for GI leakage were compared using the chi-square or Fisher exact tests. The rate of management for leakage and mortality rates were compared using the Chi-square test. </w:t>
      </w:r>
    </w:p>
    <w:p w14:paraId="57EBAAC6" w14:textId="2A8F2C0E" w:rsidR="004314BB" w:rsidRPr="0033246A" w:rsidRDefault="004314BB" w:rsidP="004314BB">
      <w:pPr>
        <w:spacing w:line="360" w:lineRule="auto"/>
        <w:ind w:firstLineChars="332" w:firstLine="797"/>
        <w:rPr>
          <w:rFonts w:asciiTheme="minorEastAsia" w:hAnsiTheme="minorEastAsia"/>
          <w:color w:val="000000"/>
          <w:sz w:val="24"/>
        </w:rPr>
      </w:pPr>
      <w:r w:rsidRPr="0033246A">
        <w:rPr>
          <w:rFonts w:asciiTheme="minorEastAsia" w:hAnsiTheme="minorEastAsia"/>
          <w:color w:val="000000"/>
          <w:sz w:val="24"/>
        </w:rPr>
        <w:t xml:space="preserve">The </w:t>
      </w:r>
      <w:proofErr w:type="spellStart"/>
      <w:r w:rsidRPr="0033246A">
        <w:rPr>
          <w:rFonts w:asciiTheme="minorEastAsia" w:hAnsiTheme="minorEastAsia"/>
          <w:color w:val="000000"/>
          <w:sz w:val="24"/>
        </w:rPr>
        <w:t>interobserver</w:t>
      </w:r>
      <w:proofErr w:type="spellEnd"/>
      <w:r w:rsidRPr="0033246A">
        <w:rPr>
          <w:rFonts w:asciiTheme="minorEastAsia" w:hAnsiTheme="minorEastAsia"/>
          <w:color w:val="000000"/>
          <w:sz w:val="24"/>
        </w:rPr>
        <w:t xml:space="preserve"> agreement for the presence and grade of leakage was assessed </w:t>
      </w:r>
      <w:r w:rsidRPr="0033246A">
        <w:rPr>
          <w:rFonts w:asciiTheme="minorEastAsia" w:hAnsiTheme="minorEastAsia"/>
          <w:sz w:val="24"/>
        </w:rPr>
        <w:t>using weighted</w:t>
      </w:r>
      <w:r w:rsidRPr="0033246A">
        <w:rPr>
          <w:rFonts w:asciiTheme="minorEastAsia" w:hAnsiTheme="minorEastAsia"/>
          <w:color w:val="000000"/>
          <w:sz w:val="24"/>
        </w:rPr>
        <w:t xml:space="preserve"> kappa statistics.</w:t>
      </w:r>
      <w:r>
        <w:rPr>
          <w:rFonts w:asciiTheme="minorEastAsia" w:hAnsiTheme="minorEastAsia"/>
          <w:color w:val="000000"/>
          <w:sz w:val="24"/>
        </w:rPr>
        <w:t xml:space="preserve"> </w:t>
      </w:r>
      <w:r w:rsidRPr="0033246A">
        <w:rPr>
          <w:rFonts w:asciiTheme="minorEastAsia" w:hAnsiTheme="minorEastAsia"/>
          <w:color w:val="000000"/>
          <w:sz w:val="24"/>
        </w:rPr>
        <w:t>A k-value of 0 to 0.20 indicated poor agreement; 0.21 to 0.40, fair agreement; 0.41 to 0.60, moderate agreement; 0.61 to 0.80, good agreement; and 0.81 to 1.00, excellent agreement [14]. The kappa value (κ) for leakage grade was calculated for cases where leakage was detected by both reviewers, except for the case where one side of modalities was missed.</w:t>
      </w:r>
    </w:p>
    <w:p w14:paraId="3ABBC7A9" w14:textId="77777777" w:rsidR="004314BB" w:rsidRPr="004314BB" w:rsidRDefault="004314BB" w:rsidP="00CE5725">
      <w:pPr>
        <w:spacing w:line="360" w:lineRule="auto"/>
        <w:ind w:firstLineChars="333" w:firstLine="799"/>
        <w:rPr>
          <w:rFonts w:asciiTheme="minorEastAsia" w:hAnsiTheme="minorEastAsia"/>
          <w:color w:val="FF0000"/>
          <w:sz w:val="24"/>
        </w:rPr>
      </w:pPr>
    </w:p>
    <w:p w14:paraId="77A160F3" w14:textId="77777777" w:rsidR="00CE5725" w:rsidRPr="00CE5725" w:rsidRDefault="00CE5725" w:rsidP="00B661D1">
      <w:pPr>
        <w:wordWrap/>
        <w:spacing w:line="360" w:lineRule="auto"/>
        <w:ind w:firstLineChars="363" w:firstLine="871"/>
        <w:contextualSpacing/>
        <w:rPr>
          <w:sz w:val="24"/>
          <w:szCs w:val="24"/>
        </w:rPr>
      </w:pPr>
    </w:p>
    <w:sectPr w:rsidR="00CE5725" w:rsidRPr="00CE572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3C544B" w14:textId="77777777" w:rsidR="0051194D" w:rsidRDefault="0051194D" w:rsidP="006A2C53">
      <w:pPr>
        <w:spacing w:after="0" w:line="240" w:lineRule="auto"/>
        <w:ind w:firstLine="200"/>
      </w:pPr>
      <w:r>
        <w:separator/>
      </w:r>
    </w:p>
  </w:endnote>
  <w:endnote w:type="continuationSeparator" w:id="0">
    <w:p w14:paraId="75336D87" w14:textId="77777777" w:rsidR="0051194D" w:rsidRDefault="0051194D" w:rsidP="006A2C53">
      <w:pPr>
        <w:spacing w:after="0" w:line="240" w:lineRule="auto"/>
        <w:ind w:firstLine="2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0ADC79" w14:textId="77777777" w:rsidR="006A2C53" w:rsidRDefault="006A2C53">
    <w:pPr>
      <w:pStyle w:val="a4"/>
      <w:ind w:firstLine="20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82B543" w14:textId="77777777" w:rsidR="006A2C53" w:rsidRDefault="006A2C53">
    <w:pPr>
      <w:pStyle w:val="a4"/>
      <w:ind w:firstLine="20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B7ED02" w14:textId="77777777" w:rsidR="006A2C53" w:rsidRDefault="006A2C53">
    <w:pPr>
      <w:pStyle w:val="a4"/>
      <w:ind w:firstLine="2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D882A8" w14:textId="77777777" w:rsidR="0051194D" w:rsidRDefault="0051194D" w:rsidP="006A2C53">
      <w:pPr>
        <w:spacing w:after="0" w:line="240" w:lineRule="auto"/>
        <w:ind w:firstLine="200"/>
      </w:pPr>
      <w:r>
        <w:separator/>
      </w:r>
    </w:p>
  </w:footnote>
  <w:footnote w:type="continuationSeparator" w:id="0">
    <w:p w14:paraId="7FC3A939" w14:textId="77777777" w:rsidR="0051194D" w:rsidRDefault="0051194D" w:rsidP="006A2C53">
      <w:pPr>
        <w:spacing w:after="0" w:line="240" w:lineRule="auto"/>
        <w:ind w:firstLine="20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8C320B" w14:textId="77777777" w:rsidR="006A2C53" w:rsidRDefault="006A2C53">
    <w:pPr>
      <w:pStyle w:val="a3"/>
      <w:ind w:firstLine="20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994752" w14:textId="77777777" w:rsidR="006A2C53" w:rsidRDefault="006A2C53">
    <w:pPr>
      <w:pStyle w:val="a3"/>
      <w:ind w:firstLine="20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8E6413" w14:textId="77777777" w:rsidR="006A2C53" w:rsidRDefault="006A2C53">
    <w:pPr>
      <w:pStyle w:val="a3"/>
      <w:ind w:firstLine="20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1D1"/>
    <w:rsid w:val="000E3425"/>
    <w:rsid w:val="001019EB"/>
    <w:rsid w:val="00166898"/>
    <w:rsid w:val="00205102"/>
    <w:rsid w:val="002865B6"/>
    <w:rsid w:val="002866A7"/>
    <w:rsid w:val="002C4AE0"/>
    <w:rsid w:val="002C76CE"/>
    <w:rsid w:val="0037224F"/>
    <w:rsid w:val="003728C9"/>
    <w:rsid w:val="003771B1"/>
    <w:rsid w:val="00413AB0"/>
    <w:rsid w:val="00415D95"/>
    <w:rsid w:val="004314BB"/>
    <w:rsid w:val="004C5773"/>
    <w:rsid w:val="0051194D"/>
    <w:rsid w:val="00596BEA"/>
    <w:rsid w:val="006A2C53"/>
    <w:rsid w:val="006F2D83"/>
    <w:rsid w:val="00747311"/>
    <w:rsid w:val="008B1D90"/>
    <w:rsid w:val="008F2787"/>
    <w:rsid w:val="0090392B"/>
    <w:rsid w:val="00947BA5"/>
    <w:rsid w:val="00991AF3"/>
    <w:rsid w:val="009A7161"/>
    <w:rsid w:val="00A10EF4"/>
    <w:rsid w:val="00AA4044"/>
    <w:rsid w:val="00AF66CE"/>
    <w:rsid w:val="00B42823"/>
    <w:rsid w:val="00B661D1"/>
    <w:rsid w:val="00B751CD"/>
    <w:rsid w:val="00C069E7"/>
    <w:rsid w:val="00C37E70"/>
    <w:rsid w:val="00C408A4"/>
    <w:rsid w:val="00CE5725"/>
    <w:rsid w:val="00CF2CF3"/>
    <w:rsid w:val="00D16497"/>
    <w:rsid w:val="00D93359"/>
    <w:rsid w:val="00DB0088"/>
    <w:rsid w:val="00DD1583"/>
    <w:rsid w:val="00E02DF1"/>
    <w:rsid w:val="00E30BC6"/>
    <w:rsid w:val="00EC4513"/>
    <w:rsid w:val="00FA7BAC"/>
    <w:rsid w:val="00FD3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604DEDF"/>
  <w15:chartTrackingRefBased/>
  <w15:docId w15:val="{7A589E0C-6DED-4DAF-9A9B-B82867422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61D1"/>
    <w:pPr>
      <w:widowControl w:val="0"/>
      <w:wordWrap w:val="0"/>
      <w:autoSpaceDE w:val="0"/>
      <w:autoSpaceDN w:val="0"/>
      <w:ind w:firstLineChars="100" w:firstLine="10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A2C5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6A2C53"/>
  </w:style>
  <w:style w:type="paragraph" w:styleId="a4">
    <w:name w:val="footer"/>
    <w:basedOn w:val="a"/>
    <w:link w:val="Char0"/>
    <w:uiPriority w:val="99"/>
    <w:unhideWhenUsed/>
    <w:rsid w:val="006A2C5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6A2C53"/>
  </w:style>
  <w:style w:type="character" w:styleId="a5">
    <w:name w:val="annotation reference"/>
    <w:basedOn w:val="a0"/>
    <w:uiPriority w:val="99"/>
    <w:semiHidden/>
    <w:unhideWhenUsed/>
    <w:rsid w:val="0090392B"/>
    <w:rPr>
      <w:sz w:val="18"/>
      <w:szCs w:val="18"/>
    </w:rPr>
  </w:style>
  <w:style w:type="paragraph" w:styleId="a6">
    <w:name w:val="annotation text"/>
    <w:basedOn w:val="a"/>
    <w:link w:val="Char1"/>
    <w:uiPriority w:val="99"/>
    <w:semiHidden/>
    <w:unhideWhenUsed/>
    <w:rsid w:val="0090392B"/>
    <w:pPr>
      <w:jc w:val="left"/>
    </w:pPr>
  </w:style>
  <w:style w:type="character" w:customStyle="1" w:styleId="Char1">
    <w:name w:val="메모 텍스트 Char"/>
    <w:basedOn w:val="a0"/>
    <w:link w:val="a6"/>
    <w:uiPriority w:val="99"/>
    <w:semiHidden/>
    <w:rsid w:val="0090392B"/>
  </w:style>
  <w:style w:type="paragraph" w:styleId="a7">
    <w:name w:val="annotation subject"/>
    <w:basedOn w:val="a6"/>
    <w:next w:val="a6"/>
    <w:link w:val="Char2"/>
    <w:uiPriority w:val="99"/>
    <w:semiHidden/>
    <w:unhideWhenUsed/>
    <w:rsid w:val="0090392B"/>
    <w:rPr>
      <w:b/>
      <w:bCs/>
    </w:rPr>
  </w:style>
  <w:style w:type="character" w:customStyle="1" w:styleId="Char2">
    <w:name w:val="메모 주제 Char"/>
    <w:basedOn w:val="Char1"/>
    <w:link w:val="a7"/>
    <w:uiPriority w:val="99"/>
    <w:semiHidden/>
    <w:rsid w:val="0090392B"/>
    <w:rPr>
      <w:b/>
      <w:bCs/>
    </w:rPr>
  </w:style>
  <w:style w:type="paragraph" w:styleId="a8">
    <w:name w:val="Balloon Text"/>
    <w:basedOn w:val="a"/>
    <w:link w:val="Char3"/>
    <w:uiPriority w:val="99"/>
    <w:semiHidden/>
    <w:unhideWhenUsed/>
    <w:rsid w:val="0090392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8"/>
    <w:uiPriority w:val="99"/>
    <w:semiHidden/>
    <w:rsid w:val="0090392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221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C8869C-0760-4981-ACAB-90AFE5BA1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사용자</dc:creator>
  <cp:keywords/>
  <dc:description/>
  <cp:lastModifiedBy>Author</cp:lastModifiedBy>
  <cp:revision>5</cp:revision>
  <dcterms:created xsi:type="dcterms:W3CDTF">2022-09-08T01:08:00Z</dcterms:created>
  <dcterms:modified xsi:type="dcterms:W3CDTF">2022-11-02T13:06:00Z</dcterms:modified>
</cp:coreProperties>
</file>