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18343" w14:textId="77777777" w:rsidR="008F41BF" w:rsidRDefault="008F41BF" w:rsidP="008F41BF">
      <w:pPr>
        <w:spacing w:beforeLines="10000" w:before="31200" w:afterLines="200" w:after="624"/>
        <w:rPr>
          <w:rFonts w:ascii="Times New Roman" w:hAnsi="Times New Roman" w:cs="Times New Roman"/>
          <w:b/>
          <w:bCs/>
        </w:rPr>
      </w:pPr>
      <w:r w:rsidRPr="002071F1">
        <w:rPr>
          <w:rFonts w:ascii="Times New Roman" w:hAnsi="Times New Roman" w:cs="Times New Roman"/>
          <w:b/>
          <w:bCs/>
        </w:rPr>
        <w:t>Supplementary figures</w:t>
      </w:r>
    </w:p>
    <w:p w14:paraId="07E562C2" w14:textId="77777777" w:rsidR="008F41BF" w:rsidRPr="002071F1" w:rsidRDefault="008F41BF" w:rsidP="008F41BF">
      <w:pPr>
        <w:rPr>
          <w:rFonts w:ascii="Times New Roman" w:hAnsi="Times New Roman" w:cs="Times New Roman"/>
        </w:rPr>
      </w:pPr>
      <w:r w:rsidRPr="002071F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E312C0C" wp14:editId="6F73BB5F">
            <wp:extent cx="5274310" cy="353123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8 high and low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A4F8C" w14:textId="77777777" w:rsidR="008F41BF" w:rsidRDefault="008F41BF" w:rsidP="008F41BF">
      <w:pPr>
        <w:spacing w:afterLines="10000" w:after="31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 w:hint="eastAsia"/>
          <w:b/>
        </w:rPr>
        <w:t xml:space="preserve"> </w:t>
      </w:r>
      <w:r w:rsidRPr="002071F1">
        <w:rPr>
          <w:rFonts w:ascii="Times New Roman" w:hAnsi="Times New Roman" w:cs="Times New Roman"/>
          <w:b/>
        </w:rPr>
        <w:t>The standards to evaluate injury index in temperature-stress treatment.</w:t>
      </w:r>
      <w:r w:rsidRPr="002071F1">
        <w:rPr>
          <w:rFonts w:ascii="Times New Roman" w:hAnsi="Times New Roman" w:cs="Times New Roman"/>
        </w:rPr>
        <w:t xml:space="preserve"> a High temperature treatment. b Low temperature treatment.</w:t>
      </w:r>
    </w:p>
    <w:p w14:paraId="549A61A2" w14:textId="77777777" w:rsidR="008F41BF" w:rsidRPr="00200864" w:rsidRDefault="008F41BF" w:rsidP="008F41BF">
      <w:pPr>
        <w:spacing w:beforeLines="10000" w:before="31200" w:afterLines="200" w:after="624"/>
        <w:rPr>
          <w:rFonts w:ascii="Times New Roman" w:hAnsi="Times New Roman" w:cs="Times New Roman"/>
          <w:b/>
          <w:bCs/>
        </w:rPr>
      </w:pPr>
    </w:p>
    <w:p w14:paraId="41A07166" w14:textId="77777777" w:rsidR="008F41BF" w:rsidRPr="002071F1" w:rsidRDefault="008F41BF" w:rsidP="008F41BF">
      <w:pPr>
        <w:rPr>
          <w:rFonts w:ascii="Times New Roman" w:hAnsi="Times New Roman" w:cs="Times New Roman"/>
        </w:rPr>
      </w:pPr>
      <w:r w:rsidRPr="002071F1">
        <w:rPr>
          <w:rFonts w:ascii="Times New Roman" w:hAnsi="Times New Roman" w:cs="Times New Roman"/>
          <w:noProof/>
        </w:rPr>
        <w:drawing>
          <wp:inline distT="0" distB="0" distL="0" distR="0" wp14:anchorId="45E824D2" wp14:editId="75D9691F">
            <wp:extent cx="4724400" cy="6773761"/>
            <wp:effectExtent l="0" t="0" r="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6 Heat QTL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506" cy="677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B1EF6" w14:textId="77777777" w:rsidR="008F41BF" w:rsidRPr="002071F1" w:rsidRDefault="008F41BF" w:rsidP="008F41BF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/>
          <w:b/>
        </w:rPr>
        <w:t>2</w:t>
      </w:r>
      <w:r w:rsidRPr="002071F1">
        <w:rPr>
          <w:rFonts w:ascii="Times New Roman" w:hAnsi="Times New Roman" w:cs="Times New Roman"/>
          <w:b/>
        </w:rPr>
        <w:t xml:space="preserve"> </w:t>
      </w:r>
      <w:r w:rsidRPr="002071F1">
        <w:rPr>
          <w:rFonts w:ascii="Times New Roman" w:hAnsi="Times New Roman" w:cs="Times New Roman"/>
          <w:b/>
          <w:color w:val="000000" w:themeColor="text1"/>
          <w:szCs w:val="21"/>
        </w:rPr>
        <w:t xml:space="preserve">Distribution of Euclidean distance (ED), </w:t>
      </w:r>
      <w:r w:rsidRPr="002071F1">
        <w:rPr>
          <w:rFonts w:ascii="Times New Roman" w:hAnsi="Times New Roman" w:cs="Times New Roman"/>
          <w:b/>
          <w:color w:val="000000" w:themeColor="text1"/>
          <w:szCs w:val="21"/>
          <w:shd w:val="clear" w:color="auto" w:fill="FFFFFF"/>
        </w:rPr>
        <w:t xml:space="preserve">ΔSNP-index, or ΔInDel-index in </w:t>
      </w:r>
      <w:r w:rsidRPr="002071F1">
        <w:rPr>
          <w:rFonts w:ascii="Times New Roman" w:hAnsi="Times New Roman" w:cs="Times New Roman"/>
          <w:b/>
          <w:color w:val="000000" w:themeColor="text1"/>
          <w:szCs w:val="21"/>
        </w:rPr>
        <w:t>bulked segregant analysis (BSA) of heat tolerance of seedling.</w:t>
      </w:r>
      <w:r w:rsidRPr="002071F1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A larger value of ED/ΔSNP-index/ΔInDel-index indicates a stronger linkage of the SNP site to target trait. In ED distribution, red dashed line represents linkage threshold. In ΔSNP-index and ΔInDel-index, the red, blue and green lines indicate linkage threshold at 99%, 95% and 90% of confidence interval respectively; Δindex=(cold-R bulk)-(cold-S bulk).</w:t>
      </w:r>
    </w:p>
    <w:p w14:paraId="684F9317" w14:textId="77777777" w:rsidR="008F41BF" w:rsidRPr="002071F1" w:rsidRDefault="008F41BF" w:rsidP="008F41BF">
      <w:pPr>
        <w:rPr>
          <w:rFonts w:ascii="Times New Roman" w:hAnsi="Times New Roman" w:cs="Times New Roman"/>
        </w:rPr>
      </w:pPr>
      <w:r w:rsidRPr="002071F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0A2CC7D" wp14:editId="708BA58F">
            <wp:extent cx="4743450" cy="6513820"/>
            <wp:effectExtent l="0" t="0" r="0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 Cseedling QTL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230" cy="651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ABD62" w14:textId="77777777" w:rsidR="008F41BF" w:rsidRPr="002071F1" w:rsidRDefault="008F41BF" w:rsidP="008F41BF">
      <w:pPr>
        <w:spacing w:afterLines="10000" w:after="31200"/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/>
          <w:b/>
        </w:rPr>
        <w:t>3</w:t>
      </w:r>
      <w:r w:rsidRPr="002071F1">
        <w:rPr>
          <w:rFonts w:ascii="Times New Roman" w:hAnsi="Times New Roman" w:cs="Times New Roman"/>
          <w:b/>
        </w:rPr>
        <w:t xml:space="preserve"> </w:t>
      </w:r>
      <w:r w:rsidRPr="002071F1">
        <w:rPr>
          <w:rFonts w:ascii="Times New Roman" w:hAnsi="Times New Roman" w:cs="Times New Roman"/>
          <w:b/>
          <w:color w:val="000000" w:themeColor="text1"/>
          <w:szCs w:val="21"/>
        </w:rPr>
        <w:t xml:space="preserve">Distribution of Euclidean distance (ED), </w:t>
      </w:r>
      <w:r w:rsidRPr="002071F1">
        <w:rPr>
          <w:rFonts w:ascii="Times New Roman" w:hAnsi="Times New Roman" w:cs="Times New Roman"/>
          <w:b/>
          <w:color w:val="000000" w:themeColor="text1"/>
          <w:szCs w:val="21"/>
          <w:shd w:val="clear" w:color="auto" w:fill="FFFFFF"/>
        </w:rPr>
        <w:t xml:space="preserve">ΔSNP-index, or ΔInDel-index in </w:t>
      </w:r>
      <w:r w:rsidRPr="002071F1">
        <w:rPr>
          <w:rFonts w:ascii="Times New Roman" w:hAnsi="Times New Roman" w:cs="Times New Roman"/>
          <w:b/>
          <w:color w:val="000000" w:themeColor="text1"/>
          <w:szCs w:val="21"/>
        </w:rPr>
        <w:t>bulked segregant analysis (BSA) of cold tolerance of seedling.</w:t>
      </w:r>
      <w:r w:rsidRPr="002071F1"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  <w:t xml:space="preserve"> A larger value of ED/ΔSNP-index/ΔInDel-index indicates a stronger linkage of the SNP site to target trait. In ED distribution, red dashed line represents linkage threshold. In ΔSNP-index and ΔInDel-index, the red, blue and green lines indicate linkage threshold at 99%, 95% and 90% of confidence interval respectively; Δindex=(cold-R bulk)-(cold-S bulk).</w:t>
      </w:r>
    </w:p>
    <w:p w14:paraId="2FD04540" w14:textId="77777777" w:rsidR="008F41BF" w:rsidRPr="002071F1" w:rsidRDefault="008F41BF" w:rsidP="008F41BF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  <w:shd w:val="clear" w:color="auto" w:fill="FFFFFF"/>
        </w:rPr>
        <w:lastRenderedPageBreak/>
        <w:drawing>
          <wp:inline distT="0" distB="0" distL="0" distR="0" wp14:anchorId="385B4A19" wp14:editId="21367155">
            <wp:extent cx="4760976" cy="2916936"/>
            <wp:effectExtent l="0" t="0" r="1905" b="0"/>
            <wp:docPr id="102787910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79105" name="图片 10278791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0976" cy="291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D6A43" w14:textId="77777777" w:rsidR="008F41BF" w:rsidRDefault="008F41BF" w:rsidP="008F41B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Fig. </w:t>
      </w:r>
      <w:r>
        <w:rPr>
          <w:rFonts w:ascii="Times New Roman" w:hAnsi="Times New Roman" w:cs="Times New Roman" w:hint="eastAsia"/>
          <w:b/>
          <w:szCs w:val="21"/>
        </w:rPr>
        <w:t>S</w:t>
      </w:r>
      <w:r>
        <w:rPr>
          <w:rFonts w:ascii="Times New Roman" w:hAnsi="Times New Roman" w:cs="Times New Roman"/>
          <w:b/>
          <w:szCs w:val="21"/>
        </w:rPr>
        <w:t>4</w:t>
      </w:r>
      <w:r w:rsidRPr="002071F1">
        <w:rPr>
          <w:rFonts w:ascii="Times New Roman" w:hAnsi="Times New Roman" w:cs="Times New Roman"/>
          <w:b/>
          <w:szCs w:val="21"/>
        </w:rPr>
        <w:t xml:space="preserve"> Expression profile of DEGs on QTL </w:t>
      </w:r>
      <w:r w:rsidRPr="002071F1">
        <w:rPr>
          <w:rFonts w:ascii="Times New Roman" w:hAnsi="Times New Roman" w:cs="Times New Roman"/>
          <w:b/>
          <w:i/>
          <w:iCs/>
          <w:szCs w:val="21"/>
        </w:rPr>
        <w:t xml:space="preserve">LTT6.1 </w:t>
      </w:r>
      <w:r w:rsidRPr="002071F1">
        <w:rPr>
          <w:rFonts w:ascii="Times New Roman" w:hAnsi="Times New Roman" w:cs="Times New Roman"/>
          <w:b/>
          <w:iCs/>
          <w:szCs w:val="21"/>
        </w:rPr>
        <w:t xml:space="preserve">during the cold treatment. </w:t>
      </w:r>
      <w:r w:rsidRPr="002071F1">
        <w:rPr>
          <w:rFonts w:ascii="Times New Roman" w:hAnsi="Times New Roman" w:cs="Times New Roman"/>
          <w:iCs/>
          <w:szCs w:val="21"/>
        </w:rPr>
        <w:t xml:space="preserve">Expression level is </w:t>
      </w:r>
      <w:r w:rsidRPr="002071F1">
        <w:rPr>
          <w:rFonts w:ascii="Times New Roman" w:hAnsi="Times New Roman" w:cs="Times New Roman"/>
          <w:szCs w:val="21"/>
        </w:rPr>
        <w:t>quantified by qRT-PCR.</w:t>
      </w:r>
      <w:r w:rsidRPr="002071F1">
        <w:rPr>
          <w:rFonts w:ascii="Times New Roman" w:hAnsi="Times New Roman" w:cs="Times New Roman" w:hint="eastAsia"/>
          <w:szCs w:val="21"/>
        </w:rPr>
        <w:t xml:space="preserve"> Both CL and EA35 are East Asian cucumbers, and both XIS77 and XIS49 are XIS cucumbers.</w:t>
      </w:r>
    </w:p>
    <w:p w14:paraId="0BE26728" w14:textId="77777777" w:rsidR="008F41BF" w:rsidRDefault="008F41BF" w:rsidP="008F41BF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0A691F6" wp14:editId="513A5A2A">
            <wp:extent cx="5274310" cy="6636385"/>
            <wp:effectExtent l="0" t="0" r="2540" b="0"/>
            <wp:docPr id="1715632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3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C22B5" w14:textId="77777777" w:rsidR="008F41BF" w:rsidRDefault="008F41BF" w:rsidP="008F41BF">
      <w:pPr>
        <w:jc w:val="left"/>
        <w:rPr>
          <w:rFonts w:ascii="Times New Roman" w:hAnsi="Times New Roman" w:cs="Times New Roman"/>
          <w:szCs w:val="21"/>
        </w:rPr>
      </w:pPr>
      <w:r w:rsidRPr="005C7556">
        <w:rPr>
          <w:rFonts w:ascii="Times New Roman" w:hAnsi="Times New Roman" w:cs="Times New Roman" w:hint="eastAsia"/>
          <w:b/>
          <w:bCs/>
          <w:szCs w:val="21"/>
        </w:rPr>
        <w:t>Fig. S</w:t>
      </w:r>
      <w:r w:rsidRPr="005C7556">
        <w:rPr>
          <w:rFonts w:ascii="Times New Roman" w:hAnsi="Times New Roman" w:cs="Times New Roman"/>
          <w:b/>
          <w:bCs/>
          <w:szCs w:val="21"/>
        </w:rPr>
        <w:t>5</w:t>
      </w:r>
      <w:r w:rsidRPr="005C7556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3A77D9">
        <w:rPr>
          <w:rFonts w:ascii="Times New Roman" w:hAnsi="Times New Roman" w:cs="Times New Roman"/>
          <w:b/>
          <w:szCs w:val="21"/>
        </w:rPr>
        <w:t>Domestication SV (dSV) regulate lipid metabolism genes.</w:t>
      </w:r>
      <w:r w:rsidRPr="003A77D9">
        <w:rPr>
          <w:rFonts w:ascii="Times New Roman" w:hAnsi="Times New Roman" w:cs="Times New Roman"/>
          <w:szCs w:val="21"/>
        </w:rPr>
        <w:t xml:space="preserve"> The difference in gene transcription is associated with SVs as demonstrated. SV and transcription level were vitalized by integrative genomics viewer (IGV).</w:t>
      </w:r>
    </w:p>
    <w:p w14:paraId="02322963" w14:textId="50DFB03C" w:rsidR="000D4074" w:rsidRPr="008F41BF" w:rsidRDefault="008F41BF" w:rsidP="008F41BF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6A1E841" wp14:editId="4C57EE23">
            <wp:extent cx="5274310" cy="6918325"/>
            <wp:effectExtent l="0" t="0" r="2540" b="0"/>
            <wp:docPr id="12880628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074" w:rsidRPr="008F41BF" w:rsidSect="007649C2">
      <w:footerReference w:type="default" r:id="rId1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1458374"/>
      <w:docPartObj>
        <w:docPartGallery w:val="Page Numbers (Bottom of Page)"/>
        <w:docPartUnique/>
      </w:docPartObj>
    </w:sdtPr>
    <w:sdtEndPr/>
    <w:sdtContent>
      <w:p w14:paraId="64579D76" w14:textId="77777777" w:rsidR="00FF5A5E" w:rsidRDefault="008F41B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14:paraId="1040B586" w14:textId="77777777" w:rsidR="00FF5A5E" w:rsidRDefault="008F41BF">
    <w:pPr>
      <w:pStyle w:val="Footer"/>
    </w:pPr>
  </w:p>
  <w:p w14:paraId="1D80A09C" w14:textId="77777777" w:rsidR="00FF5A5E" w:rsidRDefault="008F41BF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BF"/>
    <w:rsid w:val="000D4074"/>
    <w:rsid w:val="001E4B73"/>
    <w:rsid w:val="005314AC"/>
    <w:rsid w:val="008F41BF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DA83D"/>
  <w15:chartTrackingRefBased/>
  <w15:docId w15:val="{64F7636F-1697-4305-9E23-3D7FA500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B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41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F41BF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8F4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238</Words>
  <Characters>1359</Characters>
  <Application>Microsoft Office Word</Application>
  <DocSecurity>0</DocSecurity>
  <Lines>11</Lines>
  <Paragraphs>3</Paragraphs>
  <ScaleCrop>false</ScaleCrop>
  <Company>Springer Nature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2023-05-24T06:13:00Z</dcterms:created>
  <dcterms:modified xsi:type="dcterms:W3CDTF">2023-05-24T06:13:00Z</dcterms:modified>
</cp:coreProperties>
</file>