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982B8" w14:textId="648661AC" w:rsidR="005B10F6" w:rsidRDefault="005B10F6" w:rsidP="008E3099">
      <w:pPr>
        <w:rPr>
          <w:rFonts w:ascii="Times New Roman" w:hAnsi="Times New Roman" w:cs="Times New Roman"/>
          <w:lang w:val="en-US"/>
        </w:rPr>
      </w:pPr>
      <w:r w:rsidRPr="001E6456">
        <w:rPr>
          <w:rFonts w:ascii="Times New Roman" w:hAnsi="Times New Roman" w:cs="Times New Roman"/>
          <w:lang w:val="en-US"/>
        </w:rPr>
        <w:t xml:space="preserve">SUPPLEMENTARY </w:t>
      </w:r>
      <w:r w:rsidR="0042007C">
        <w:rPr>
          <w:rFonts w:ascii="Times New Roman" w:hAnsi="Times New Roman" w:cs="Times New Roman"/>
          <w:lang w:val="en-US"/>
        </w:rPr>
        <w:t>INFORMATION</w:t>
      </w:r>
    </w:p>
    <w:p w14:paraId="38299DB9" w14:textId="2F949767" w:rsidR="005B10F6" w:rsidRPr="001E6456" w:rsidRDefault="005B10F6" w:rsidP="008E3099">
      <w:pPr>
        <w:rPr>
          <w:lang w:val="en-US"/>
        </w:rPr>
      </w:pPr>
    </w:p>
    <w:p w14:paraId="16FADA42" w14:textId="77777777" w:rsidR="007B5B2D" w:rsidRDefault="007B5B2D" w:rsidP="008E3099">
      <w:pPr>
        <w:pStyle w:val="ListParagraph"/>
        <w:spacing w:line="360" w:lineRule="auto"/>
        <w:ind w:left="0"/>
        <w:rPr>
          <w:b/>
          <w:bCs/>
          <w:color w:val="000000" w:themeColor="text1"/>
          <w:sz w:val="22"/>
          <w:szCs w:val="22"/>
          <w:lang w:val="en-US"/>
        </w:rPr>
      </w:pPr>
    </w:p>
    <w:p w14:paraId="1C1F1E54" w14:textId="77691FEE" w:rsidR="008E3099" w:rsidRPr="008E3099" w:rsidRDefault="008E3099" w:rsidP="008E3099">
      <w:pPr>
        <w:pStyle w:val="ListParagraph"/>
        <w:spacing w:line="360" w:lineRule="auto"/>
        <w:ind w:left="0"/>
        <w:rPr>
          <w:b/>
          <w:bCs/>
          <w:color w:val="000000" w:themeColor="text1"/>
          <w:sz w:val="22"/>
          <w:szCs w:val="22"/>
          <w:lang w:val="en-US"/>
        </w:rPr>
      </w:pPr>
      <w:r w:rsidRPr="008E3099">
        <w:rPr>
          <w:b/>
          <w:bCs/>
          <w:color w:val="000000" w:themeColor="text1"/>
          <w:sz w:val="22"/>
          <w:szCs w:val="22"/>
          <w:lang w:val="en-US"/>
        </w:rPr>
        <w:t>Stratigraphy</w:t>
      </w:r>
    </w:p>
    <w:p w14:paraId="754A056C" w14:textId="77777777" w:rsidR="008E3099" w:rsidRDefault="008E3099" w:rsidP="008E3099">
      <w:pPr>
        <w:pStyle w:val="ListParagraph"/>
        <w:spacing w:line="360" w:lineRule="auto"/>
        <w:ind w:left="0"/>
        <w:rPr>
          <w:color w:val="000000" w:themeColor="text1"/>
          <w:sz w:val="22"/>
          <w:szCs w:val="22"/>
          <w:lang w:val="en-US"/>
        </w:rPr>
      </w:pPr>
    </w:p>
    <w:p w14:paraId="4381D4F3" w14:textId="458F0E29" w:rsidR="00271702" w:rsidRPr="00790A72" w:rsidRDefault="00271702" w:rsidP="008E3099">
      <w:pPr>
        <w:pStyle w:val="ListParagraph"/>
        <w:spacing w:line="360" w:lineRule="auto"/>
        <w:ind w:left="0"/>
        <w:rPr>
          <w:color w:val="000000" w:themeColor="text1"/>
          <w:sz w:val="22"/>
          <w:szCs w:val="22"/>
          <w:lang w:val="en-US"/>
        </w:rPr>
      </w:pPr>
      <w:r>
        <w:rPr>
          <w:color w:val="000000" w:themeColor="text1"/>
          <w:sz w:val="22"/>
          <w:szCs w:val="22"/>
          <w:lang w:val="en-US"/>
        </w:rPr>
        <w:t>Sand units</w:t>
      </w:r>
    </w:p>
    <w:p w14:paraId="66D34C4F" w14:textId="77777777" w:rsidR="00271702" w:rsidRPr="00790A72" w:rsidRDefault="00271702" w:rsidP="008E3099">
      <w:pPr>
        <w:pStyle w:val="ListParagraph"/>
        <w:spacing w:line="360" w:lineRule="auto"/>
        <w:ind w:left="0"/>
        <w:rPr>
          <w:color w:val="000000" w:themeColor="text1"/>
          <w:sz w:val="22"/>
          <w:szCs w:val="22"/>
          <w:highlight w:val="yellow"/>
          <w:lang w:val="en-US"/>
        </w:rPr>
      </w:pPr>
    </w:p>
    <w:p w14:paraId="53237154" w14:textId="77777777" w:rsidR="00271702" w:rsidRPr="00790A72" w:rsidRDefault="00271702" w:rsidP="008E3099">
      <w:pPr>
        <w:pStyle w:val="ListParagraph"/>
        <w:spacing w:line="360" w:lineRule="auto"/>
        <w:ind w:left="0"/>
        <w:rPr>
          <w:color w:val="000000" w:themeColor="text1"/>
          <w:sz w:val="22"/>
          <w:szCs w:val="22"/>
          <w:highlight w:val="yellow"/>
          <w:lang w:val="en-US"/>
        </w:rPr>
      </w:pPr>
      <w:r w:rsidRPr="00790A72">
        <w:rPr>
          <w:color w:val="000000" w:themeColor="text1"/>
          <w:sz w:val="22"/>
          <w:szCs w:val="22"/>
          <w:lang w:val="en-US"/>
        </w:rPr>
        <w:t>A1- site</w:t>
      </w:r>
    </w:p>
    <w:p w14:paraId="11BF7C4F" w14:textId="69132CE9" w:rsidR="00271702" w:rsidRPr="00790A72" w:rsidRDefault="00271702" w:rsidP="008E3099">
      <w:pPr>
        <w:spacing w:line="360" w:lineRule="auto"/>
        <w:rPr>
          <w:rFonts w:ascii="Times New Roman" w:hAnsi="Times New Roman" w:cs="Times New Roman"/>
          <w:color w:val="000000" w:themeColor="text1"/>
          <w:sz w:val="22"/>
          <w:szCs w:val="22"/>
          <w:lang w:val="en-US"/>
        </w:rPr>
      </w:pPr>
      <w:r w:rsidRPr="00790A72">
        <w:rPr>
          <w:rFonts w:ascii="Times New Roman" w:hAnsi="Times New Roman" w:cs="Times New Roman"/>
          <w:color w:val="000000" w:themeColor="text1"/>
          <w:sz w:val="22"/>
          <w:szCs w:val="22"/>
          <w:lang w:val="en-US"/>
        </w:rPr>
        <w:t>The three studied sites show clear stratigraphy and sand units with abrupt changes from the surface to the bottom. Slice A1 is 175 cm long, taken from an area about 1.5 m a</w:t>
      </w:r>
      <w:r w:rsidR="001E6456">
        <w:rPr>
          <w:rFonts w:ascii="Times New Roman" w:hAnsi="Times New Roman" w:cs="Times New Roman"/>
          <w:color w:val="000000" w:themeColor="text1"/>
          <w:sz w:val="22"/>
          <w:szCs w:val="22"/>
          <w:lang w:val="en-US"/>
        </w:rPr>
        <w:t xml:space="preserve">bove </w:t>
      </w:r>
      <w:r w:rsidRPr="00790A72">
        <w:rPr>
          <w:rFonts w:ascii="Times New Roman" w:hAnsi="Times New Roman" w:cs="Times New Roman"/>
          <w:color w:val="000000" w:themeColor="text1"/>
          <w:sz w:val="22"/>
          <w:szCs w:val="22"/>
          <w:lang w:val="en-US"/>
        </w:rPr>
        <w:t>m</w:t>
      </w:r>
      <w:r w:rsidR="001E6456">
        <w:rPr>
          <w:rFonts w:ascii="Times New Roman" w:hAnsi="Times New Roman" w:cs="Times New Roman"/>
          <w:color w:val="000000" w:themeColor="text1"/>
          <w:sz w:val="22"/>
          <w:szCs w:val="22"/>
          <w:lang w:val="en-US"/>
        </w:rPr>
        <w:t xml:space="preserve">ean </w:t>
      </w:r>
      <w:r w:rsidRPr="00790A72">
        <w:rPr>
          <w:rFonts w:ascii="Times New Roman" w:hAnsi="Times New Roman" w:cs="Times New Roman"/>
          <w:color w:val="000000" w:themeColor="text1"/>
          <w:sz w:val="22"/>
          <w:szCs w:val="22"/>
          <w:lang w:val="en-US"/>
        </w:rPr>
        <w:t>s</w:t>
      </w:r>
      <w:r w:rsidR="001E6456">
        <w:rPr>
          <w:rFonts w:ascii="Times New Roman" w:hAnsi="Times New Roman" w:cs="Times New Roman"/>
          <w:color w:val="000000" w:themeColor="text1"/>
          <w:sz w:val="22"/>
          <w:szCs w:val="22"/>
          <w:lang w:val="en-US"/>
        </w:rPr>
        <w:t xml:space="preserve">ea </w:t>
      </w:r>
      <w:r w:rsidRPr="00790A72">
        <w:rPr>
          <w:rFonts w:ascii="Times New Roman" w:hAnsi="Times New Roman" w:cs="Times New Roman"/>
          <w:color w:val="000000" w:themeColor="text1"/>
          <w:sz w:val="22"/>
          <w:szCs w:val="22"/>
          <w:lang w:val="en-US"/>
        </w:rPr>
        <w:t>l</w:t>
      </w:r>
      <w:r w:rsidR="001E6456">
        <w:rPr>
          <w:rFonts w:ascii="Times New Roman" w:hAnsi="Times New Roman" w:cs="Times New Roman"/>
          <w:color w:val="000000" w:themeColor="text1"/>
          <w:sz w:val="22"/>
          <w:szCs w:val="22"/>
          <w:lang w:val="en-US"/>
        </w:rPr>
        <w:t>evel</w:t>
      </w:r>
      <w:r w:rsidRPr="00790A72">
        <w:rPr>
          <w:rFonts w:ascii="Times New Roman" w:hAnsi="Times New Roman" w:cs="Times New Roman"/>
          <w:color w:val="000000" w:themeColor="text1"/>
          <w:sz w:val="22"/>
          <w:szCs w:val="22"/>
          <w:lang w:val="en-US"/>
        </w:rPr>
        <w:t xml:space="preserve">. It shows brown fine sand ( 2.4 </w:t>
      </w:r>
      <w:r w:rsidRPr="00790A72">
        <w:rPr>
          <w:rFonts w:ascii="Times New Roman" w:hAnsi="Times New Roman" w:cs="Times New Roman"/>
          <w:color w:val="000000" w:themeColor="text1"/>
          <w:sz w:val="22"/>
          <w:szCs w:val="22"/>
          <w:lang w:val="en-US"/>
        </w:rPr>
        <w:sym w:font="Symbol" w:char="F066"/>
      </w:r>
      <w:r w:rsidRPr="00790A72">
        <w:rPr>
          <w:rFonts w:ascii="Times New Roman" w:hAnsi="Times New Roman" w:cs="Times New Roman"/>
          <w:color w:val="000000" w:themeColor="text1"/>
          <w:sz w:val="22"/>
          <w:szCs w:val="22"/>
          <w:lang w:val="en-US"/>
        </w:rPr>
        <w:t xml:space="preserve">) grading to silt (6.3 </w:t>
      </w:r>
      <w:r w:rsidRPr="00790A72">
        <w:rPr>
          <w:rFonts w:ascii="Times New Roman" w:hAnsi="Times New Roman" w:cs="Times New Roman"/>
          <w:color w:val="000000" w:themeColor="text1"/>
          <w:sz w:val="22"/>
          <w:szCs w:val="22"/>
          <w:lang w:val="en-US"/>
        </w:rPr>
        <w:sym w:font="Symbol" w:char="F066"/>
      </w:r>
      <w:r w:rsidRPr="00790A72">
        <w:rPr>
          <w:rFonts w:ascii="Times New Roman" w:hAnsi="Times New Roman" w:cs="Times New Roman"/>
          <w:color w:val="000000" w:themeColor="text1"/>
          <w:sz w:val="22"/>
          <w:szCs w:val="22"/>
          <w:lang w:val="en-US"/>
        </w:rPr>
        <w:t>), i.e., a sand dominated unit at 16 to 21 cm - Unit 2 (Fig. 2</w:t>
      </w:r>
      <w:r w:rsidRPr="004F0050">
        <w:rPr>
          <w:rFonts w:ascii="Times New Roman" w:hAnsi="Times New Roman" w:cs="Times New Roman"/>
          <w:color w:val="000000" w:themeColor="text1"/>
          <w:sz w:val="22"/>
          <w:szCs w:val="22"/>
          <w:lang w:val="en-US"/>
        </w:rPr>
        <w:t>,</w:t>
      </w:r>
      <w:r w:rsidRPr="00790A72">
        <w:rPr>
          <w:rFonts w:ascii="Times New Roman" w:hAnsi="Times New Roman" w:cs="Times New Roman"/>
          <w:color w:val="000000" w:themeColor="text1"/>
          <w:sz w:val="22"/>
          <w:szCs w:val="22"/>
          <w:lang w:val="en-US"/>
        </w:rPr>
        <w:t xml:space="preserve"> Supplementary Fig. S2 ). This sand unit is poorly sorted, suggesting high energy conditions, and shows a sharp basal contact with the unit below, composed of clayish silt with woody plants. A second sand unit, grayish brown, shows medium (1.8 to 1.9 </w:t>
      </w:r>
      <w:r w:rsidRPr="00790A72">
        <w:rPr>
          <w:rFonts w:ascii="Times New Roman" w:hAnsi="Times New Roman" w:cs="Times New Roman"/>
          <w:color w:val="000000" w:themeColor="text1"/>
          <w:sz w:val="22"/>
          <w:szCs w:val="22"/>
          <w:lang w:val="en-US"/>
        </w:rPr>
        <w:sym w:font="Symbol" w:char="F066"/>
      </w:r>
      <w:r w:rsidRPr="00790A72">
        <w:rPr>
          <w:rFonts w:ascii="Times New Roman" w:hAnsi="Times New Roman" w:cs="Times New Roman"/>
          <w:color w:val="000000" w:themeColor="text1"/>
          <w:sz w:val="22"/>
          <w:szCs w:val="22"/>
          <w:lang w:val="en-US"/>
        </w:rPr>
        <w:t xml:space="preserve">) well-sorted (0.4 </w:t>
      </w:r>
      <w:r w:rsidRPr="00790A72">
        <w:rPr>
          <w:rFonts w:ascii="Times New Roman" w:hAnsi="Times New Roman" w:cs="Times New Roman"/>
          <w:i/>
          <w:iCs/>
          <w:color w:val="000000" w:themeColor="text1"/>
          <w:sz w:val="22"/>
          <w:szCs w:val="22"/>
        </w:rPr>
        <w:t>σ</w:t>
      </w:r>
      <w:r w:rsidRPr="00790A72">
        <w:rPr>
          <w:rFonts w:ascii="Times New Roman" w:hAnsi="Times New Roman" w:cs="Times New Roman"/>
          <w:i/>
          <w:iCs/>
          <w:color w:val="000000" w:themeColor="text1"/>
          <w:sz w:val="22"/>
          <w:szCs w:val="22"/>
          <w:vertAlign w:val="subscript"/>
          <w:lang w:val="en-US"/>
        </w:rPr>
        <w:t>I</w:t>
      </w:r>
      <w:r w:rsidRPr="00790A72">
        <w:rPr>
          <w:rFonts w:ascii="Times New Roman" w:hAnsi="Times New Roman" w:cs="Times New Roman"/>
          <w:color w:val="000000" w:themeColor="text1"/>
          <w:sz w:val="22"/>
          <w:szCs w:val="22"/>
          <w:lang w:val="en-US"/>
        </w:rPr>
        <w:t xml:space="preserve"> </w:t>
      </w:r>
      <w:r w:rsidRPr="00790A72">
        <w:rPr>
          <w:rFonts w:ascii="Times New Roman" w:hAnsi="Times New Roman" w:cs="Times New Roman"/>
          <w:color w:val="000000" w:themeColor="text1"/>
          <w:sz w:val="22"/>
          <w:szCs w:val="22"/>
          <w:lang w:val="en-US"/>
        </w:rPr>
        <w:sym w:font="Symbol" w:char="F066"/>
      </w:r>
      <w:r w:rsidRPr="00790A72">
        <w:rPr>
          <w:rFonts w:ascii="Times New Roman" w:hAnsi="Times New Roman" w:cs="Times New Roman"/>
          <w:color w:val="000000" w:themeColor="text1"/>
          <w:sz w:val="22"/>
          <w:szCs w:val="22"/>
          <w:lang w:val="en-US"/>
        </w:rPr>
        <w:t xml:space="preserve">) sand at 57 to 64 cm – Unit 3, with flame structures at the sharp basal contact. Further down, 75 to 78 cm depth – Unit 4, a pale brown medium to fine sand (2.2 to 2.4 </w:t>
      </w:r>
      <w:r w:rsidRPr="00790A72">
        <w:rPr>
          <w:rFonts w:ascii="Times New Roman" w:hAnsi="Times New Roman" w:cs="Times New Roman"/>
          <w:color w:val="000000" w:themeColor="text1"/>
          <w:sz w:val="22"/>
          <w:szCs w:val="22"/>
          <w:lang w:val="en-US"/>
        </w:rPr>
        <w:sym w:font="Symbol" w:char="F066"/>
      </w:r>
      <w:r w:rsidRPr="00790A72">
        <w:rPr>
          <w:rFonts w:ascii="Times New Roman" w:hAnsi="Times New Roman" w:cs="Times New Roman"/>
          <w:color w:val="000000" w:themeColor="text1"/>
          <w:sz w:val="22"/>
          <w:szCs w:val="22"/>
          <w:lang w:val="en-US"/>
        </w:rPr>
        <w:t xml:space="preserve">), moderately to poorly sorted (0.7 to 1.4 </w:t>
      </w:r>
      <w:r w:rsidRPr="00790A72">
        <w:rPr>
          <w:rFonts w:ascii="Times New Roman" w:hAnsi="Times New Roman" w:cs="Times New Roman"/>
          <w:i/>
          <w:iCs/>
          <w:color w:val="000000" w:themeColor="text1"/>
          <w:sz w:val="22"/>
          <w:szCs w:val="22"/>
        </w:rPr>
        <w:t xml:space="preserve"> σ</w:t>
      </w:r>
      <w:r w:rsidRPr="00790A72">
        <w:rPr>
          <w:rFonts w:ascii="Times New Roman" w:hAnsi="Times New Roman" w:cs="Times New Roman"/>
          <w:i/>
          <w:iCs/>
          <w:color w:val="000000" w:themeColor="text1"/>
          <w:sz w:val="22"/>
          <w:szCs w:val="22"/>
          <w:vertAlign w:val="subscript"/>
          <w:lang w:val="en-US"/>
        </w:rPr>
        <w:t>I</w:t>
      </w:r>
      <w:r w:rsidRPr="00790A72">
        <w:rPr>
          <w:rFonts w:ascii="Times New Roman" w:hAnsi="Times New Roman" w:cs="Times New Roman"/>
          <w:color w:val="000000" w:themeColor="text1"/>
          <w:sz w:val="22"/>
          <w:szCs w:val="22"/>
          <w:lang w:val="en-US"/>
        </w:rPr>
        <w:t xml:space="preserve"> </w:t>
      </w:r>
      <w:r w:rsidRPr="00790A72">
        <w:rPr>
          <w:rFonts w:ascii="Times New Roman" w:hAnsi="Times New Roman" w:cs="Times New Roman"/>
          <w:color w:val="000000" w:themeColor="text1"/>
          <w:sz w:val="22"/>
          <w:szCs w:val="22"/>
          <w:lang w:val="en-US"/>
        </w:rPr>
        <w:sym w:font="Symbol" w:char="F066"/>
      </w:r>
      <w:r w:rsidRPr="00790A72">
        <w:rPr>
          <w:rFonts w:ascii="Times New Roman" w:hAnsi="Times New Roman" w:cs="Times New Roman"/>
          <w:color w:val="000000" w:themeColor="text1"/>
          <w:sz w:val="22"/>
          <w:szCs w:val="22"/>
          <w:lang w:val="en-US"/>
        </w:rPr>
        <w:t>) with some shell fragments, shows a sharp basal contact with black sandy silt below. Towards the bottom of the slice, at 128 to 130 cm (Unit 5), a deformed sand unit composed of medium to coarse sand with sell fragments shows a sharp basal contact with the unit below.</w:t>
      </w:r>
    </w:p>
    <w:p w14:paraId="7A109F8A" w14:textId="77777777" w:rsidR="00271702" w:rsidRPr="00790A72" w:rsidRDefault="00271702" w:rsidP="008E3099">
      <w:pPr>
        <w:pStyle w:val="ListParagraph"/>
        <w:spacing w:line="360" w:lineRule="auto"/>
        <w:ind w:left="0"/>
        <w:rPr>
          <w:color w:val="000000" w:themeColor="text1"/>
          <w:sz w:val="22"/>
          <w:szCs w:val="22"/>
          <w:lang w:val="en-US"/>
        </w:rPr>
      </w:pPr>
    </w:p>
    <w:p w14:paraId="6AC55DDA" w14:textId="77777777" w:rsidR="00271702" w:rsidRPr="00790A72" w:rsidRDefault="00271702" w:rsidP="008E3099">
      <w:pPr>
        <w:pStyle w:val="ListParagraph"/>
        <w:spacing w:line="360" w:lineRule="auto"/>
        <w:ind w:left="0"/>
        <w:rPr>
          <w:color w:val="000000" w:themeColor="text1"/>
          <w:sz w:val="22"/>
          <w:szCs w:val="22"/>
          <w:highlight w:val="yellow"/>
          <w:lang w:val="en-US"/>
        </w:rPr>
      </w:pPr>
      <w:r w:rsidRPr="00790A72">
        <w:rPr>
          <w:color w:val="000000" w:themeColor="text1"/>
          <w:sz w:val="22"/>
          <w:szCs w:val="22"/>
          <w:lang w:val="en-US"/>
        </w:rPr>
        <w:t>A2 - site</w:t>
      </w:r>
    </w:p>
    <w:p w14:paraId="30AE639D" w14:textId="30408C97" w:rsidR="00271702" w:rsidRPr="00790A72" w:rsidRDefault="00271702" w:rsidP="008E3099">
      <w:pPr>
        <w:pStyle w:val="ListParagraph"/>
        <w:spacing w:line="360" w:lineRule="auto"/>
        <w:ind w:left="0"/>
        <w:rPr>
          <w:color w:val="000000" w:themeColor="text1"/>
          <w:sz w:val="22"/>
          <w:szCs w:val="22"/>
          <w:lang w:val="en-US"/>
        </w:rPr>
      </w:pPr>
      <w:r w:rsidRPr="00790A72">
        <w:rPr>
          <w:color w:val="000000" w:themeColor="text1"/>
          <w:sz w:val="22"/>
          <w:szCs w:val="22"/>
          <w:lang w:val="en-US"/>
        </w:rPr>
        <w:t>We opened a pit at site A2 to explore and recover samples for OSL dating. This pit was slightly higher up of A1</w:t>
      </w:r>
      <w:r w:rsidR="00FB0FF0">
        <w:rPr>
          <w:color w:val="000000" w:themeColor="text1"/>
          <w:sz w:val="22"/>
          <w:szCs w:val="22"/>
          <w:lang w:val="en-US"/>
        </w:rPr>
        <w:t xml:space="preserve"> </w:t>
      </w:r>
      <w:r w:rsidRPr="00790A72">
        <w:rPr>
          <w:color w:val="000000" w:themeColor="text1"/>
          <w:sz w:val="22"/>
          <w:szCs w:val="22"/>
          <w:lang w:val="en-US"/>
        </w:rPr>
        <w:t>to avoid ground water to fill the pit. A2, 90 cm long, shows a brown to yellowish sand unit at 13 to 20 cm – Unit 1, with a sharp basal contact (Fig. 2). A light brown to yellow medium sand second unit, is massive with charcoal, at 23-34 cm depth – Unit 2, and shows a basal abrupt contact with a brown clay unit below. A third sandy unit shows greyish brown medium sand at 80 – 90 cm – Unit 3, however the contact with the unit below is unclear in this pit because groundwater filled the pit at that level.</w:t>
      </w:r>
    </w:p>
    <w:p w14:paraId="2D305BC6" w14:textId="77777777" w:rsidR="00271702" w:rsidRPr="00790A72" w:rsidRDefault="00271702" w:rsidP="008E3099">
      <w:pPr>
        <w:pStyle w:val="ListParagraph"/>
        <w:spacing w:line="360" w:lineRule="auto"/>
        <w:ind w:left="0"/>
        <w:rPr>
          <w:color w:val="000000" w:themeColor="text1"/>
          <w:sz w:val="22"/>
          <w:szCs w:val="22"/>
          <w:lang w:val="en-US"/>
        </w:rPr>
      </w:pPr>
    </w:p>
    <w:p w14:paraId="333D7753" w14:textId="499CC25B" w:rsidR="00271702" w:rsidRPr="008E3099" w:rsidRDefault="00271702" w:rsidP="008E3099">
      <w:pPr>
        <w:pStyle w:val="ListParagraph"/>
        <w:spacing w:line="360" w:lineRule="auto"/>
        <w:ind w:left="0"/>
        <w:rPr>
          <w:b/>
          <w:bCs/>
          <w:color w:val="000000" w:themeColor="text1"/>
          <w:sz w:val="22"/>
          <w:szCs w:val="22"/>
          <w:lang w:val="en-US"/>
        </w:rPr>
      </w:pPr>
      <w:r w:rsidRPr="008E3099">
        <w:rPr>
          <w:b/>
          <w:bCs/>
          <w:color w:val="000000" w:themeColor="text1"/>
          <w:sz w:val="22"/>
          <w:szCs w:val="22"/>
          <w:lang w:val="en-US"/>
        </w:rPr>
        <w:t>Diatom</w:t>
      </w:r>
      <w:r w:rsidR="008E3099" w:rsidRPr="008E3099">
        <w:rPr>
          <w:b/>
          <w:bCs/>
          <w:color w:val="000000" w:themeColor="text1"/>
          <w:sz w:val="22"/>
          <w:szCs w:val="22"/>
          <w:lang w:val="en-US"/>
        </w:rPr>
        <w:t xml:space="preserve"> analysis results</w:t>
      </w:r>
    </w:p>
    <w:p w14:paraId="1DD8FD6B" w14:textId="77777777" w:rsidR="008E3099" w:rsidRPr="00790A72" w:rsidRDefault="008E3099" w:rsidP="008E3099">
      <w:pPr>
        <w:pStyle w:val="ListParagraph"/>
        <w:spacing w:line="360" w:lineRule="auto"/>
        <w:ind w:left="0"/>
        <w:rPr>
          <w:color w:val="000000" w:themeColor="text1"/>
          <w:sz w:val="22"/>
          <w:szCs w:val="22"/>
          <w:lang w:val="en-US"/>
        </w:rPr>
      </w:pPr>
    </w:p>
    <w:p w14:paraId="58176E10" w14:textId="350C0C0F" w:rsidR="00271702" w:rsidRPr="00790A72" w:rsidRDefault="00271702" w:rsidP="008E3099">
      <w:pPr>
        <w:pStyle w:val="ListParagraph"/>
        <w:spacing w:line="360" w:lineRule="auto"/>
        <w:ind w:left="0"/>
        <w:rPr>
          <w:color w:val="000000" w:themeColor="text1"/>
          <w:sz w:val="22"/>
          <w:szCs w:val="22"/>
          <w:lang w:val="en-US"/>
        </w:rPr>
      </w:pPr>
      <w:r w:rsidRPr="00790A72">
        <w:rPr>
          <w:color w:val="000000" w:themeColor="text1"/>
          <w:sz w:val="22"/>
          <w:szCs w:val="22"/>
          <w:lang w:val="en-US"/>
        </w:rPr>
        <w:t>Diatom counts were performed on 46 samples taken from different horizons of slice at site A1 (Fig. 3), suggesting variations in environments, and salinity preference over time. Differences in salinity preference imply three marine inundation events over time. Because diatoms were sometimes not so well preserved and scarce, we used a new procedure for their analysis</w:t>
      </w:r>
      <w:r w:rsidRPr="00790A72">
        <w:rPr>
          <w:color w:val="000000" w:themeColor="text1"/>
          <w:sz w:val="22"/>
          <w:szCs w:val="22"/>
          <w:vertAlign w:val="superscript"/>
          <w:lang w:val="en-US"/>
        </w:rPr>
        <w:t>1</w:t>
      </w:r>
      <w:r w:rsidR="00FB0FF0">
        <w:rPr>
          <w:color w:val="000000" w:themeColor="text1"/>
          <w:sz w:val="22"/>
          <w:szCs w:val="22"/>
          <w:vertAlign w:val="superscript"/>
          <w:lang w:val="en-US"/>
        </w:rPr>
        <w:t>4</w:t>
      </w:r>
      <w:r w:rsidRPr="00790A72">
        <w:rPr>
          <w:color w:val="000000" w:themeColor="text1"/>
          <w:sz w:val="22"/>
          <w:szCs w:val="22"/>
          <w:lang w:val="en-US"/>
        </w:rPr>
        <w:t xml:space="preserve">. Here we describe the three sand units </w:t>
      </w:r>
      <w:r w:rsidRPr="00790A72">
        <w:rPr>
          <w:color w:val="000000" w:themeColor="text1"/>
          <w:sz w:val="22"/>
          <w:szCs w:val="22"/>
          <w:lang w:val="en-US"/>
        </w:rPr>
        <w:lastRenderedPageBreak/>
        <w:t xml:space="preserve">and units below and above them. The upper sand unit, Unit 2, contained aerophilic, freshwater, marine and abundant brackish diatoms. Species present included </w:t>
      </w:r>
      <w:r w:rsidRPr="00790A72">
        <w:rPr>
          <w:i/>
          <w:iCs/>
          <w:color w:val="000000" w:themeColor="text1"/>
          <w:sz w:val="22"/>
          <w:szCs w:val="22"/>
          <w:lang w:val="en-US"/>
        </w:rPr>
        <w:t xml:space="preserve">Caloneis westii </w:t>
      </w:r>
      <w:r w:rsidRPr="00790A72">
        <w:rPr>
          <w:iCs/>
          <w:color w:val="000000" w:themeColor="text1"/>
          <w:sz w:val="22"/>
          <w:szCs w:val="22"/>
          <w:lang w:val="en-US"/>
        </w:rPr>
        <w:t>(</w:t>
      </w:r>
      <w:r w:rsidRPr="00790A72">
        <w:rPr>
          <w:color w:val="000000" w:themeColor="text1"/>
          <w:sz w:val="22"/>
          <w:szCs w:val="22"/>
          <w:lang w:val="en-US"/>
        </w:rPr>
        <w:t xml:space="preserve">benthic diatom from coastal waters), </w:t>
      </w:r>
      <w:r w:rsidRPr="00790A72">
        <w:rPr>
          <w:i/>
          <w:iCs/>
          <w:color w:val="000000" w:themeColor="text1"/>
          <w:sz w:val="22"/>
          <w:szCs w:val="22"/>
          <w:lang w:val="en-US"/>
        </w:rPr>
        <w:t>Navicula directa</w:t>
      </w:r>
      <w:r w:rsidRPr="00790A72">
        <w:rPr>
          <w:iCs/>
          <w:color w:val="000000" w:themeColor="text1"/>
          <w:sz w:val="22"/>
          <w:szCs w:val="22"/>
          <w:lang w:val="en-US"/>
        </w:rPr>
        <w:t xml:space="preserve"> (</w:t>
      </w:r>
      <w:r w:rsidRPr="00790A72">
        <w:rPr>
          <w:color w:val="000000" w:themeColor="text1"/>
          <w:sz w:val="22"/>
          <w:szCs w:val="22"/>
          <w:lang w:val="en-US"/>
        </w:rPr>
        <w:t xml:space="preserve">plankton on the coast of Guerrero), and </w:t>
      </w:r>
      <w:r w:rsidRPr="00790A72">
        <w:rPr>
          <w:i/>
          <w:iCs/>
          <w:color w:val="000000" w:themeColor="text1"/>
          <w:sz w:val="22"/>
          <w:szCs w:val="22"/>
          <w:lang w:val="en-US"/>
        </w:rPr>
        <w:t>Paralia sulcata</w:t>
      </w:r>
      <w:r w:rsidRPr="00790A72">
        <w:rPr>
          <w:iCs/>
          <w:color w:val="000000" w:themeColor="text1"/>
          <w:sz w:val="22"/>
          <w:szCs w:val="22"/>
          <w:lang w:val="en-US"/>
        </w:rPr>
        <w:t xml:space="preserve"> (</w:t>
      </w:r>
      <w:r w:rsidRPr="00790A72">
        <w:rPr>
          <w:color w:val="000000" w:themeColor="text1"/>
          <w:sz w:val="22"/>
          <w:szCs w:val="22"/>
          <w:lang w:val="en-US"/>
        </w:rPr>
        <w:t xml:space="preserve">plankton and benthos of coastal environments). The most abundant were brackish environment species represented by </w:t>
      </w:r>
      <w:r w:rsidRPr="00790A72">
        <w:rPr>
          <w:i/>
          <w:iCs/>
          <w:color w:val="000000" w:themeColor="text1"/>
          <w:sz w:val="22"/>
          <w:szCs w:val="22"/>
          <w:lang w:val="en-US"/>
        </w:rPr>
        <w:t>Nitzchia clausii</w:t>
      </w:r>
      <w:r w:rsidRPr="00790A72">
        <w:rPr>
          <w:color w:val="000000" w:themeColor="text1"/>
          <w:sz w:val="22"/>
          <w:szCs w:val="22"/>
          <w:lang w:val="en-US"/>
        </w:rPr>
        <w:t xml:space="preserve">, </w:t>
      </w:r>
      <w:r w:rsidRPr="00790A72">
        <w:rPr>
          <w:i/>
          <w:iCs/>
          <w:color w:val="000000" w:themeColor="text1"/>
          <w:sz w:val="22"/>
          <w:szCs w:val="22"/>
          <w:lang w:val="en-US"/>
        </w:rPr>
        <w:t>N. incognita</w:t>
      </w:r>
      <w:r w:rsidRPr="00790A72">
        <w:rPr>
          <w:color w:val="000000" w:themeColor="text1"/>
          <w:sz w:val="22"/>
          <w:szCs w:val="22"/>
          <w:lang w:val="en-US"/>
        </w:rPr>
        <w:t xml:space="preserve">, </w:t>
      </w:r>
      <w:r w:rsidRPr="00790A72">
        <w:rPr>
          <w:i/>
          <w:iCs/>
          <w:color w:val="000000" w:themeColor="text1"/>
          <w:sz w:val="22"/>
          <w:szCs w:val="22"/>
          <w:lang w:val="en-US"/>
        </w:rPr>
        <w:t>N. levidensis</w:t>
      </w:r>
      <w:r w:rsidRPr="00790A72">
        <w:rPr>
          <w:color w:val="000000" w:themeColor="text1"/>
          <w:sz w:val="22"/>
          <w:szCs w:val="22"/>
          <w:lang w:val="en-US"/>
        </w:rPr>
        <w:t xml:space="preserve">, </w:t>
      </w:r>
      <w:r w:rsidRPr="00790A72">
        <w:rPr>
          <w:i/>
          <w:iCs/>
          <w:color w:val="000000" w:themeColor="text1"/>
          <w:sz w:val="22"/>
          <w:szCs w:val="22"/>
          <w:lang w:val="en-US"/>
        </w:rPr>
        <w:t>N. recta</w:t>
      </w:r>
      <w:r w:rsidRPr="00790A72">
        <w:rPr>
          <w:color w:val="000000" w:themeColor="text1"/>
          <w:sz w:val="22"/>
          <w:szCs w:val="22"/>
          <w:lang w:val="en-US"/>
        </w:rPr>
        <w:t xml:space="preserve"> and </w:t>
      </w:r>
      <w:r w:rsidRPr="00790A72">
        <w:rPr>
          <w:i/>
          <w:iCs/>
          <w:color w:val="000000" w:themeColor="text1"/>
          <w:sz w:val="22"/>
          <w:szCs w:val="22"/>
          <w:lang w:val="en-US"/>
        </w:rPr>
        <w:t>N. scalaris</w:t>
      </w:r>
      <w:r w:rsidRPr="00790A72">
        <w:rPr>
          <w:color w:val="000000" w:themeColor="text1"/>
          <w:sz w:val="22"/>
          <w:szCs w:val="22"/>
          <w:lang w:val="en-US"/>
        </w:rPr>
        <w:t xml:space="preserve">. Unit 3 shows a similar diatom content as the one described above, with the presence of the same marine species and </w:t>
      </w:r>
      <w:r w:rsidRPr="00790A72">
        <w:rPr>
          <w:i/>
          <w:iCs/>
          <w:color w:val="000000" w:themeColor="text1"/>
          <w:sz w:val="22"/>
          <w:szCs w:val="22"/>
          <w:lang w:val="en-US"/>
        </w:rPr>
        <w:t>Thalassionema nitzchioides</w:t>
      </w:r>
      <w:r w:rsidRPr="00790A72">
        <w:rPr>
          <w:color w:val="000000" w:themeColor="text1"/>
          <w:sz w:val="22"/>
          <w:szCs w:val="22"/>
          <w:lang w:val="en-US"/>
        </w:rPr>
        <w:t xml:space="preserve">, distributed mainly in subtropical and temperate marine waters, and abundant brackish diatoms with the same species described above and </w:t>
      </w:r>
      <w:r w:rsidRPr="00790A72">
        <w:rPr>
          <w:i/>
          <w:iCs/>
          <w:color w:val="000000" w:themeColor="text1"/>
          <w:sz w:val="22"/>
          <w:szCs w:val="22"/>
          <w:lang w:val="en-US"/>
        </w:rPr>
        <w:t>Navicula cincta</w:t>
      </w:r>
      <w:r w:rsidRPr="00790A72">
        <w:rPr>
          <w:color w:val="000000" w:themeColor="text1"/>
          <w:sz w:val="22"/>
          <w:szCs w:val="22"/>
          <w:lang w:val="en-US"/>
        </w:rPr>
        <w:t xml:space="preserve">, </w:t>
      </w:r>
      <w:r w:rsidRPr="00790A72">
        <w:rPr>
          <w:i/>
          <w:iCs/>
          <w:color w:val="000000" w:themeColor="text1"/>
          <w:sz w:val="22"/>
          <w:szCs w:val="22"/>
          <w:lang w:val="en-US"/>
        </w:rPr>
        <w:t>N. streckerae</w:t>
      </w:r>
      <w:r w:rsidRPr="00790A72">
        <w:rPr>
          <w:color w:val="000000" w:themeColor="text1"/>
          <w:sz w:val="22"/>
          <w:szCs w:val="22"/>
          <w:lang w:val="en-US"/>
        </w:rPr>
        <w:t xml:space="preserve">, </w:t>
      </w:r>
      <w:r w:rsidRPr="00790A72">
        <w:rPr>
          <w:i/>
          <w:iCs/>
          <w:color w:val="000000" w:themeColor="text1"/>
          <w:sz w:val="22"/>
          <w:szCs w:val="22"/>
          <w:lang w:val="en-US"/>
        </w:rPr>
        <w:t>N. veneta</w:t>
      </w:r>
      <w:r w:rsidRPr="00790A72">
        <w:rPr>
          <w:color w:val="000000" w:themeColor="text1"/>
          <w:sz w:val="22"/>
          <w:szCs w:val="22"/>
          <w:lang w:val="en-US"/>
        </w:rPr>
        <w:t xml:space="preserve">, </w:t>
      </w:r>
      <w:r w:rsidRPr="00790A72">
        <w:rPr>
          <w:i/>
          <w:iCs/>
          <w:color w:val="000000" w:themeColor="text1"/>
          <w:sz w:val="22"/>
          <w:szCs w:val="22"/>
          <w:lang w:val="en-US"/>
        </w:rPr>
        <w:t>Halamphora coffaeformis</w:t>
      </w:r>
      <w:r w:rsidRPr="00790A72">
        <w:rPr>
          <w:color w:val="000000" w:themeColor="text1"/>
          <w:sz w:val="22"/>
          <w:szCs w:val="22"/>
          <w:lang w:val="en-US"/>
        </w:rPr>
        <w:t xml:space="preserve">, and </w:t>
      </w:r>
      <w:r w:rsidRPr="00790A72">
        <w:rPr>
          <w:i/>
          <w:iCs/>
          <w:color w:val="000000" w:themeColor="text1"/>
          <w:sz w:val="22"/>
          <w:szCs w:val="22"/>
          <w:lang w:val="en-US"/>
        </w:rPr>
        <w:t>H. holsatica</w:t>
      </w:r>
      <w:r w:rsidRPr="00790A72">
        <w:rPr>
          <w:color w:val="000000" w:themeColor="text1"/>
          <w:sz w:val="22"/>
          <w:szCs w:val="22"/>
          <w:lang w:val="en-US"/>
        </w:rPr>
        <w:t xml:space="preserve"> (Fig. 3). Finally, Unit 4, contained less preserved number of diatoms of which, the most abundant species were brackish and marine diatoms. </w:t>
      </w:r>
    </w:p>
    <w:p w14:paraId="15E63D86" w14:textId="77777777" w:rsidR="00271702" w:rsidRPr="00790A72" w:rsidRDefault="00271702" w:rsidP="008E3099">
      <w:pPr>
        <w:pStyle w:val="ListParagraph"/>
        <w:spacing w:line="360" w:lineRule="auto"/>
        <w:ind w:left="0"/>
        <w:rPr>
          <w:color w:val="000000" w:themeColor="text1"/>
          <w:sz w:val="22"/>
          <w:szCs w:val="22"/>
          <w:lang w:val="en-US"/>
        </w:rPr>
      </w:pPr>
    </w:p>
    <w:p w14:paraId="3CD2EBC3" w14:textId="77777777" w:rsidR="00271702" w:rsidRPr="008E3099" w:rsidRDefault="00271702" w:rsidP="008E3099">
      <w:pPr>
        <w:pStyle w:val="ListParagraph"/>
        <w:spacing w:line="360" w:lineRule="auto"/>
        <w:ind w:left="0"/>
        <w:rPr>
          <w:b/>
          <w:bCs/>
          <w:color w:val="000000" w:themeColor="text1"/>
          <w:sz w:val="22"/>
          <w:szCs w:val="22"/>
          <w:lang w:val="en-US"/>
        </w:rPr>
      </w:pPr>
      <w:r w:rsidRPr="008E3099">
        <w:rPr>
          <w:b/>
          <w:bCs/>
          <w:color w:val="000000" w:themeColor="text1"/>
          <w:sz w:val="22"/>
          <w:szCs w:val="22"/>
          <w:lang w:val="en-US"/>
        </w:rPr>
        <w:t>Elemental composition</w:t>
      </w:r>
    </w:p>
    <w:p w14:paraId="02AB6685" w14:textId="77777777" w:rsidR="00271702" w:rsidRPr="00790A72" w:rsidRDefault="00271702" w:rsidP="008E3099">
      <w:pPr>
        <w:pStyle w:val="ListParagraph"/>
        <w:spacing w:line="360" w:lineRule="auto"/>
        <w:ind w:left="0"/>
        <w:rPr>
          <w:color w:val="000000" w:themeColor="text1"/>
          <w:sz w:val="22"/>
          <w:szCs w:val="22"/>
          <w:lang w:val="en-US"/>
        </w:rPr>
      </w:pPr>
    </w:p>
    <w:p w14:paraId="0488A528" w14:textId="77777777" w:rsidR="00271702" w:rsidRPr="00790A72" w:rsidRDefault="00271702" w:rsidP="008E3099">
      <w:pPr>
        <w:pStyle w:val="ListParagraph"/>
        <w:spacing w:line="360" w:lineRule="auto"/>
        <w:ind w:left="0"/>
        <w:rPr>
          <w:color w:val="000000" w:themeColor="text1"/>
          <w:sz w:val="22"/>
          <w:szCs w:val="22"/>
          <w:lang w:val="en-US"/>
        </w:rPr>
      </w:pPr>
      <w:r w:rsidRPr="00790A72">
        <w:rPr>
          <w:color w:val="000000" w:themeColor="text1"/>
          <w:sz w:val="22"/>
          <w:szCs w:val="22"/>
          <w:lang w:val="en-US"/>
        </w:rPr>
        <w:t xml:space="preserve">XRF profiles on the upper section of A1 show an increase in elemental composition of Na, Mg, Ca, Br and Ba, suggesting marine influence, and a decrease in elements such as Ti, Fe, Al, and Cu indicative of heavy minerals and terrestrial source, between 15 and 20 cm depth, i.e., within the sand unit </w:t>
      </w:r>
      <w:r w:rsidRPr="004F0050">
        <w:rPr>
          <w:color w:val="000000" w:themeColor="text1"/>
          <w:sz w:val="22"/>
          <w:szCs w:val="22"/>
          <w:lang w:val="en-US"/>
        </w:rPr>
        <w:t xml:space="preserve">2 </w:t>
      </w:r>
      <w:r w:rsidRPr="00790A72">
        <w:rPr>
          <w:color w:val="000000" w:themeColor="text1"/>
          <w:sz w:val="22"/>
          <w:szCs w:val="22"/>
          <w:lang w:val="en-US"/>
        </w:rPr>
        <w:t xml:space="preserve">(Supplementary Fig. S3). </w:t>
      </w:r>
    </w:p>
    <w:p w14:paraId="0934A2CA" w14:textId="77777777" w:rsidR="00271702" w:rsidRPr="00790A72" w:rsidRDefault="00271702" w:rsidP="008E3099">
      <w:pPr>
        <w:pStyle w:val="ListParagraph"/>
        <w:spacing w:line="360" w:lineRule="auto"/>
        <w:ind w:left="0"/>
        <w:rPr>
          <w:color w:val="000000" w:themeColor="text1"/>
          <w:sz w:val="22"/>
          <w:szCs w:val="22"/>
          <w:lang w:val="en-US"/>
        </w:rPr>
      </w:pPr>
    </w:p>
    <w:p w14:paraId="4355CCC8" w14:textId="527B05A0" w:rsidR="00271702" w:rsidRPr="008E3099" w:rsidRDefault="00271702" w:rsidP="008E3099">
      <w:pPr>
        <w:pStyle w:val="ListParagraph"/>
        <w:spacing w:line="360" w:lineRule="auto"/>
        <w:ind w:left="0"/>
        <w:rPr>
          <w:b/>
          <w:bCs/>
          <w:color w:val="000000" w:themeColor="text1"/>
          <w:sz w:val="22"/>
          <w:szCs w:val="22"/>
          <w:lang w:val="en-US"/>
        </w:rPr>
      </w:pPr>
      <w:r w:rsidRPr="008E3099">
        <w:rPr>
          <w:b/>
          <w:bCs/>
          <w:color w:val="000000" w:themeColor="text1"/>
          <w:sz w:val="22"/>
          <w:szCs w:val="22"/>
          <w:lang w:val="en-US"/>
        </w:rPr>
        <w:t>Dating</w:t>
      </w:r>
      <w:r w:rsidR="008E3099" w:rsidRPr="008E3099">
        <w:rPr>
          <w:b/>
          <w:bCs/>
          <w:color w:val="000000" w:themeColor="text1"/>
          <w:sz w:val="22"/>
          <w:szCs w:val="22"/>
          <w:lang w:val="en-US"/>
        </w:rPr>
        <w:t xml:space="preserve"> results</w:t>
      </w:r>
    </w:p>
    <w:p w14:paraId="4D9DE216" w14:textId="77777777" w:rsidR="00271702" w:rsidRPr="00790A72" w:rsidRDefault="00271702" w:rsidP="008E3099">
      <w:pPr>
        <w:pStyle w:val="ListParagraph"/>
        <w:spacing w:line="360" w:lineRule="auto"/>
        <w:ind w:left="0"/>
        <w:rPr>
          <w:color w:val="000000" w:themeColor="text1"/>
          <w:sz w:val="22"/>
          <w:szCs w:val="22"/>
          <w:lang w:val="en-US"/>
        </w:rPr>
      </w:pPr>
    </w:p>
    <w:p w14:paraId="3CF7393D" w14:textId="2AD5F762" w:rsidR="00271702" w:rsidRPr="00790A72" w:rsidRDefault="00271702" w:rsidP="008E3099">
      <w:pPr>
        <w:pStyle w:val="ListParagraph"/>
        <w:spacing w:line="360" w:lineRule="auto"/>
        <w:ind w:left="0"/>
        <w:rPr>
          <w:color w:val="000000" w:themeColor="text1"/>
          <w:sz w:val="22"/>
          <w:szCs w:val="22"/>
          <w:lang w:val="en-US"/>
        </w:rPr>
      </w:pPr>
      <w:r w:rsidRPr="00790A72">
        <w:rPr>
          <w:color w:val="000000" w:themeColor="text1"/>
          <w:sz w:val="22"/>
          <w:szCs w:val="22"/>
          <w:vertAlign w:val="superscript"/>
          <w:lang w:val="en-US"/>
        </w:rPr>
        <w:t>210</w:t>
      </w:r>
      <w:r w:rsidRPr="00790A72">
        <w:rPr>
          <w:color w:val="000000" w:themeColor="text1"/>
          <w:sz w:val="22"/>
          <w:szCs w:val="22"/>
          <w:lang w:val="en-US"/>
        </w:rPr>
        <w:t xml:space="preserve">Pb dating was carried on the upper 25 cm of slice at A1. However, only the first 16 cm indicates a young age &lt;40 years and an estimated sedimentation rate of 0.38±0.09 cm/year (Supplementary Table S1). This suggests anthropogenic disturbance </w:t>
      </w:r>
      <w:r w:rsidR="00A42AF2">
        <w:rPr>
          <w:color w:val="000000" w:themeColor="text1"/>
          <w:sz w:val="22"/>
          <w:szCs w:val="22"/>
          <w:lang w:val="en-US"/>
        </w:rPr>
        <w:t>i</w:t>
      </w:r>
      <w:r w:rsidRPr="004F0050">
        <w:rPr>
          <w:color w:val="000000" w:themeColor="text1"/>
          <w:sz w:val="22"/>
          <w:szCs w:val="22"/>
          <w:lang w:val="en-US"/>
        </w:rPr>
        <w:t>n this interval</w:t>
      </w:r>
      <w:r w:rsidRPr="00790A72">
        <w:rPr>
          <w:color w:val="000000" w:themeColor="text1"/>
          <w:sz w:val="22"/>
          <w:szCs w:val="22"/>
          <w:lang w:val="en-US"/>
        </w:rPr>
        <w:t xml:space="preserve">. </w:t>
      </w:r>
    </w:p>
    <w:p w14:paraId="735BAB6E" w14:textId="77777777" w:rsidR="00271702" w:rsidRPr="00790A72" w:rsidRDefault="00271702" w:rsidP="008E3099">
      <w:pPr>
        <w:pStyle w:val="ListParagraph"/>
        <w:spacing w:line="360" w:lineRule="auto"/>
        <w:ind w:left="0"/>
        <w:rPr>
          <w:color w:val="000000" w:themeColor="text1"/>
          <w:sz w:val="22"/>
          <w:szCs w:val="22"/>
          <w:lang w:val="en-US"/>
        </w:rPr>
      </w:pPr>
    </w:p>
    <w:p w14:paraId="1ECC85BC" w14:textId="21B99EB3" w:rsidR="00271702" w:rsidRPr="00790A72" w:rsidRDefault="00271702" w:rsidP="008E3099">
      <w:pPr>
        <w:pStyle w:val="ListParagraph"/>
        <w:spacing w:line="360" w:lineRule="auto"/>
        <w:ind w:left="0"/>
        <w:rPr>
          <w:color w:val="000000" w:themeColor="text1"/>
          <w:sz w:val="22"/>
          <w:szCs w:val="22"/>
          <w:lang w:val="en-US"/>
        </w:rPr>
      </w:pPr>
      <w:r w:rsidRPr="00790A72">
        <w:rPr>
          <w:color w:val="000000" w:themeColor="text1"/>
          <w:sz w:val="22"/>
          <w:szCs w:val="22"/>
          <w:lang w:val="en-US"/>
        </w:rPr>
        <w:t xml:space="preserve">Ten samples from both A1 and A2 were dated with 14C assay (Supplementary Table S2). Most of these dates provided inverted dates, probably related to burrowing and bioturbation. Nevertheless, C14 provided reliable dates further down slice A1 and pit A2 samples  (Supplementary Table S2). </w:t>
      </w:r>
    </w:p>
    <w:p w14:paraId="273350FE" w14:textId="77777777" w:rsidR="00271702" w:rsidRPr="00790A72" w:rsidRDefault="00271702" w:rsidP="008E3099">
      <w:pPr>
        <w:pStyle w:val="ListParagraph"/>
        <w:spacing w:line="360" w:lineRule="auto"/>
        <w:ind w:left="0"/>
        <w:rPr>
          <w:color w:val="000000" w:themeColor="text1"/>
          <w:sz w:val="22"/>
          <w:szCs w:val="22"/>
          <w:lang w:val="en-US"/>
        </w:rPr>
      </w:pPr>
    </w:p>
    <w:p w14:paraId="76B6F5FD" w14:textId="2E6F1B76" w:rsidR="00271702" w:rsidRPr="00790A72" w:rsidRDefault="00271702" w:rsidP="008E3099">
      <w:pPr>
        <w:pStyle w:val="ListParagraph"/>
        <w:spacing w:line="360" w:lineRule="auto"/>
        <w:ind w:left="0"/>
        <w:rPr>
          <w:i/>
          <w:iCs/>
          <w:color w:val="000000" w:themeColor="text1"/>
          <w:sz w:val="22"/>
          <w:szCs w:val="22"/>
          <w:lang w:val="en-US"/>
        </w:rPr>
      </w:pPr>
      <w:r w:rsidRPr="00790A72">
        <w:rPr>
          <w:color w:val="000000" w:themeColor="text1"/>
          <w:sz w:val="22"/>
          <w:szCs w:val="22"/>
          <w:lang w:val="en-US"/>
        </w:rPr>
        <w:t xml:space="preserve">OSL measurements were completed on 3 samples at site A2 (Supplementary Table S3). Samples at 13 – 20 cm and 25 -29 cm showed young ages, but sample at 80 – 90 cm produced a reliable age of 705+/-65 yr, i.e., 1240 and 1370 AD. </w:t>
      </w:r>
    </w:p>
    <w:p w14:paraId="6407E351" w14:textId="77777777" w:rsidR="00271702" w:rsidRPr="00790A72" w:rsidRDefault="00271702" w:rsidP="008E3099">
      <w:pPr>
        <w:pStyle w:val="ListParagraph"/>
        <w:spacing w:line="360" w:lineRule="auto"/>
        <w:ind w:left="0"/>
        <w:rPr>
          <w:color w:val="000000" w:themeColor="text1"/>
          <w:sz w:val="22"/>
          <w:szCs w:val="22"/>
          <w:lang w:val="en-US"/>
        </w:rPr>
      </w:pPr>
    </w:p>
    <w:p w14:paraId="1DA896BC" w14:textId="77777777" w:rsidR="00271702" w:rsidRPr="008E3099" w:rsidRDefault="00271702" w:rsidP="008E3099">
      <w:pPr>
        <w:pStyle w:val="ListParagraph"/>
        <w:spacing w:line="360" w:lineRule="auto"/>
        <w:ind w:left="0"/>
        <w:rPr>
          <w:b/>
          <w:bCs/>
          <w:color w:val="000000" w:themeColor="text1"/>
          <w:sz w:val="22"/>
          <w:szCs w:val="22"/>
          <w:lang w:val="en-US"/>
        </w:rPr>
      </w:pPr>
      <w:r w:rsidRPr="008E3099">
        <w:rPr>
          <w:b/>
          <w:bCs/>
          <w:color w:val="000000" w:themeColor="text1"/>
          <w:sz w:val="22"/>
          <w:szCs w:val="22"/>
          <w:lang w:val="en-US"/>
        </w:rPr>
        <w:t>Anisotropy of Magnetic Susceptibility</w:t>
      </w:r>
    </w:p>
    <w:p w14:paraId="67AB6AE2" w14:textId="77777777" w:rsidR="00271702" w:rsidRPr="00790A72" w:rsidRDefault="00271702" w:rsidP="008E3099">
      <w:pPr>
        <w:pStyle w:val="ListParagraph"/>
        <w:spacing w:line="360" w:lineRule="auto"/>
        <w:ind w:left="0"/>
        <w:rPr>
          <w:b/>
          <w:bCs/>
          <w:color w:val="000000" w:themeColor="text1"/>
          <w:sz w:val="22"/>
          <w:szCs w:val="22"/>
          <w:lang w:val="en-US"/>
        </w:rPr>
      </w:pPr>
    </w:p>
    <w:p w14:paraId="36304FF8" w14:textId="5C47C68F" w:rsidR="00271702" w:rsidRPr="00790A72" w:rsidRDefault="00271702" w:rsidP="008E3099">
      <w:pPr>
        <w:spacing w:line="360" w:lineRule="auto"/>
        <w:jc w:val="both"/>
        <w:rPr>
          <w:rFonts w:ascii="Times New Roman" w:hAnsi="Times New Roman" w:cs="Times New Roman"/>
          <w:color w:val="000000" w:themeColor="text1"/>
          <w:sz w:val="22"/>
          <w:szCs w:val="22"/>
          <w:lang w:val="en-US"/>
        </w:rPr>
      </w:pPr>
      <w:r w:rsidRPr="00790A72">
        <w:rPr>
          <w:rFonts w:ascii="Times New Roman" w:hAnsi="Times New Roman" w:cs="Times New Roman"/>
          <w:color w:val="000000" w:themeColor="text1"/>
          <w:sz w:val="22"/>
          <w:szCs w:val="22"/>
          <w:lang w:val="en-US"/>
        </w:rPr>
        <w:lastRenderedPageBreak/>
        <w:t>The original magnetic fabrics non-affected by artificial deformation were recovered from 4</w:t>
      </w:r>
      <w:r w:rsidR="00A42AF2">
        <w:rPr>
          <w:rFonts w:ascii="Times New Roman" w:hAnsi="Times New Roman" w:cs="Times New Roman"/>
          <w:color w:val="000000" w:themeColor="text1"/>
          <w:sz w:val="22"/>
          <w:szCs w:val="22"/>
          <w:lang w:val="en-US"/>
        </w:rPr>
        <w:t xml:space="preserve"> </w:t>
      </w:r>
      <w:r w:rsidRPr="00790A72">
        <w:rPr>
          <w:rFonts w:ascii="Times New Roman" w:hAnsi="Times New Roman" w:cs="Times New Roman"/>
          <w:color w:val="000000" w:themeColor="text1"/>
          <w:sz w:val="22"/>
          <w:szCs w:val="22"/>
          <w:lang w:val="en-US"/>
        </w:rPr>
        <w:t xml:space="preserve">units at A1 site, showing always vertical or sub-vertical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3</w:t>
      </w:r>
      <w:r w:rsidRPr="00790A72">
        <w:rPr>
          <w:rFonts w:ascii="Times New Roman" w:hAnsi="Times New Roman" w:cs="Times New Roman"/>
          <w:color w:val="000000" w:themeColor="text1"/>
          <w:sz w:val="22"/>
          <w:szCs w:val="22"/>
          <w:lang w:val="en-US"/>
        </w:rPr>
        <w:t xml:space="preserve"> mean direction (Fig. 4). The first magnetic fabric (MF) corresponding to Unit 2 shows sub-horizontal </w:t>
      </w:r>
      <w:r w:rsidR="00E27C4B" w:rsidRPr="00790A72">
        <w:rPr>
          <w:rFonts w:ascii="Times New Roman" w:hAnsi="Times New Roman" w:cs="Times New Roman"/>
          <w:b/>
          <w:color w:val="000000" w:themeColor="text1"/>
          <w:sz w:val="22"/>
          <w:szCs w:val="22"/>
          <w:lang w:val="en-US"/>
        </w:rPr>
        <w:t>K</w:t>
      </w:r>
      <w:r w:rsidR="00E27C4B" w:rsidRPr="00790A72">
        <w:rPr>
          <w:rFonts w:ascii="Times New Roman" w:hAnsi="Times New Roman" w:cs="Times New Roman"/>
          <w:b/>
          <w:color w:val="000000" w:themeColor="text1"/>
          <w:sz w:val="22"/>
          <w:szCs w:val="22"/>
          <w:vertAlign w:val="subscript"/>
          <w:lang w:val="en-US"/>
        </w:rPr>
        <w:t>1,</w:t>
      </w:r>
      <w:r w:rsidRPr="00790A72">
        <w:rPr>
          <w:rFonts w:ascii="Times New Roman" w:hAnsi="Times New Roman" w:cs="Times New Roman"/>
          <w:color w:val="000000" w:themeColor="text1"/>
          <w:sz w:val="22"/>
          <w:szCs w:val="22"/>
          <w:lang w:val="en-US"/>
        </w:rPr>
        <w:t xml:space="preserve"> and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2</w:t>
      </w:r>
      <w:r w:rsidRPr="00790A72">
        <w:rPr>
          <w:rFonts w:ascii="Times New Roman" w:hAnsi="Times New Roman" w:cs="Times New Roman"/>
          <w:color w:val="000000" w:themeColor="text1"/>
          <w:sz w:val="22"/>
          <w:szCs w:val="22"/>
          <w:lang w:val="en-US"/>
        </w:rPr>
        <w:t xml:space="preserve"> mean directions split into two different clusters (Fabric I). This fabric shows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1</w:t>
      </w:r>
      <w:r w:rsidRPr="00790A72">
        <w:rPr>
          <w:rFonts w:ascii="Times New Roman" w:hAnsi="Times New Roman" w:cs="Times New Roman"/>
          <w:color w:val="000000" w:themeColor="text1"/>
          <w:sz w:val="22"/>
          <w:szCs w:val="22"/>
          <w:lang w:val="en-US"/>
        </w:rPr>
        <w:t xml:space="preserve"> mean direction oriented in azimuth 355° and the highest degrees of anisotropy (</w:t>
      </w:r>
      <w:r w:rsidRPr="00790A72">
        <w:rPr>
          <w:rFonts w:ascii="Times New Roman" w:hAnsi="Times New Roman" w:cs="Times New Roman"/>
          <w:i/>
          <w:color w:val="000000" w:themeColor="text1"/>
          <w:sz w:val="22"/>
          <w:szCs w:val="22"/>
          <w:lang w:val="en-US"/>
        </w:rPr>
        <w:t>P</w:t>
      </w:r>
      <w:r w:rsidRPr="00790A72">
        <w:rPr>
          <w:rFonts w:ascii="Times New Roman" w:hAnsi="Times New Roman" w:cs="Times New Roman"/>
          <w:color w:val="000000" w:themeColor="text1"/>
          <w:sz w:val="22"/>
          <w:szCs w:val="22"/>
          <w:lang w:val="en-US"/>
        </w:rPr>
        <w:t xml:space="preserve">) with an average of 1.027 and maximum of 1.043. The second MF (Fabric II) from </w:t>
      </w:r>
      <w:r w:rsidR="00A42AF2">
        <w:rPr>
          <w:rFonts w:ascii="Times New Roman" w:hAnsi="Times New Roman" w:cs="Times New Roman"/>
          <w:color w:val="000000" w:themeColor="text1"/>
          <w:sz w:val="22"/>
          <w:szCs w:val="22"/>
          <w:lang w:val="en-US"/>
        </w:rPr>
        <w:t xml:space="preserve">a </w:t>
      </w:r>
      <w:r w:rsidRPr="00790A72">
        <w:rPr>
          <w:rFonts w:ascii="Times New Roman" w:hAnsi="Times New Roman" w:cs="Times New Roman"/>
          <w:color w:val="000000" w:themeColor="text1"/>
          <w:sz w:val="22"/>
          <w:szCs w:val="22"/>
          <w:lang w:val="en-US"/>
        </w:rPr>
        <w:t xml:space="preserve">clay unit </w:t>
      </w:r>
      <w:r w:rsidR="00A42AF2">
        <w:rPr>
          <w:rFonts w:ascii="Times New Roman" w:hAnsi="Times New Roman" w:cs="Times New Roman"/>
          <w:color w:val="000000" w:themeColor="text1"/>
          <w:sz w:val="22"/>
          <w:szCs w:val="22"/>
          <w:lang w:val="en-US"/>
        </w:rPr>
        <w:t xml:space="preserve">at </w:t>
      </w:r>
      <w:r w:rsidRPr="00790A72">
        <w:rPr>
          <w:rFonts w:ascii="Times New Roman" w:hAnsi="Times New Roman" w:cs="Times New Roman"/>
          <w:color w:val="000000" w:themeColor="text1"/>
          <w:sz w:val="22"/>
          <w:szCs w:val="22"/>
          <w:lang w:val="en-US"/>
        </w:rPr>
        <w:t xml:space="preserve">21–45 cm shows mixed horizontal </w:t>
      </w:r>
      <w:r w:rsidR="00AC14DA" w:rsidRPr="00790A72">
        <w:rPr>
          <w:rFonts w:ascii="Times New Roman" w:hAnsi="Times New Roman" w:cs="Times New Roman"/>
          <w:b/>
          <w:color w:val="000000" w:themeColor="text1"/>
          <w:sz w:val="22"/>
          <w:szCs w:val="22"/>
          <w:lang w:val="en-US"/>
        </w:rPr>
        <w:t>K</w:t>
      </w:r>
      <w:r w:rsidR="00AC14DA" w:rsidRPr="00790A72">
        <w:rPr>
          <w:rFonts w:ascii="Times New Roman" w:hAnsi="Times New Roman" w:cs="Times New Roman"/>
          <w:b/>
          <w:color w:val="000000" w:themeColor="text1"/>
          <w:sz w:val="22"/>
          <w:szCs w:val="22"/>
          <w:vertAlign w:val="subscript"/>
          <w:lang w:val="en-US"/>
        </w:rPr>
        <w:t>1,</w:t>
      </w:r>
      <w:r w:rsidRPr="00790A72">
        <w:rPr>
          <w:rFonts w:ascii="Times New Roman" w:hAnsi="Times New Roman" w:cs="Times New Roman"/>
          <w:color w:val="000000" w:themeColor="text1"/>
          <w:sz w:val="22"/>
          <w:szCs w:val="22"/>
          <w:lang w:val="en-US"/>
        </w:rPr>
        <w:t xml:space="preserve"> and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2</w:t>
      </w:r>
      <w:r w:rsidRPr="00790A72">
        <w:rPr>
          <w:rFonts w:ascii="Times New Roman" w:hAnsi="Times New Roman" w:cs="Times New Roman"/>
          <w:color w:val="000000" w:themeColor="text1"/>
          <w:sz w:val="22"/>
          <w:szCs w:val="22"/>
          <w:lang w:val="en-US"/>
        </w:rPr>
        <w:t xml:space="preserve"> mean directions scattered around all the projection with the lowest average </w:t>
      </w:r>
      <w:r w:rsidRPr="00790A72">
        <w:rPr>
          <w:rFonts w:ascii="Times New Roman" w:hAnsi="Times New Roman" w:cs="Times New Roman"/>
          <w:i/>
          <w:color w:val="000000" w:themeColor="text1"/>
          <w:sz w:val="22"/>
          <w:szCs w:val="22"/>
          <w:lang w:val="en-US"/>
        </w:rPr>
        <w:t>P</w:t>
      </w:r>
      <w:r w:rsidRPr="00790A72">
        <w:rPr>
          <w:rFonts w:ascii="Times New Roman" w:hAnsi="Times New Roman" w:cs="Times New Roman"/>
          <w:color w:val="000000" w:themeColor="text1"/>
          <w:sz w:val="22"/>
          <w:szCs w:val="22"/>
          <w:lang w:val="en-US"/>
        </w:rPr>
        <w:t xml:space="preserve"> (0.009). Third MF (Fabric III) corresponding to Unit 3 shows mean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1</w:t>
      </w:r>
      <w:r w:rsidRPr="00790A72">
        <w:rPr>
          <w:rFonts w:ascii="Times New Roman" w:hAnsi="Times New Roman" w:cs="Times New Roman"/>
          <w:color w:val="000000" w:themeColor="text1"/>
          <w:sz w:val="22"/>
          <w:szCs w:val="22"/>
          <w:lang w:val="en-US"/>
        </w:rPr>
        <w:t xml:space="preserve"> direction oriented in azimuth 31° with an average </w:t>
      </w:r>
      <w:r w:rsidRPr="00790A72">
        <w:rPr>
          <w:rFonts w:ascii="Times New Roman" w:hAnsi="Times New Roman" w:cs="Times New Roman"/>
          <w:i/>
          <w:color w:val="000000" w:themeColor="text1"/>
          <w:sz w:val="22"/>
          <w:szCs w:val="22"/>
          <w:lang w:val="en-US"/>
        </w:rPr>
        <w:t xml:space="preserve">P </w:t>
      </w:r>
      <w:r w:rsidRPr="00790A72">
        <w:rPr>
          <w:rFonts w:ascii="Times New Roman" w:hAnsi="Times New Roman" w:cs="Times New Roman"/>
          <w:color w:val="000000" w:themeColor="text1"/>
          <w:sz w:val="22"/>
          <w:szCs w:val="22"/>
          <w:lang w:val="en-US"/>
        </w:rPr>
        <w:t xml:space="preserve">value of 1.021 and maximum reaching 1.031. The fourth MF (Fabric IV) from sand unit below (64–73 cm) shows mean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1</w:t>
      </w:r>
      <w:r w:rsidRPr="00790A72">
        <w:rPr>
          <w:rFonts w:ascii="Times New Roman" w:hAnsi="Times New Roman" w:cs="Times New Roman"/>
          <w:color w:val="000000" w:themeColor="text1"/>
          <w:sz w:val="22"/>
          <w:szCs w:val="22"/>
          <w:lang w:val="en-US"/>
        </w:rPr>
        <w:t xml:space="preserve"> direction oriented in azimuth 3° with average </w:t>
      </w:r>
      <w:r w:rsidRPr="00790A72">
        <w:rPr>
          <w:rFonts w:ascii="Times New Roman" w:hAnsi="Times New Roman" w:cs="Times New Roman"/>
          <w:i/>
          <w:color w:val="000000" w:themeColor="text1"/>
          <w:sz w:val="22"/>
          <w:szCs w:val="22"/>
          <w:lang w:val="en-US"/>
        </w:rPr>
        <w:t xml:space="preserve">P </w:t>
      </w:r>
      <w:r w:rsidRPr="00790A72">
        <w:rPr>
          <w:rFonts w:ascii="Times New Roman" w:hAnsi="Times New Roman" w:cs="Times New Roman"/>
          <w:color w:val="000000" w:themeColor="text1"/>
          <w:sz w:val="22"/>
          <w:szCs w:val="22"/>
          <w:lang w:val="en-US"/>
        </w:rPr>
        <w:t xml:space="preserve">value of 1.015. In addition, the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1</w:t>
      </w:r>
      <w:r w:rsidRPr="00790A72">
        <w:rPr>
          <w:rFonts w:ascii="Times New Roman" w:hAnsi="Times New Roman" w:cs="Times New Roman"/>
          <w:color w:val="000000" w:themeColor="text1"/>
          <w:sz w:val="22"/>
          <w:szCs w:val="22"/>
          <w:lang w:val="en-US"/>
        </w:rPr>
        <w:t xml:space="preserve"> and </w:t>
      </w:r>
      <w:r w:rsidRPr="00790A72">
        <w:rPr>
          <w:rFonts w:ascii="Times New Roman" w:hAnsi="Times New Roman" w:cs="Times New Roman"/>
          <w:b/>
          <w:color w:val="000000" w:themeColor="text1"/>
          <w:sz w:val="22"/>
          <w:szCs w:val="22"/>
          <w:lang w:val="en-US"/>
        </w:rPr>
        <w:t>K</w:t>
      </w:r>
      <w:r w:rsidRPr="00790A72">
        <w:rPr>
          <w:rFonts w:ascii="Times New Roman" w:hAnsi="Times New Roman" w:cs="Times New Roman"/>
          <w:b/>
          <w:color w:val="000000" w:themeColor="text1"/>
          <w:sz w:val="22"/>
          <w:szCs w:val="22"/>
          <w:vertAlign w:val="subscript"/>
          <w:lang w:val="en-US"/>
        </w:rPr>
        <w:t>2</w:t>
      </w:r>
      <w:r w:rsidRPr="00790A72">
        <w:rPr>
          <w:rFonts w:ascii="Times New Roman" w:hAnsi="Times New Roman" w:cs="Times New Roman"/>
          <w:color w:val="000000" w:themeColor="text1"/>
          <w:sz w:val="22"/>
          <w:szCs w:val="22"/>
          <w:lang w:val="en-US"/>
        </w:rPr>
        <w:t xml:space="preserve"> confidence ellipses of fabric III are more elongated in comparison with fabrics I and IV in other sand units.  The Jelinek P–T diagram indicates that Fabric I ha</w:t>
      </w:r>
      <w:r w:rsidR="00A42AF2">
        <w:rPr>
          <w:rFonts w:ascii="Times New Roman" w:hAnsi="Times New Roman" w:cs="Times New Roman"/>
          <w:color w:val="000000" w:themeColor="text1"/>
          <w:sz w:val="22"/>
          <w:szCs w:val="22"/>
          <w:lang w:val="en-US"/>
        </w:rPr>
        <w:t>s</w:t>
      </w:r>
      <w:r w:rsidRPr="00790A72">
        <w:rPr>
          <w:rFonts w:ascii="Times New Roman" w:hAnsi="Times New Roman" w:cs="Times New Roman"/>
          <w:color w:val="000000" w:themeColor="text1"/>
          <w:sz w:val="22"/>
          <w:szCs w:val="22"/>
          <w:lang w:val="en-US"/>
        </w:rPr>
        <w:t xml:space="preserve"> an oblate shape, while the other fabrics are of triaxial shape (Fig. 4).</w:t>
      </w:r>
    </w:p>
    <w:p w14:paraId="7678BE33" w14:textId="77777777" w:rsidR="00271702" w:rsidRPr="00790A72" w:rsidRDefault="00271702" w:rsidP="008E3099">
      <w:pPr>
        <w:spacing w:line="360" w:lineRule="auto"/>
        <w:rPr>
          <w:rFonts w:ascii="Times New Roman" w:hAnsi="Times New Roman" w:cs="Times New Roman"/>
          <w:color w:val="000000" w:themeColor="text1"/>
          <w:sz w:val="22"/>
          <w:szCs w:val="22"/>
          <w:lang w:val="en-US"/>
        </w:rPr>
      </w:pPr>
    </w:p>
    <w:p w14:paraId="7281120C" w14:textId="77777777" w:rsidR="005B10F6" w:rsidRPr="00271702" w:rsidRDefault="005B10F6" w:rsidP="008E3099">
      <w:pPr>
        <w:rPr>
          <w:lang w:val="en-US"/>
        </w:rPr>
      </w:pPr>
    </w:p>
    <w:sectPr w:rsidR="005B10F6" w:rsidRPr="0027170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0F6"/>
    <w:rsid w:val="0013158B"/>
    <w:rsid w:val="001E6456"/>
    <w:rsid w:val="00271702"/>
    <w:rsid w:val="0042007C"/>
    <w:rsid w:val="005B10F6"/>
    <w:rsid w:val="007B5B2D"/>
    <w:rsid w:val="008E3099"/>
    <w:rsid w:val="009A5549"/>
    <w:rsid w:val="00A42AF2"/>
    <w:rsid w:val="00AC14DA"/>
    <w:rsid w:val="00E27C4B"/>
    <w:rsid w:val="00FB0FF0"/>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decimalSymbol w:val="."/>
  <w:listSeparator w:val=","/>
  <w14:docId w14:val="28D9022C"/>
  <w15:chartTrackingRefBased/>
  <w15:docId w15:val="{13B432E4-19D1-054A-94D7-7E263B3B7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71702"/>
    <w:rPr>
      <w:sz w:val="16"/>
      <w:szCs w:val="16"/>
    </w:rPr>
  </w:style>
  <w:style w:type="paragraph" w:styleId="CommentText">
    <w:name w:val="annotation text"/>
    <w:basedOn w:val="Normal"/>
    <w:link w:val="CommentTextChar"/>
    <w:uiPriority w:val="99"/>
    <w:semiHidden/>
    <w:unhideWhenUsed/>
    <w:rsid w:val="00271702"/>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271702"/>
    <w:rPr>
      <w:rFonts w:ascii="Times New Roman" w:eastAsia="Times New Roman" w:hAnsi="Times New Roman" w:cs="Times New Roman"/>
      <w:sz w:val="20"/>
      <w:szCs w:val="20"/>
    </w:rPr>
  </w:style>
  <w:style w:type="paragraph" w:styleId="ListParagraph">
    <w:name w:val="List Paragraph"/>
    <w:basedOn w:val="Normal"/>
    <w:uiPriority w:val="34"/>
    <w:qFormat/>
    <w:rsid w:val="00271702"/>
    <w:pPr>
      <w:ind w:left="720"/>
      <w:contextualSpacing/>
    </w:pPr>
    <w:rPr>
      <w:rFonts w:ascii="Times New Roman" w:eastAsia="Times New Roman" w:hAnsi="Times New Roman" w:cs="Times New Roman"/>
    </w:rPr>
  </w:style>
  <w:style w:type="paragraph" w:customStyle="1" w:styleId="Default">
    <w:name w:val="Default"/>
    <w:rsid w:val="00271702"/>
    <w:pPr>
      <w:autoSpaceDE w:val="0"/>
      <w:autoSpaceDN w:val="0"/>
      <w:adjustRightInd w:val="0"/>
    </w:pPr>
    <w:rPr>
      <w:rFonts w:ascii="Times New Roman" w:hAnsi="Times New Roman" w:cs="Times New Roman"/>
      <w:color w:val="000000"/>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832</Words>
  <Characters>4747</Characters>
  <Application>Microsoft Office Word</Application>
  <DocSecurity>0</DocSecurity>
  <Lines>79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TERESA RAMIREZ HERRERA</dc:creator>
  <cp:keywords/>
  <dc:description/>
  <cp:lastModifiedBy>MARIA TERESA RAMIREZ HERRERA</cp:lastModifiedBy>
  <cp:revision>6</cp:revision>
  <dcterms:created xsi:type="dcterms:W3CDTF">2023-03-20T18:30:00Z</dcterms:created>
  <dcterms:modified xsi:type="dcterms:W3CDTF">2023-04-16T00:36:00Z</dcterms:modified>
</cp:coreProperties>
</file>