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9D6D3" w14:textId="2F25AF8C" w:rsidR="00232AF6" w:rsidRDefault="00232AF6" w:rsidP="00232AF6">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Appendix I: Assumption checking</w:t>
      </w:r>
    </w:p>
    <w:p w14:paraId="1C832496" w14:textId="77777777" w:rsidR="00232AF6" w:rsidRDefault="00232AF6" w:rsidP="00232AF6">
      <w:pPr>
        <w:spacing w:line="360" w:lineRule="auto"/>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Assumption checking for Pearson’s correlation coefficients</w:t>
      </w:r>
    </w:p>
    <w:p w14:paraId="6E1F505A" w14:textId="77777777" w:rsidR="00232AF6" w:rsidRDefault="00232AF6" w:rsidP="00232AF6">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each analysis of the Pearson’s correlation coefficient, the following assumptions, including (1) the variables are continuous, i.e., interval or ratio variables, (2) the relationship between the variables needs to be linear, (3) there are no outliers in the data, and (4) the variables are normally distributed, were examined (Field, 2013). The first assumption was satisfied as the composite scores of three variables, </w:t>
      </w:r>
      <w:r>
        <w:rPr>
          <w:rFonts w:ascii="Times New Roman" w:hAnsi="Times New Roman" w:cs="Times New Roman"/>
          <w:sz w:val="24"/>
          <w:szCs w:val="24"/>
        </w:rPr>
        <w:t>depression (measured as the total score of BDI-II), purpose in life (measured as the total score of PIL), and loneliness (measured as the total score of RULS),</w:t>
      </w:r>
      <w:r>
        <w:rPr>
          <w:rFonts w:ascii="Times New Roman" w:hAnsi="Times New Roman" w:cs="Times New Roman"/>
          <w:color w:val="000000" w:themeColor="text1"/>
          <w:sz w:val="24"/>
          <w:szCs w:val="24"/>
        </w:rPr>
        <w:t xml:space="preserve"> were ratio variables and continuous. </w:t>
      </w:r>
    </w:p>
    <w:p w14:paraId="425A7FEF" w14:textId="5150052C" w:rsidR="00232AF6" w:rsidRDefault="00232AF6" w:rsidP="00232AF6">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second assumption was checked using scatter plots to determine if the two variables (e.g., depression and purpose of life) exhibited a linear relationship. The scatter plots were also used to examine the third assumption, to ensure there were no significant outliers. The scatter plots are presented in </w:t>
      </w:r>
      <w:r w:rsidR="00ED7122">
        <w:rPr>
          <w:rFonts w:ascii="Times New Roman" w:hAnsi="Times New Roman" w:cs="Times New Roman"/>
          <w:color w:val="000000" w:themeColor="text1"/>
          <w:sz w:val="24"/>
          <w:szCs w:val="24"/>
        </w:rPr>
        <w:t>Supplementary figure s</w:t>
      </w:r>
      <w:proofErr w:type="gramStart"/>
      <w:r w:rsidR="00ED7122">
        <w:rPr>
          <w:rFonts w:ascii="Times New Roman" w:hAnsi="Times New Roman" w:cs="Times New Roman"/>
          <w:color w:val="000000" w:themeColor="text1"/>
          <w:sz w:val="24"/>
          <w:szCs w:val="24"/>
        </w:rPr>
        <w:t>1,s</w:t>
      </w:r>
      <w:proofErr w:type="gramEnd"/>
      <w:r w:rsidR="00ED7122">
        <w:rPr>
          <w:rFonts w:ascii="Times New Roman" w:hAnsi="Times New Roman" w:cs="Times New Roman"/>
          <w:color w:val="000000" w:themeColor="text1"/>
          <w:sz w:val="24"/>
          <w:szCs w:val="24"/>
        </w:rPr>
        <w:t>2,s3</w:t>
      </w:r>
      <w:r>
        <w:rPr>
          <w:rFonts w:ascii="Times New Roman" w:hAnsi="Times New Roman" w:cs="Times New Roman"/>
          <w:color w:val="000000" w:themeColor="text1"/>
          <w:sz w:val="24"/>
          <w:szCs w:val="24"/>
        </w:rPr>
        <w:t>. It appeared that there was a linear relationship between the three variables and there were no outliers. Hence Assumptions 2 and 3 of Pearson’s correlation coefficients were satisfied.</w:t>
      </w:r>
    </w:p>
    <w:p w14:paraId="24EADBC0" w14:textId="1C2A9670" w:rsidR="00232AF6" w:rsidRDefault="00232AF6" w:rsidP="00232AF6">
      <w:pPr>
        <w:spacing w:line="360" w:lineRule="auto"/>
        <w:rPr>
          <w:rFonts w:ascii="Times New Roman" w:eastAsia="Calibri" w:hAnsi="Times New Roman" w:cs="Times New Roman"/>
          <w:sz w:val="24"/>
          <w:szCs w:val="24"/>
        </w:rPr>
      </w:pPr>
      <w:r>
        <w:rPr>
          <w:rFonts w:ascii="Times New Roman" w:hAnsi="Times New Roman" w:cs="Times New Roman"/>
          <w:color w:val="000000" w:themeColor="text1"/>
          <w:sz w:val="24"/>
          <w:szCs w:val="24"/>
        </w:rPr>
        <w:t xml:space="preserve">The fourth assumption was checked using </w:t>
      </w:r>
      <w:r>
        <w:rPr>
          <w:rFonts w:ascii="Times New Roman" w:hAnsi="Times New Roman" w:cs="Times New Roman"/>
          <w:sz w:val="24"/>
          <w:szCs w:val="24"/>
        </w:rPr>
        <w:t xml:space="preserve">skewness and kurtosis. </w:t>
      </w:r>
      <w:r>
        <w:rPr>
          <w:rFonts w:ascii="Times New Roman" w:eastAsia="Calibri" w:hAnsi="Times New Roman" w:cs="Times New Roman"/>
          <w:sz w:val="24"/>
          <w:szCs w:val="24"/>
        </w:rPr>
        <w:t xml:space="preserve">As suggested by Kim (2013) and Mishra et al. (2019), an absolute skewness value ≤ 2 and an absolute kurtosis (excess) ≤ 4 for the data may be used as reference values for determining considerable normality. Since the values of skewness ranged from -0.52 to 0.73 and the values of kurtosis ranged from -0.51 to 2.19 </w:t>
      </w:r>
      <w:r>
        <w:rPr>
          <w:rFonts w:ascii="Times New Roman" w:hAnsi="Times New Roman" w:cs="Times New Roman"/>
          <w:sz w:val="24"/>
          <w:szCs w:val="24"/>
        </w:rPr>
        <w:t>(Table 6)</w:t>
      </w:r>
      <w:r>
        <w:rPr>
          <w:rFonts w:ascii="Times New Roman" w:eastAsia="Calibri" w:hAnsi="Times New Roman" w:cs="Times New Roman"/>
          <w:sz w:val="24"/>
          <w:szCs w:val="24"/>
        </w:rPr>
        <w:t xml:space="preserve">, it was concluded that the normality assumption was satisfied for </w:t>
      </w:r>
      <w:r>
        <w:rPr>
          <w:rFonts w:ascii="Times New Roman" w:hAnsi="Times New Roman" w:cs="Times New Roman"/>
          <w:color w:val="000000" w:themeColor="text1"/>
          <w:sz w:val="24"/>
          <w:szCs w:val="24"/>
        </w:rPr>
        <w:t>Pearson’s correlation coefficients.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As all assumptions were satisfied for Pearson’s correlation coefficients, it was appropriate to apply Pearson’s correlation coefficients to analyze the data.  </w:t>
      </w:r>
    </w:p>
    <w:p w14:paraId="28DA0EB2" w14:textId="50728B7E" w:rsidR="00046D4A" w:rsidRDefault="00046D4A" w:rsidP="00232AF6">
      <w:pPr>
        <w:spacing w:line="360" w:lineRule="auto"/>
        <w:rPr>
          <w:rFonts w:ascii="Times New Roman" w:eastAsia="Calibri" w:hAnsi="Times New Roman" w:cs="Times New Roman"/>
          <w:sz w:val="24"/>
          <w:szCs w:val="24"/>
        </w:rPr>
      </w:pPr>
    </w:p>
    <w:p w14:paraId="555E4FE4" w14:textId="1E2BC5FB" w:rsidR="00046D4A" w:rsidRDefault="00046D4A" w:rsidP="00232AF6">
      <w:pPr>
        <w:spacing w:line="360" w:lineRule="auto"/>
        <w:rPr>
          <w:rFonts w:ascii="Times New Roman" w:eastAsia="Calibri" w:hAnsi="Times New Roman" w:cs="Times New Roman"/>
          <w:sz w:val="24"/>
          <w:szCs w:val="24"/>
        </w:rPr>
      </w:pPr>
    </w:p>
    <w:p w14:paraId="1056F418" w14:textId="72DF0240" w:rsidR="00046D4A" w:rsidRDefault="00046D4A" w:rsidP="00232AF6">
      <w:pPr>
        <w:spacing w:line="360" w:lineRule="auto"/>
        <w:rPr>
          <w:rFonts w:ascii="Times New Roman" w:eastAsia="Calibri" w:hAnsi="Times New Roman" w:cs="Times New Roman"/>
          <w:sz w:val="24"/>
          <w:szCs w:val="24"/>
        </w:rPr>
      </w:pPr>
    </w:p>
    <w:p w14:paraId="706640AA" w14:textId="1DCBBDDC" w:rsidR="00046D4A" w:rsidRDefault="00046D4A" w:rsidP="00232AF6">
      <w:pPr>
        <w:spacing w:line="360" w:lineRule="auto"/>
        <w:rPr>
          <w:rFonts w:ascii="Times New Roman" w:eastAsia="Calibri" w:hAnsi="Times New Roman" w:cs="Times New Roman"/>
          <w:sz w:val="24"/>
          <w:szCs w:val="24"/>
        </w:rPr>
      </w:pPr>
    </w:p>
    <w:p w14:paraId="2C3F5D64" w14:textId="77777777" w:rsidR="00046D4A" w:rsidRDefault="00046D4A" w:rsidP="00232AF6">
      <w:pPr>
        <w:spacing w:line="360" w:lineRule="auto"/>
        <w:rPr>
          <w:rFonts w:ascii="Times New Roman" w:eastAsia="Calibri" w:hAnsi="Times New Roman" w:cs="Times New Roman"/>
          <w:sz w:val="24"/>
          <w:szCs w:val="24"/>
        </w:rPr>
      </w:pPr>
    </w:p>
    <w:p w14:paraId="60FD2C1D" w14:textId="77777777" w:rsidR="00232AF6" w:rsidRDefault="00232AF6" w:rsidP="00232AF6">
      <w:pPr>
        <w:spacing w:line="360" w:lineRule="auto"/>
        <w:rPr>
          <w:rFonts w:ascii="Times New Roman" w:eastAsia="Calibri" w:hAnsi="Times New Roman" w:cs="Times New Roman"/>
          <w:sz w:val="24"/>
          <w:szCs w:val="24"/>
        </w:rPr>
      </w:pPr>
    </w:p>
    <w:p w14:paraId="6B924CCB" w14:textId="0DACF6E7" w:rsidR="00232AF6" w:rsidRDefault="003B3787" w:rsidP="00232AF6">
      <w:pPr>
        <w:spacing w:line="360" w:lineRule="auto"/>
        <w:rPr>
          <w:rFonts w:ascii="Times New Roman" w:hAnsi="Times New Roman" w:cs="Times New Roman"/>
          <w:color w:val="000000" w:themeColor="text1"/>
          <w:sz w:val="24"/>
          <w:szCs w:val="24"/>
        </w:rPr>
      </w:pPr>
      <w:bookmarkStart w:id="0" w:name="_Hlk124646515"/>
      <w:r w:rsidRPr="00FD227A">
        <w:rPr>
          <w:rFonts w:ascii="Times New Roman" w:hAnsi="Times New Roman" w:cs="Times New Roman"/>
          <w:color w:val="222222"/>
          <w:sz w:val="24"/>
          <w:szCs w:val="24"/>
          <w:shd w:val="clear" w:color="auto" w:fill="FFFFFF"/>
        </w:rPr>
        <w:t>Supplementary figure S</w:t>
      </w:r>
      <w:r w:rsidR="00232AF6">
        <w:rPr>
          <w:rFonts w:ascii="Times New Roman" w:hAnsi="Times New Roman" w:cs="Times New Roman"/>
          <w:color w:val="000000" w:themeColor="text1"/>
          <w:sz w:val="24"/>
          <w:szCs w:val="24"/>
        </w:rPr>
        <w:t xml:space="preserve"> </w:t>
      </w:r>
      <w:r w:rsidR="00B23966">
        <w:rPr>
          <w:rFonts w:ascii="Times New Roman" w:hAnsi="Times New Roman" w:cs="Times New Roman"/>
          <w:color w:val="000000" w:themeColor="text1"/>
          <w:sz w:val="24"/>
          <w:szCs w:val="24"/>
        </w:rPr>
        <w:t>1;</w:t>
      </w:r>
      <w:r w:rsidR="00232AF6">
        <w:rPr>
          <w:rFonts w:ascii="Times New Roman" w:hAnsi="Times New Roman" w:cs="Times New Roman"/>
          <w:color w:val="000000" w:themeColor="text1"/>
          <w:sz w:val="24"/>
          <w:szCs w:val="24"/>
        </w:rPr>
        <w:t xml:space="preserve"> Scatter plot of depression and loneliness</w:t>
      </w:r>
    </w:p>
    <w:bookmarkEnd w:id="0"/>
    <w:p w14:paraId="6698F60A" w14:textId="0711ED22" w:rsidR="00232AF6" w:rsidRDefault="00232AF6" w:rsidP="00232AF6">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388638A" wp14:editId="3B5355DE">
            <wp:extent cx="3429000" cy="2743200"/>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2743200"/>
                    </a:xfrm>
                    <a:prstGeom prst="rect">
                      <a:avLst/>
                    </a:prstGeom>
                    <a:noFill/>
                    <a:ln>
                      <a:noFill/>
                    </a:ln>
                  </pic:spPr>
                </pic:pic>
              </a:graphicData>
            </a:graphic>
          </wp:inline>
        </w:drawing>
      </w:r>
    </w:p>
    <w:p w14:paraId="1523C5DC" w14:textId="66CA4339" w:rsidR="00232AF6" w:rsidRDefault="003B3787" w:rsidP="00232AF6">
      <w:pPr>
        <w:spacing w:line="360" w:lineRule="auto"/>
        <w:rPr>
          <w:rFonts w:ascii="Times New Roman" w:hAnsi="Times New Roman" w:cs="Times New Roman"/>
          <w:color w:val="000000" w:themeColor="text1"/>
          <w:sz w:val="24"/>
          <w:szCs w:val="24"/>
        </w:rPr>
      </w:pPr>
      <w:bookmarkStart w:id="1" w:name="_Hlk124646558"/>
      <w:r w:rsidRPr="003B3787">
        <w:rPr>
          <w:rFonts w:ascii="Times New Roman" w:hAnsi="Times New Roman" w:cs="Times New Roman"/>
          <w:color w:val="222222"/>
          <w:sz w:val="24"/>
          <w:szCs w:val="24"/>
          <w:shd w:val="clear" w:color="auto" w:fill="FFFFFF"/>
        </w:rPr>
        <w:t>Supplementary figure S</w:t>
      </w:r>
      <w:r>
        <w:rPr>
          <w:rFonts w:ascii="Segoe UI" w:hAnsi="Segoe UI" w:cs="Segoe UI"/>
          <w:color w:val="222222"/>
          <w:sz w:val="21"/>
          <w:szCs w:val="21"/>
          <w:shd w:val="clear" w:color="auto" w:fill="FFFFFF"/>
        </w:rPr>
        <w:t xml:space="preserve"> </w:t>
      </w:r>
      <w:r w:rsidR="00B23966">
        <w:rPr>
          <w:rFonts w:ascii="Times New Roman" w:hAnsi="Times New Roman" w:cs="Times New Roman"/>
          <w:color w:val="000000" w:themeColor="text1"/>
          <w:sz w:val="24"/>
          <w:szCs w:val="24"/>
        </w:rPr>
        <w:t>2</w:t>
      </w:r>
      <w:r w:rsidR="00232AF6">
        <w:rPr>
          <w:rFonts w:ascii="Times New Roman" w:hAnsi="Times New Roman" w:cs="Times New Roman"/>
          <w:color w:val="000000" w:themeColor="text1"/>
          <w:sz w:val="24"/>
          <w:szCs w:val="24"/>
        </w:rPr>
        <w:t>: Scatter plot of depression and purpose in life</w:t>
      </w:r>
      <w:bookmarkEnd w:id="1"/>
    </w:p>
    <w:p w14:paraId="186A55CD" w14:textId="308975D5" w:rsidR="00232AF6" w:rsidRDefault="00232AF6" w:rsidP="00232AF6">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25F8D0E" wp14:editId="6D09EB01">
            <wp:extent cx="3261360" cy="2743200"/>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1360" cy="2743200"/>
                    </a:xfrm>
                    <a:prstGeom prst="rect">
                      <a:avLst/>
                    </a:prstGeom>
                    <a:noFill/>
                    <a:ln>
                      <a:noFill/>
                    </a:ln>
                  </pic:spPr>
                </pic:pic>
              </a:graphicData>
            </a:graphic>
          </wp:inline>
        </w:drawing>
      </w:r>
    </w:p>
    <w:p w14:paraId="426A5AE3" w14:textId="6DEF9240" w:rsidR="00232AF6" w:rsidRDefault="003B3787" w:rsidP="00232AF6">
      <w:pPr>
        <w:spacing w:line="360" w:lineRule="auto"/>
        <w:rPr>
          <w:rFonts w:ascii="Times New Roman" w:hAnsi="Times New Roman" w:cs="Times New Roman"/>
          <w:color w:val="000000" w:themeColor="text1"/>
          <w:sz w:val="24"/>
          <w:szCs w:val="24"/>
        </w:rPr>
      </w:pPr>
      <w:bookmarkStart w:id="2" w:name="_Hlk124646597"/>
      <w:r w:rsidRPr="003B3787">
        <w:rPr>
          <w:rFonts w:ascii="Times New Roman" w:hAnsi="Times New Roman" w:cs="Times New Roman"/>
          <w:color w:val="222222"/>
          <w:sz w:val="24"/>
          <w:szCs w:val="24"/>
          <w:shd w:val="clear" w:color="auto" w:fill="FFFFFF"/>
        </w:rPr>
        <w:t>Supplementary figure S</w:t>
      </w:r>
      <w:r w:rsidRPr="003B3787">
        <w:rPr>
          <w:rFonts w:ascii="Times New Roman" w:hAnsi="Times New Roman" w:cs="Times New Roman"/>
          <w:color w:val="222222"/>
          <w:sz w:val="24"/>
          <w:szCs w:val="24"/>
          <w:shd w:val="clear" w:color="auto" w:fill="FFFFFF"/>
        </w:rPr>
        <w:t xml:space="preserve"> </w:t>
      </w:r>
      <w:r w:rsidR="00B23966">
        <w:rPr>
          <w:rFonts w:ascii="Times New Roman" w:hAnsi="Times New Roman" w:cs="Times New Roman"/>
          <w:color w:val="000000" w:themeColor="text1"/>
          <w:sz w:val="24"/>
          <w:szCs w:val="24"/>
        </w:rPr>
        <w:t>3</w:t>
      </w:r>
      <w:r w:rsidR="00232AF6">
        <w:rPr>
          <w:rFonts w:ascii="Times New Roman" w:hAnsi="Times New Roman" w:cs="Times New Roman"/>
          <w:color w:val="000000" w:themeColor="text1"/>
          <w:sz w:val="24"/>
          <w:szCs w:val="24"/>
        </w:rPr>
        <w:t>: Scatter plot of purpose in life and loneliness</w:t>
      </w:r>
    </w:p>
    <w:bookmarkEnd w:id="2"/>
    <w:p w14:paraId="052D7FE6" w14:textId="77777777" w:rsidR="00232AF6" w:rsidRDefault="00232AF6" w:rsidP="00232AF6">
      <w:pPr>
        <w:spacing w:line="360" w:lineRule="auto"/>
        <w:rPr>
          <w:rFonts w:ascii="Times New Roman" w:hAnsi="Times New Roman" w:cs="Times New Roman"/>
          <w:color w:val="000000" w:themeColor="text1"/>
          <w:sz w:val="24"/>
          <w:szCs w:val="24"/>
        </w:rPr>
      </w:pPr>
    </w:p>
    <w:p w14:paraId="3D904E55" w14:textId="79409308" w:rsidR="00232AF6" w:rsidRDefault="00232AF6" w:rsidP="00232AF6">
      <w:pPr>
        <w:spacing w:line="36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06B34FD2" wp14:editId="5B8E50F0">
            <wp:extent cx="3261360" cy="274320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1360" cy="2743200"/>
                    </a:xfrm>
                    <a:prstGeom prst="rect">
                      <a:avLst/>
                    </a:prstGeom>
                    <a:noFill/>
                    <a:ln>
                      <a:noFill/>
                    </a:ln>
                  </pic:spPr>
                </pic:pic>
              </a:graphicData>
            </a:graphic>
          </wp:inline>
        </w:drawing>
      </w:r>
    </w:p>
    <w:p w14:paraId="3D558E0C" w14:textId="16372AD1" w:rsidR="00046D4A" w:rsidRDefault="00046D4A" w:rsidP="00232AF6">
      <w:pPr>
        <w:spacing w:line="360" w:lineRule="auto"/>
        <w:rPr>
          <w:rFonts w:ascii="Times New Roman" w:hAnsi="Times New Roman" w:cs="Times New Roman"/>
          <w:color w:val="000000" w:themeColor="text1"/>
          <w:sz w:val="24"/>
          <w:szCs w:val="24"/>
        </w:rPr>
      </w:pPr>
    </w:p>
    <w:p w14:paraId="07E18149" w14:textId="114BCB32" w:rsidR="00046D4A" w:rsidRDefault="003B3787" w:rsidP="00046D4A">
      <w:pPr>
        <w:spacing w:line="360" w:lineRule="auto"/>
        <w:rPr>
          <w:rFonts w:ascii="Times New Roman" w:hAnsi="Times New Roman" w:cs="Times New Roman"/>
          <w:color w:val="000000" w:themeColor="text1"/>
          <w:sz w:val="24"/>
          <w:szCs w:val="24"/>
        </w:rPr>
      </w:pPr>
      <w:r w:rsidRPr="003B3787">
        <w:rPr>
          <w:rFonts w:ascii="Times New Roman" w:hAnsi="Times New Roman" w:cs="Times New Roman"/>
          <w:color w:val="222222"/>
          <w:sz w:val="24"/>
          <w:szCs w:val="24"/>
          <w:shd w:val="clear" w:color="auto" w:fill="FFFFFF"/>
        </w:rPr>
        <w:t>Supplementary figure S</w:t>
      </w:r>
      <w:r>
        <w:rPr>
          <w:rFonts w:ascii="Segoe UI" w:hAnsi="Segoe UI" w:cs="Segoe UI"/>
          <w:color w:val="222222"/>
          <w:sz w:val="21"/>
          <w:szCs w:val="21"/>
          <w:shd w:val="clear" w:color="auto" w:fill="FFFFFF"/>
        </w:rPr>
        <w:t xml:space="preserve"> </w:t>
      </w:r>
      <w:r w:rsidR="00046D4A">
        <w:rPr>
          <w:rFonts w:ascii="Times New Roman" w:hAnsi="Times New Roman" w:cs="Times New Roman"/>
          <w:color w:val="000000" w:themeColor="text1"/>
          <w:sz w:val="24"/>
          <w:szCs w:val="24"/>
        </w:rPr>
        <w:t>4: Mean scores of depressions, purpose in life, and loneliness by gender</w:t>
      </w:r>
    </w:p>
    <w:p w14:paraId="7129918D" w14:textId="77777777" w:rsidR="00046D4A" w:rsidRDefault="00046D4A" w:rsidP="00046D4A"/>
    <w:p w14:paraId="62C1CBBA" w14:textId="77777777" w:rsidR="00046D4A" w:rsidRDefault="00046D4A" w:rsidP="00046D4A"/>
    <w:p w14:paraId="3FB18200" w14:textId="77777777" w:rsidR="00046D4A" w:rsidRDefault="00046D4A" w:rsidP="00046D4A">
      <w:r>
        <w:rPr>
          <w:noProof/>
        </w:rPr>
        <w:drawing>
          <wp:inline distT="0" distB="0" distL="0" distR="0" wp14:anchorId="5AEA2E6B" wp14:editId="6503AAEA">
            <wp:extent cx="5889171" cy="2743200"/>
            <wp:effectExtent l="0" t="0" r="16510" b="0"/>
            <wp:docPr id="6" name="Chart 6">
              <a:extLst xmlns:a="http://schemas.openxmlformats.org/drawingml/2006/main">
                <a:ext uri="{FF2B5EF4-FFF2-40B4-BE49-F238E27FC236}">
                  <a16:creationId xmlns:a16="http://schemas.microsoft.com/office/drawing/2014/main" id="{D75205DF-B41C-4C7D-8F3F-8400E93F6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7D51544" w14:textId="77777777" w:rsidR="00046D4A" w:rsidRDefault="00046D4A" w:rsidP="00046D4A">
      <w:pPr>
        <w:spacing w:line="360" w:lineRule="auto"/>
        <w:rPr>
          <w:rFonts w:ascii="Times New Roman" w:hAnsi="Times New Roman" w:cs="Times New Roman"/>
          <w:color w:val="000000" w:themeColor="text1"/>
          <w:sz w:val="24"/>
          <w:szCs w:val="24"/>
        </w:rPr>
      </w:pPr>
    </w:p>
    <w:p w14:paraId="649D8E51" w14:textId="2C34C430" w:rsidR="00046D4A" w:rsidRDefault="003B3787" w:rsidP="00046D4A">
      <w:pPr>
        <w:spacing w:line="360" w:lineRule="auto"/>
        <w:rPr>
          <w:rFonts w:ascii="Times New Roman" w:hAnsi="Times New Roman" w:cs="Times New Roman"/>
          <w:color w:val="000000" w:themeColor="text1"/>
          <w:sz w:val="24"/>
          <w:szCs w:val="24"/>
        </w:rPr>
      </w:pPr>
      <w:r w:rsidRPr="003B3787">
        <w:rPr>
          <w:rFonts w:ascii="Times New Roman" w:hAnsi="Times New Roman" w:cs="Times New Roman"/>
          <w:color w:val="222222"/>
          <w:sz w:val="24"/>
          <w:szCs w:val="24"/>
          <w:shd w:val="clear" w:color="auto" w:fill="FFFFFF"/>
        </w:rPr>
        <w:t>Supplementary figure S</w:t>
      </w:r>
      <w:r w:rsidR="00046D4A">
        <w:rPr>
          <w:rFonts w:ascii="Times New Roman" w:hAnsi="Times New Roman" w:cs="Times New Roman"/>
          <w:color w:val="000000" w:themeColor="text1"/>
          <w:sz w:val="24"/>
          <w:szCs w:val="24"/>
        </w:rPr>
        <w:t xml:space="preserve"> 5: Mean scores of depressions, purpose in life, and loneliness by marital status</w:t>
      </w:r>
    </w:p>
    <w:p w14:paraId="0B69B79C" w14:textId="77777777" w:rsidR="00046D4A" w:rsidRDefault="00046D4A" w:rsidP="00046D4A">
      <w:pPr>
        <w:spacing w:line="360" w:lineRule="auto"/>
        <w:rPr>
          <w:rFonts w:ascii="Times New Roman" w:hAnsi="Times New Roman" w:cs="Times New Roman"/>
          <w:b/>
          <w:bCs/>
          <w:color w:val="000000" w:themeColor="text1"/>
          <w:sz w:val="24"/>
          <w:szCs w:val="24"/>
        </w:rPr>
      </w:pPr>
      <w:r>
        <w:rPr>
          <w:noProof/>
        </w:rPr>
        <w:lastRenderedPageBreak/>
        <w:drawing>
          <wp:inline distT="0" distB="0" distL="0" distR="0" wp14:anchorId="58C0D05D" wp14:editId="78065533">
            <wp:extent cx="5470071" cy="2743200"/>
            <wp:effectExtent l="0" t="0" r="16510" b="0"/>
            <wp:docPr id="7" name="Chart 7">
              <a:extLst xmlns:a="http://schemas.openxmlformats.org/drawingml/2006/main">
                <a:ext uri="{FF2B5EF4-FFF2-40B4-BE49-F238E27FC236}">
                  <a16:creationId xmlns:a16="http://schemas.microsoft.com/office/drawing/2014/main" id="{99AC804E-3129-49AF-B401-75B33815B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B58AA6" w14:textId="77777777" w:rsidR="00046D4A" w:rsidRDefault="00046D4A" w:rsidP="00046D4A"/>
    <w:p w14:paraId="5C94FE3C" w14:textId="77777777" w:rsidR="00046D4A" w:rsidRDefault="00046D4A" w:rsidP="00046D4A">
      <w:pPr>
        <w:spacing w:line="360" w:lineRule="auto"/>
        <w:rPr>
          <w:rFonts w:ascii="Times New Roman" w:hAnsi="Times New Roman" w:cs="Times New Roman"/>
          <w:color w:val="000000" w:themeColor="text1"/>
          <w:sz w:val="24"/>
          <w:szCs w:val="24"/>
        </w:rPr>
      </w:pPr>
    </w:p>
    <w:p w14:paraId="5D726034" w14:textId="77777777" w:rsidR="00046D4A" w:rsidRDefault="00046D4A" w:rsidP="00232AF6">
      <w:pPr>
        <w:spacing w:line="360" w:lineRule="auto"/>
        <w:rPr>
          <w:rFonts w:ascii="Times New Roman" w:hAnsi="Times New Roman" w:cs="Times New Roman"/>
          <w:color w:val="000000" w:themeColor="text1"/>
          <w:sz w:val="24"/>
          <w:szCs w:val="24"/>
        </w:rPr>
      </w:pPr>
    </w:p>
    <w:p w14:paraId="00E1CF17" w14:textId="77777777" w:rsidR="00232AF6" w:rsidRDefault="00232AF6" w:rsidP="00232AF6">
      <w:pPr>
        <w:spacing w:line="360" w:lineRule="auto"/>
        <w:rPr>
          <w:rFonts w:ascii="Times New Roman" w:eastAsia="Calibri" w:hAnsi="Times New Roman" w:cs="Times New Roman"/>
          <w:sz w:val="24"/>
          <w:szCs w:val="24"/>
        </w:rPr>
      </w:pPr>
      <w:r>
        <w:rPr>
          <w:rFonts w:ascii="Times New Roman" w:hAnsi="Times New Roman" w:cs="Times New Roman"/>
          <w:b/>
          <w:bCs/>
          <w:color w:val="000000" w:themeColor="text1"/>
          <w:sz w:val="24"/>
          <w:szCs w:val="24"/>
          <w:u w:val="single"/>
        </w:rPr>
        <w:t xml:space="preserve">Assumption checking for </w:t>
      </w:r>
      <w:r>
        <w:rPr>
          <w:rFonts w:ascii="Times New Roman" w:eastAsia="Calibri" w:hAnsi="Times New Roman" w:cs="Times New Roman"/>
          <w:b/>
          <w:bCs/>
          <w:sz w:val="24"/>
          <w:szCs w:val="24"/>
          <w:u w:val="single"/>
        </w:rPr>
        <w:t>two-sample t-tests</w:t>
      </w:r>
    </w:p>
    <w:p w14:paraId="71D258D4" w14:textId="77777777" w:rsidR="00232AF6" w:rsidRDefault="00232AF6" w:rsidP="00232AF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following three assumptions for two-sample t-tests were examined: a) independence of observations, b) the dependent variable should be approximately normally distributed, and c) there needs to be homogeneity of variances (Field, 2013). The independence assumption was satisfied as each patient was an independent individual and hence the observations were independent of one another. </w:t>
      </w:r>
    </w:p>
    <w:p w14:paraId="2DA6B50E" w14:textId="77777777" w:rsidR="00232AF6" w:rsidRDefault="00232AF6" w:rsidP="00232AF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normality assumption was checked via skewness and kurtosis. As suggested by Kim (2013) and Mishra et al. (2019), an absolute skewness value ≤ 2 and an absolute kurtosis (excess) ≤ 4 for the data may be used as reference values for determining considerable normality. Since the values of skewness ranged from -0.55 to 0.74 for males and from -0.53 to 0.72 for females, and the values of kurtosis ranged from -0.60 to 1.95 for males and from -0.40 to 2.61 for females </w:t>
      </w:r>
      <w:r>
        <w:rPr>
          <w:rFonts w:ascii="Times New Roman" w:hAnsi="Times New Roman" w:cs="Times New Roman"/>
          <w:sz w:val="24"/>
          <w:szCs w:val="24"/>
        </w:rPr>
        <w:t>(Table 7)</w:t>
      </w:r>
      <w:r>
        <w:rPr>
          <w:rFonts w:ascii="Times New Roman" w:eastAsia="Calibri" w:hAnsi="Times New Roman" w:cs="Times New Roman"/>
          <w:sz w:val="24"/>
          <w:szCs w:val="24"/>
        </w:rPr>
        <w:t xml:space="preserve">, it was concluded that the normality assumption was satisfied for </w:t>
      </w:r>
      <w:r>
        <w:rPr>
          <w:rFonts w:ascii="Times New Roman" w:hAnsi="Times New Roman" w:cs="Times New Roman"/>
          <w:color w:val="000000" w:themeColor="text1"/>
          <w:sz w:val="24"/>
          <w:szCs w:val="24"/>
        </w:rPr>
        <w:t>the two-sample t-tests.</w:t>
      </w:r>
      <w:r>
        <w:rPr>
          <w:rFonts w:ascii="Times New Roman" w:eastAsia="Calibri" w:hAnsi="Times New Roman" w:cs="Times New Roman"/>
          <w:b/>
          <w:bCs/>
          <w:sz w:val="24"/>
          <w:szCs w:val="24"/>
        </w:rPr>
        <w:t xml:space="preserve"> </w:t>
      </w:r>
    </w:p>
    <w:p w14:paraId="6F7C98A6" w14:textId="77777777" w:rsidR="00232AF6" w:rsidRDefault="00232AF6" w:rsidP="00232AF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assumption of homogeneity of variances were examined using Levene’s test. Since the p-values for Levene’s tests were all greater than 0.05 (Table 7), it was concluded that the </w:t>
      </w:r>
      <w:r>
        <w:rPr>
          <w:rFonts w:ascii="Times New Roman" w:eastAsia="Calibri" w:hAnsi="Times New Roman" w:cs="Times New Roman"/>
          <w:sz w:val="24"/>
          <w:szCs w:val="24"/>
        </w:rPr>
        <w:lastRenderedPageBreak/>
        <w:t xml:space="preserve">assumption of homogeneity of variances for </w:t>
      </w:r>
      <w:r>
        <w:rPr>
          <w:rFonts w:ascii="Times New Roman" w:hAnsi="Times New Roman" w:cs="Times New Roman"/>
          <w:color w:val="000000" w:themeColor="text1"/>
          <w:sz w:val="24"/>
          <w:szCs w:val="24"/>
        </w:rPr>
        <w:t xml:space="preserve">two-sample t-tests was satisfied. </w:t>
      </w:r>
      <w:r>
        <w:rPr>
          <w:rFonts w:ascii="Times New Roman" w:eastAsia="Calibri" w:hAnsi="Times New Roman" w:cs="Times New Roman"/>
          <w:sz w:val="24"/>
          <w:szCs w:val="24"/>
        </w:rPr>
        <w:t xml:space="preserve">As all assumptions were satisfied for </w:t>
      </w:r>
      <w:r>
        <w:rPr>
          <w:rFonts w:ascii="Times New Roman" w:hAnsi="Times New Roman" w:cs="Times New Roman"/>
          <w:color w:val="000000" w:themeColor="text1"/>
          <w:sz w:val="24"/>
          <w:szCs w:val="24"/>
        </w:rPr>
        <w:t>two-sample t-tests</w:t>
      </w:r>
      <w:r>
        <w:rPr>
          <w:rFonts w:ascii="Times New Roman" w:eastAsia="Calibri" w:hAnsi="Times New Roman" w:cs="Times New Roman"/>
          <w:sz w:val="24"/>
          <w:szCs w:val="24"/>
        </w:rPr>
        <w:t xml:space="preserve">, it was appropriate to apply </w:t>
      </w:r>
      <w:r>
        <w:rPr>
          <w:rFonts w:ascii="Times New Roman" w:hAnsi="Times New Roman" w:cs="Times New Roman"/>
          <w:color w:val="000000" w:themeColor="text1"/>
          <w:sz w:val="24"/>
          <w:szCs w:val="24"/>
        </w:rPr>
        <w:t>two-sample t-tests</w:t>
      </w:r>
      <w:r>
        <w:rPr>
          <w:rFonts w:ascii="Times New Roman" w:eastAsia="Calibri" w:hAnsi="Times New Roman" w:cs="Times New Roman"/>
          <w:sz w:val="24"/>
          <w:szCs w:val="24"/>
        </w:rPr>
        <w:t xml:space="preserve"> to analyze the data.  </w:t>
      </w:r>
    </w:p>
    <w:p w14:paraId="2E881EE0" w14:textId="77777777" w:rsidR="00232AF6" w:rsidRDefault="00232AF6" w:rsidP="00232AF6">
      <w:pPr>
        <w:spacing w:line="360" w:lineRule="auto"/>
        <w:rPr>
          <w:rFonts w:ascii="Times New Roman" w:eastAsia="Calibri" w:hAnsi="Times New Roman" w:cs="Times New Roman"/>
          <w:sz w:val="24"/>
          <w:szCs w:val="24"/>
        </w:rPr>
      </w:pPr>
      <w:r>
        <w:rPr>
          <w:rFonts w:ascii="Times New Roman" w:hAnsi="Times New Roman" w:cs="Times New Roman"/>
          <w:b/>
          <w:bCs/>
          <w:color w:val="000000" w:themeColor="text1"/>
          <w:sz w:val="24"/>
          <w:szCs w:val="24"/>
          <w:u w:val="single"/>
        </w:rPr>
        <w:t xml:space="preserve">Assumption checking for </w:t>
      </w:r>
      <w:r>
        <w:rPr>
          <w:rFonts w:ascii="Times New Roman" w:eastAsia="Calibri" w:hAnsi="Times New Roman" w:cs="Times New Roman"/>
          <w:b/>
          <w:bCs/>
          <w:sz w:val="24"/>
          <w:szCs w:val="24"/>
          <w:u w:val="single"/>
        </w:rPr>
        <w:t>one-way ANOVAs</w:t>
      </w:r>
    </w:p>
    <w:p w14:paraId="37155137" w14:textId="77777777" w:rsidR="00232AF6" w:rsidRDefault="00232AF6" w:rsidP="00232AF6">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For ANOVAs, the following assumptions were checked: (a) independence of observations, (c) normality of the residuals, and (d) homoscedasticity (homogeneity of variances) (Neter et al., 1990; Keppel, 1991). The assumption of independence of observations means that that there was no relationship between the observations in each group or between the groups themselves. As participants of the study were independent individuals, the assumption of independence of observations was satisfied. </w:t>
      </w:r>
    </w:p>
    <w:p w14:paraId="47D97CA7" w14:textId="77777777" w:rsidR="00232AF6" w:rsidRDefault="00232AF6" w:rsidP="00232AF6">
      <w:pPr>
        <w:spacing w:line="360" w:lineRule="auto"/>
        <w:rPr>
          <w:rFonts w:ascii="Times New Roman" w:eastAsia="Calibri" w:hAnsi="Times New Roman" w:cs="Times New Roman"/>
          <w:b/>
          <w:bCs/>
          <w:sz w:val="24"/>
          <w:szCs w:val="24"/>
        </w:rPr>
      </w:pPr>
      <w:r>
        <w:rPr>
          <w:rFonts w:ascii="Times New Roman" w:hAnsi="Times New Roman" w:cs="Times New Roman"/>
          <w:sz w:val="24"/>
          <w:szCs w:val="24"/>
        </w:rPr>
        <w:t xml:space="preserve">The assumption of normality of the residuals was checked using the skewness and kurtosis. </w:t>
      </w:r>
      <w:r>
        <w:rPr>
          <w:rFonts w:ascii="Times New Roman" w:eastAsia="Calibri" w:hAnsi="Times New Roman" w:cs="Times New Roman"/>
          <w:sz w:val="24"/>
          <w:szCs w:val="24"/>
        </w:rPr>
        <w:t xml:space="preserve">As suggested by Kim (2013) and Mishra et al. (2019), an absolute skewness value ≤ 2 and an absolute kurtosis (excess) ≤ 4 for the data may be used as reference values for determining considerable normality. Since the values of skewness ranged from -0.53 to 0.73 and the values of kurtosis ranged from -0.49 to 2.23 </w:t>
      </w:r>
      <w:r>
        <w:rPr>
          <w:rFonts w:ascii="Times New Roman" w:hAnsi="Times New Roman" w:cs="Times New Roman"/>
          <w:sz w:val="24"/>
          <w:szCs w:val="24"/>
        </w:rPr>
        <w:t>(Table 8)</w:t>
      </w:r>
      <w:r>
        <w:rPr>
          <w:rFonts w:ascii="Times New Roman" w:eastAsia="Calibri" w:hAnsi="Times New Roman" w:cs="Times New Roman"/>
          <w:sz w:val="24"/>
          <w:szCs w:val="24"/>
        </w:rPr>
        <w:t xml:space="preserve">, it was concluded that the normality assumption was satisfied for </w:t>
      </w:r>
      <w:r>
        <w:rPr>
          <w:rFonts w:ascii="Times New Roman" w:hAnsi="Times New Roman" w:cs="Times New Roman"/>
          <w:color w:val="000000" w:themeColor="text1"/>
          <w:sz w:val="24"/>
          <w:szCs w:val="24"/>
        </w:rPr>
        <w:t>the ANOVAs.</w:t>
      </w:r>
      <w:r>
        <w:rPr>
          <w:rFonts w:ascii="Times New Roman" w:eastAsia="Calibri" w:hAnsi="Times New Roman" w:cs="Times New Roman"/>
          <w:b/>
          <w:bCs/>
          <w:sz w:val="24"/>
          <w:szCs w:val="24"/>
        </w:rPr>
        <w:t xml:space="preserve"> </w:t>
      </w:r>
    </w:p>
    <w:p w14:paraId="7D8FEC0E" w14:textId="77777777" w:rsidR="00232AF6" w:rsidRDefault="00232AF6" w:rsidP="00232AF6">
      <w:pPr>
        <w:spacing w:line="360" w:lineRule="auto"/>
        <w:rPr>
          <w:rFonts w:ascii="Times New Roman" w:eastAsia="Calibri" w:hAnsi="Times New Roman" w:cs="Times New Roman"/>
          <w:sz w:val="24"/>
          <w:szCs w:val="24"/>
        </w:rPr>
      </w:pPr>
      <w:r>
        <w:rPr>
          <w:rFonts w:ascii="Times New Roman" w:hAnsi="Times New Roman" w:cs="Times New Roman"/>
          <w:sz w:val="24"/>
          <w:szCs w:val="24"/>
        </w:rPr>
        <w:t xml:space="preserve">The assumption of homoscedasticity (homogeneity of variances) was checked via Levene’s test (Neter et al., 1990). </w:t>
      </w:r>
      <w:r>
        <w:rPr>
          <w:rFonts w:ascii="Times New Roman" w:eastAsia="Calibri" w:hAnsi="Times New Roman" w:cs="Times New Roman"/>
          <w:sz w:val="24"/>
          <w:szCs w:val="24"/>
        </w:rPr>
        <w:t xml:space="preserve">Since the p-values for Levene’s tests were all greater than 0.05 (Table 8), it was concluded that the assumption of homogeneity of variances for </w:t>
      </w:r>
      <w:r>
        <w:rPr>
          <w:rFonts w:ascii="Times New Roman" w:hAnsi="Times New Roman" w:cs="Times New Roman"/>
          <w:color w:val="000000" w:themeColor="text1"/>
          <w:sz w:val="24"/>
          <w:szCs w:val="24"/>
        </w:rPr>
        <w:t xml:space="preserve">ANOVAs was satisfied. </w:t>
      </w:r>
      <w:r>
        <w:rPr>
          <w:rFonts w:ascii="Times New Roman" w:eastAsia="Calibri" w:hAnsi="Times New Roman" w:cs="Times New Roman"/>
          <w:sz w:val="24"/>
          <w:szCs w:val="24"/>
        </w:rPr>
        <w:t xml:space="preserve">As all assumptions were satisfied for </w:t>
      </w:r>
      <w:r>
        <w:rPr>
          <w:rFonts w:ascii="Times New Roman" w:hAnsi="Times New Roman" w:cs="Times New Roman"/>
          <w:color w:val="000000" w:themeColor="text1"/>
          <w:sz w:val="24"/>
          <w:szCs w:val="24"/>
        </w:rPr>
        <w:t>ANOVAs</w:t>
      </w:r>
      <w:r>
        <w:rPr>
          <w:rFonts w:ascii="Times New Roman" w:eastAsia="Calibri" w:hAnsi="Times New Roman" w:cs="Times New Roman"/>
          <w:sz w:val="24"/>
          <w:szCs w:val="24"/>
        </w:rPr>
        <w:t xml:space="preserve">, it was appropriate to apply </w:t>
      </w:r>
      <w:r>
        <w:rPr>
          <w:rFonts w:ascii="Times New Roman" w:hAnsi="Times New Roman" w:cs="Times New Roman"/>
          <w:color w:val="000000" w:themeColor="text1"/>
          <w:sz w:val="24"/>
          <w:szCs w:val="24"/>
        </w:rPr>
        <w:t>ANOVAs</w:t>
      </w:r>
      <w:r>
        <w:rPr>
          <w:rFonts w:ascii="Times New Roman" w:eastAsia="Calibri" w:hAnsi="Times New Roman" w:cs="Times New Roman"/>
          <w:sz w:val="24"/>
          <w:szCs w:val="24"/>
        </w:rPr>
        <w:t xml:space="preserve"> to analyze the data.  </w:t>
      </w:r>
    </w:p>
    <w:p w14:paraId="155FC9AD" w14:textId="77777777" w:rsidR="00232AF6" w:rsidRDefault="00232AF6" w:rsidP="00232AF6">
      <w:pPr>
        <w:spacing w:line="360" w:lineRule="auto"/>
        <w:rPr>
          <w:rFonts w:ascii="Times New Roman" w:hAnsi="Times New Roman" w:cs="Times New Roman"/>
          <w:color w:val="000000" w:themeColor="text1"/>
          <w:sz w:val="24"/>
          <w:szCs w:val="24"/>
        </w:rPr>
      </w:pPr>
    </w:p>
    <w:p w14:paraId="46C1B89D" w14:textId="77777777" w:rsidR="00232AF6" w:rsidRDefault="00232AF6" w:rsidP="00232AF6">
      <w:pPr>
        <w:spacing w:line="360" w:lineRule="auto"/>
        <w:rPr>
          <w:rFonts w:ascii="Times New Roman" w:hAnsi="Times New Roman" w:cs="Times New Roman"/>
          <w:color w:val="000000" w:themeColor="text1"/>
          <w:sz w:val="24"/>
          <w:szCs w:val="24"/>
        </w:rPr>
      </w:pPr>
    </w:p>
    <w:p w14:paraId="10D42DCA" w14:textId="77777777" w:rsidR="00232AF6" w:rsidRDefault="00232AF6" w:rsidP="00232AF6">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References</w:t>
      </w:r>
    </w:p>
    <w:p w14:paraId="36ED4E30"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Beck, A., Steer, R., &amp; Brown, G. (1996). </w:t>
      </w:r>
      <w:r>
        <w:rPr>
          <w:rFonts w:ascii="Times New Roman" w:hAnsi="Times New Roman" w:cs="Times New Roman"/>
          <w:i/>
          <w:iCs/>
          <w:sz w:val="24"/>
          <w:szCs w:val="24"/>
        </w:rPr>
        <w:t>Manual for the Beck Depression Inventory-II</w:t>
      </w:r>
      <w:r>
        <w:rPr>
          <w:rFonts w:ascii="Times New Roman" w:hAnsi="Times New Roman" w:cs="Times New Roman"/>
          <w:sz w:val="24"/>
          <w:szCs w:val="24"/>
        </w:rPr>
        <w:t>. San Antonio, TX: Psychological Corporation.</w:t>
      </w:r>
    </w:p>
    <w:p w14:paraId="48DD5CEE"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Beck, A., Steer, R., Ball, R., &amp; Ranieri, W. (1996). Comparison of Beck Depression Inventories-IA and-II in psychiatric outpatients. </w:t>
      </w:r>
      <w:r>
        <w:rPr>
          <w:rFonts w:ascii="Times New Roman" w:hAnsi="Times New Roman" w:cs="Times New Roman"/>
          <w:i/>
          <w:iCs/>
          <w:sz w:val="24"/>
          <w:szCs w:val="24"/>
        </w:rPr>
        <w:t>Journal of personality assessment</w:t>
      </w:r>
      <w:r>
        <w:rPr>
          <w:rFonts w:ascii="Times New Roman" w:hAnsi="Times New Roman" w:cs="Times New Roman"/>
          <w:sz w:val="24"/>
          <w:szCs w:val="24"/>
        </w:rPr>
        <w:t xml:space="preserve">, </w:t>
      </w:r>
      <w:r>
        <w:rPr>
          <w:rFonts w:ascii="Times New Roman" w:hAnsi="Times New Roman" w:cs="Times New Roman"/>
          <w:i/>
          <w:iCs/>
          <w:sz w:val="24"/>
          <w:szCs w:val="24"/>
        </w:rPr>
        <w:t>67</w:t>
      </w:r>
      <w:r>
        <w:rPr>
          <w:rFonts w:ascii="Times New Roman" w:hAnsi="Times New Roman" w:cs="Times New Roman"/>
          <w:sz w:val="24"/>
          <w:szCs w:val="24"/>
        </w:rPr>
        <w:t>(3), 588-597.</w:t>
      </w:r>
    </w:p>
    <w:p w14:paraId="6F42F9F7"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Crumbaugh, J. C., &amp; Maholick, L. T. (1964). An experimental study in existentialism: The psychometric approach to Frankl's concept of </w:t>
      </w:r>
      <w:proofErr w:type="spellStart"/>
      <w:r>
        <w:rPr>
          <w:rFonts w:ascii="Times New Roman" w:hAnsi="Times New Roman" w:cs="Times New Roman"/>
          <w:sz w:val="24"/>
          <w:szCs w:val="24"/>
        </w:rPr>
        <w:t>noogenic</w:t>
      </w:r>
      <w:proofErr w:type="spellEnd"/>
      <w:r>
        <w:rPr>
          <w:rFonts w:ascii="Times New Roman" w:hAnsi="Times New Roman" w:cs="Times New Roman"/>
          <w:sz w:val="24"/>
          <w:szCs w:val="24"/>
        </w:rPr>
        <w:t xml:space="preserve"> neurosis. </w:t>
      </w:r>
      <w:r>
        <w:rPr>
          <w:rFonts w:ascii="Times New Roman" w:hAnsi="Times New Roman" w:cs="Times New Roman"/>
          <w:i/>
          <w:iCs/>
          <w:sz w:val="24"/>
          <w:szCs w:val="24"/>
        </w:rPr>
        <w:t>Journal of clinical psychology</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(2), 200-207.</w:t>
      </w:r>
    </w:p>
    <w:p w14:paraId="777C5AF5"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Field, A. (2013). Discovering statistics using IBM SPSS statistics. Sage Publication Ltd.</w:t>
      </w:r>
    </w:p>
    <w:p w14:paraId="78BA6E4C"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Keppel, G. (1991). </w:t>
      </w:r>
      <w:r>
        <w:rPr>
          <w:rFonts w:ascii="Times New Roman" w:hAnsi="Times New Roman" w:cs="Times New Roman"/>
          <w:i/>
          <w:iCs/>
          <w:sz w:val="24"/>
          <w:szCs w:val="24"/>
        </w:rPr>
        <w:t>Design and analysis: A researcher's handbook</w:t>
      </w:r>
      <w:r>
        <w:rPr>
          <w:rFonts w:ascii="Times New Roman" w:hAnsi="Times New Roman" w:cs="Times New Roman"/>
          <w:sz w:val="24"/>
          <w:szCs w:val="24"/>
        </w:rPr>
        <w:t>. Englewood Cliffs, NJ: Prentice-Hall, Inc.</w:t>
      </w:r>
    </w:p>
    <w:p w14:paraId="23265F35"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Kim, H. Y. (2013). Statistical notes for clinical researchers: Assessing normal distribution (2) using skewness and kurtosis. </w:t>
      </w:r>
      <w:r>
        <w:rPr>
          <w:rFonts w:ascii="Times New Roman" w:hAnsi="Times New Roman" w:cs="Times New Roman"/>
          <w:i/>
          <w:iCs/>
          <w:sz w:val="24"/>
          <w:szCs w:val="24"/>
        </w:rPr>
        <w:t>Restorative Dentistry &amp; Endodontics</w:t>
      </w:r>
      <w:r>
        <w:rPr>
          <w:rFonts w:ascii="Times New Roman" w:hAnsi="Times New Roman" w:cs="Times New Roman"/>
          <w:sz w:val="24"/>
          <w:szCs w:val="24"/>
        </w:rPr>
        <w:t>, </w:t>
      </w:r>
      <w:r>
        <w:rPr>
          <w:rFonts w:ascii="Times New Roman" w:hAnsi="Times New Roman" w:cs="Times New Roman"/>
          <w:i/>
          <w:iCs/>
          <w:sz w:val="24"/>
          <w:szCs w:val="24"/>
        </w:rPr>
        <w:t>38</w:t>
      </w:r>
      <w:r>
        <w:rPr>
          <w:rFonts w:ascii="Times New Roman" w:hAnsi="Times New Roman" w:cs="Times New Roman"/>
          <w:sz w:val="24"/>
          <w:szCs w:val="24"/>
        </w:rPr>
        <w:t>(1), 52.</w:t>
      </w:r>
    </w:p>
    <w:p w14:paraId="121F4900"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Lodder, P. (2013). To impute or not impute: That’s the question. </w:t>
      </w:r>
      <w:r>
        <w:rPr>
          <w:rFonts w:ascii="Times New Roman" w:hAnsi="Times New Roman" w:cs="Times New Roman"/>
          <w:i/>
          <w:iCs/>
          <w:color w:val="222222"/>
          <w:sz w:val="24"/>
          <w:szCs w:val="24"/>
          <w:shd w:val="clear" w:color="auto" w:fill="FFFFFF"/>
        </w:rPr>
        <w:t>Advising on research methods: Selected topics</w:t>
      </w:r>
      <w:r>
        <w:rPr>
          <w:rFonts w:ascii="Times New Roman" w:hAnsi="Times New Roman" w:cs="Times New Roman"/>
          <w:color w:val="222222"/>
          <w:sz w:val="24"/>
          <w:szCs w:val="24"/>
          <w:shd w:val="clear" w:color="auto" w:fill="FFFFFF"/>
        </w:rPr>
        <w:t>, 1-7.</w:t>
      </w:r>
    </w:p>
    <w:p w14:paraId="5540492F"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Mishra, P., Pandey, C., Singh, U., Gupta, A., Sahu, C., &amp; </w:t>
      </w:r>
      <w:proofErr w:type="spellStart"/>
      <w:r>
        <w:rPr>
          <w:rFonts w:ascii="Times New Roman" w:hAnsi="Times New Roman" w:cs="Times New Roman"/>
          <w:sz w:val="24"/>
          <w:szCs w:val="24"/>
        </w:rPr>
        <w:t>Keshri</w:t>
      </w:r>
      <w:proofErr w:type="spellEnd"/>
      <w:r>
        <w:rPr>
          <w:rFonts w:ascii="Times New Roman" w:hAnsi="Times New Roman" w:cs="Times New Roman"/>
          <w:sz w:val="24"/>
          <w:szCs w:val="24"/>
        </w:rPr>
        <w:t>, A. (2019). Descriptive statistics and normality tests for statistical data. </w:t>
      </w:r>
      <w:r>
        <w:rPr>
          <w:rFonts w:ascii="Times New Roman" w:hAnsi="Times New Roman" w:cs="Times New Roman"/>
          <w:i/>
          <w:iCs/>
          <w:sz w:val="24"/>
          <w:szCs w:val="24"/>
        </w:rPr>
        <w:t xml:space="preserve">Annals of Cardiac </w:t>
      </w:r>
      <w:proofErr w:type="spellStart"/>
      <w:r>
        <w:rPr>
          <w:rFonts w:ascii="Times New Roman" w:hAnsi="Times New Roman" w:cs="Times New Roman"/>
          <w:i/>
          <w:iCs/>
          <w:sz w:val="24"/>
          <w:szCs w:val="24"/>
        </w:rPr>
        <w:t>Anaesthesia</w:t>
      </w:r>
      <w:proofErr w:type="spellEnd"/>
      <w:r>
        <w:rPr>
          <w:rFonts w:ascii="Times New Roman" w:hAnsi="Times New Roman" w:cs="Times New Roman"/>
          <w:sz w:val="24"/>
          <w:szCs w:val="24"/>
        </w:rPr>
        <w:t>, </w:t>
      </w:r>
      <w:r>
        <w:rPr>
          <w:rFonts w:ascii="Times New Roman" w:hAnsi="Times New Roman" w:cs="Times New Roman"/>
          <w:i/>
          <w:iCs/>
          <w:sz w:val="24"/>
          <w:szCs w:val="24"/>
        </w:rPr>
        <w:t>22</w:t>
      </w:r>
      <w:r>
        <w:rPr>
          <w:rFonts w:ascii="Times New Roman" w:hAnsi="Times New Roman" w:cs="Times New Roman"/>
          <w:sz w:val="24"/>
          <w:szCs w:val="24"/>
        </w:rPr>
        <w:t>(1), 67.</w:t>
      </w:r>
    </w:p>
    <w:p w14:paraId="1E447528"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Neter</w:t>
      </w:r>
      <w:r>
        <w:rPr>
          <w:rFonts w:ascii="Times New Roman" w:hAnsi="Times New Roman" w:cs="Times New Roman"/>
          <w:sz w:val="24"/>
          <w:szCs w:val="24"/>
          <w:lang w:val="x-none"/>
        </w:rPr>
        <w:t xml:space="preserve">, </w:t>
      </w:r>
      <w:r>
        <w:rPr>
          <w:rFonts w:ascii="Times New Roman" w:hAnsi="Times New Roman" w:cs="Times New Roman"/>
          <w:sz w:val="24"/>
          <w:szCs w:val="24"/>
        </w:rPr>
        <w:t>J</w:t>
      </w:r>
      <w:r>
        <w:rPr>
          <w:rFonts w:ascii="Times New Roman" w:hAnsi="Times New Roman" w:cs="Times New Roman"/>
          <w:sz w:val="24"/>
          <w:szCs w:val="24"/>
          <w:lang w:val="x-none"/>
        </w:rPr>
        <w:t>.</w:t>
      </w:r>
      <w:r>
        <w:rPr>
          <w:rFonts w:ascii="Times New Roman" w:hAnsi="Times New Roman" w:cs="Times New Roman"/>
          <w:sz w:val="24"/>
          <w:szCs w:val="24"/>
        </w:rPr>
        <w:t>, Wasserman, W., &amp;</w:t>
      </w:r>
      <w:r>
        <w:rPr>
          <w:rFonts w:ascii="Times New Roman" w:hAnsi="Times New Roman" w:cs="Times New Roman"/>
          <w:sz w:val="24"/>
          <w:szCs w:val="24"/>
          <w:lang w:val="x-none"/>
        </w:rPr>
        <w:t xml:space="preserve"> </w:t>
      </w:r>
      <w:r>
        <w:rPr>
          <w:rFonts w:ascii="Times New Roman" w:hAnsi="Times New Roman" w:cs="Times New Roman"/>
          <w:sz w:val="24"/>
          <w:szCs w:val="24"/>
        </w:rPr>
        <w:t>Kutner</w:t>
      </w:r>
      <w:r>
        <w:rPr>
          <w:rFonts w:ascii="Times New Roman" w:hAnsi="Times New Roman" w:cs="Times New Roman"/>
          <w:sz w:val="24"/>
          <w:szCs w:val="24"/>
          <w:lang w:val="x-none"/>
        </w:rPr>
        <w:t xml:space="preserve">, </w:t>
      </w:r>
      <w:r>
        <w:rPr>
          <w:rFonts w:ascii="Times New Roman" w:hAnsi="Times New Roman" w:cs="Times New Roman"/>
          <w:sz w:val="24"/>
          <w:szCs w:val="24"/>
        </w:rPr>
        <w:t>M</w:t>
      </w:r>
      <w:r>
        <w:rPr>
          <w:rFonts w:ascii="Times New Roman" w:hAnsi="Times New Roman" w:cs="Times New Roman"/>
          <w:sz w:val="24"/>
          <w:szCs w:val="24"/>
          <w:lang w:val="x-none"/>
        </w:rPr>
        <w:t>.</w:t>
      </w:r>
      <w:r>
        <w:rPr>
          <w:rFonts w:ascii="Times New Roman" w:hAnsi="Times New Roman" w:cs="Times New Roman"/>
          <w:sz w:val="24"/>
          <w:szCs w:val="24"/>
        </w:rPr>
        <w:t xml:space="preserve"> (1990).</w:t>
      </w:r>
      <w:r>
        <w:rPr>
          <w:rFonts w:ascii="Times New Roman" w:hAnsi="Times New Roman" w:cs="Times New Roman"/>
          <w:sz w:val="24"/>
          <w:szCs w:val="24"/>
          <w:lang w:val="x-none"/>
        </w:rPr>
        <w:t xml:space="preserve"> </w:t>
      </w:r>
      <w:r>
        <w:rPr>
          <w:rFonts w:ascii="Times New Roman" w:hAnsi="Times New Roman" w:cs="Times New Roman"/>
          <w:i/>
          <w:sz w:val="24"/>
          <w:szCs w:val="24"/>
        </w:rPr>
        <w:t>Applied linear</w:t>
      </w:r>
      <w:r>
        <w:rPr>
          <w:rFonts w:ascii="Times New Roman" w:hAnsi="Times New Roman" w:cs="Times New Roman"/>
          <w:i/>
          <w:sz w:val="24"/>
          <w:szCs w:val="24"/>
          <w:lang w:val="x-none"/>
        </w:rPr>
        <w:t xml:space="preserve"> </w:t>
      </w:r>
      <w:r>
        <w:rPr>
          <w:rFonts w:ascii="Times New Roman" w:hAnsi="Times New Roman" w:cs="Times New Roman"/>
          <w:i/>
          <w:sz w:val="24"/>
          <w:szCs w:val="24"/>
        </w:rPr>
        <w:t>s</w:t>
      </w:r>
      <w:proofErr w:type="spellStart"/>
      <w:r>
        <w:rPr>
          <w:rFonts w:ascii="Times New Roman" w:hAnsi="Times New Roman" w:cs="Times New Roman"/>
          <w:i/>
          <w:sz w:val="24"/>
          <w:szCs w:val="24"/>
          <w:lang w:val="x-none"/>
        </w:rPr>
        <w:t>tatistical</w:t>
      </w:r>
      <w:proofErr w:type="spellEnd"/>
      <w:r>
        <w:rPr>
          <w:rFonts w:ascii="Times New Roman" w:hAnsi="Times New Roman" w:cs="Times New Roman"/>
          <w:i/>
          <w:sz w:val="24"/>
          <w:szCs w:val="24"/>
          <w:lang w:val="x-none"/>
        </w:rPr>
        <w:t xml:space="preserve"> </w:t>
      </w:r>
      <w:proofErr w:type="spellStart"/>
      <w:r>
        <w:rPr>
          <w:rFonts w:ascii="Times New Roman" w:hAnsi="Times New Roman" w:cs="Times New Roman"/>
          <w:i/>
          <w:sz w:val="24"/>
          <w:szCs w:val="24"/>
        </w:rPr>
        <w:t>model</w:t>
      </w:r>
      <w:r>
        <w:rPr>
          <w:rFonts w:ascii="Times New Roman" w:hAnsi="Times New Roman" w:cs="Times New Roman"/>
          <w:i/>
          <w:sz w:val="24"/>
          <w:szCs w:val="24"/>
          <w:lang w:val="x-none"/>
        </w:rPr>
        <w:t>s</w:t>
      </w:r>
      <w:proofErr w:type="spellEnd"/>
      <w:r>
        <w:rPr>
          <w:rFonts w:ascii="Times New Roman" w:hAnsi="Times New Roman" w:cs="Times New Roman"/>
          <w:i/>
          <w:sz w:val="24"/>
          <w:szCs w:val="24"/>
        </w:rPr>
        <w:t xml:space="preserve">. </w:t>
      </w:r>
      <w:r>
        <w:rPr>
          <w:rFonts w:ascii="Times New Roman" w:hAnsi="Times New Roman" w:cs="Times New Roman"/>
          <w:sz w:val="24"/>
          <w:szCs w:val="24"/>
        </w:rPr>
        <w:t>Boston: Richard D. Irwin</w:t>
      </w:r>
      <w:r>
        <w:rPr>
          <w:rFonts w:ascii="Times New Roman" w:hAnsi="Times New Roman" w:cs="Times New Roman"/>
          <w:sz w:val="24"/>
          <w:szCs w:val="24"/>
          <w:lang w:val="x-none"/>
        </w:rPr>
        <w:t>, Inc</w:t>
      </w:r>
      <w:r>
        <w:rPr>
          <w:rFonts w:ascii="Times New Roman" w:hAnsi="Times New Roman" w:cs="Times New Roman"/>
          <w:sz w:val="24"/>
          <w:szCs w:val="24"/>
        </w:rPr>
        <w:t>.</w:t>
      </w:r>
    </w:p>
    <w:p w14:paraId="434F3448"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Russell, D., Peplau, L.A., &amp; Cutrona, C.E. (1980). The revised UCLA Loneliness Scale: </w:t>
      </w:r>
      <w:r>
        <w:rPr>
          <w:rFonts w:ascii="Times New Roman" w:hAnsi="Times New Roman" w:cs="Times New Roman"/>
          <w:i/>
          <w:iCs/>
          <w:sz w:val="24"/>
          <w:szCs w:val="24"/>
        </w:rPr>
        <w:t>Concurrent and discriminant validity evidence. Journal of personality and social psychology</w:t>
      </w:r>
      <w:r>
        <w:rPr>
          <w:rFonts w:ascii="Times New Roman" w:hAnsi="Times New Roman" w:cs="Times New Roman"/>
          <w:sz w:val="24"/>
          <w:szCs w:val="24"/>
        </w:rPr>
        <w:t xml:space="preserve">, </w:t>
      </w:r>
      <w:r>
        <w:rPr>
          <w:rFonts w:ascii="Times New Roman" w:hAnsi="Times New Roman" w:cs="Times New Roman"/>
          <w:i/>
          <w:iCs/>
          <w:sz w:val="24"/>
          <w:szCs w:val="24"/>
        </w:rPr>
        <w:t>39</w:t>
      </w:r>
      <w:r>
        <w:rPr>
          <w:rFonts w:ascii="Times New Roman" w:hAnsi="Times New Roman" w:cs="Times New Roman"/>
          <w:sz w:val="24"/>
          <w:szCs w:val="24"/>
        </w:rPr>
        <w:t>, 472-480.</w:t>
      </w:r>
    </w:p>
    <w:p w14:paraId="50958333"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sz w:val="24"/>
          <w:szCs w:val="24"/>
        </w:rPr>
        <w:t>Raaijmakers, Q. A. (1999). Effectiveness of different missing data treatments in surveys with Likert-type data: Introducing the relative mean substitution approach. </w:t>
      </w:r>
      <w:r>
        <w:rPr>
          <w:rFonts w:ascii="Times New Roman" w:hAnsi="Times New Roman" w:cs="Times New Roman"/>
          <w:i/>
          <w:iCs/>
          <w:sz w:val="24"/>
          <w:szCs w:val="24"/>
        </w:rPr>
        <w:t>Educational and Psychological Measurement</w:t>
      </w:r>
      <w:r>
        <w:rPr>
          <w:rFonts w:ascii="Times New Roman" w:hAnsi="Times New Roman" w:cs="Times New Roman"/>
          <w:sz w:val="24"/>
          <w:szCs w:val="24"/>
        </w:rPr>
        <w:t>, </w:t>
      </w:r>
      <w:r>
        <w:rPr>
          <w:rFonts w:ascii="Times New Roman" w:hAnsi="Times New Roman" w:cs="Times New Roman"/>
          <w:i/>
          <w:iCs/>
          <w:sz w:val="24"/>
          <w:szCs w:val="24"/>
        </w:rPr>
        <w:t>59</w:t>
      </w:r>
      <w:r>
        <w:rPr>
          <w:rFonts w:ascii="Times New Roman" w:hAnsi="Times New Roman" w:cs="Times New Roman"/>
          <w:sz w:val="24"/>
          <w:szCs w:val="24"/>
        </w:rPr>
        <w:t>(5), 725-748.</w:t>
      </w:r>
    </w:p>
    <w:p w14:paraId="12D71B97"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Raymond, M. R. (1986). Missing data in evaluation research. </w:t>
      </w:r>
      <w:r>
        <w:rPr>
          <w:rFonts w:ascii="Times New Roman" w:hAnsi="Times New Roman" w:cs="Times New Roman"/>
          <w:i/>
          <w:iCs/>
          <w:color w:val="222222"/>
          <w:sz w:val="24"/>
          <w:szCs w:val="24"/>
          <w:shd w:val="clear" w:color="auto" w:fill="FFFFFF"/>
        </w:rPr>
        <w:t>Evaluation &amp; the health professions</w:t>
      </w:r>
      <w:r>
        <w:rPr>
          <w:rFonts w:ascii="Times New Roman" w:hAnsi="Times New Roman" w:cs="Times New Roman"/>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9</w:t>
      </w:r>
      <w:r>
        <w:rPr>
          <w:rFonts w:ascii="Times New Roman" w:hAnsi="Times New Roman" w:cs="Times New Roman"/>
          <w:color w:val="222222"/>
          <w:sz w:val="24"/>
          <w:szCs w:val="24"/>
          <w:shd w:val="clear" w:color="auto" w:fill="FFFFFF"/>
        </w:rPr>
        <w:t xml:space="preserve"> (4), 395–420.</w:t>
      </w:r>
    </w:p>
    <w:p w14:paraId="614A1E16" w14:textId="77777777" w:rsidR="00232AF6" w:rsidRDefault="00232AF6" w:rsidP="00232AF6">
      <w:pPr>
        <w:pStyle w:val="NoSpacing"/>
        <w:spacing w:line="360" w:lineRule="auto"/>
        <w:ind w:left="720" w:hanging="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Tsikriktsis, N. (2005). A review of techniques for treating missing data in OM survey research. </w:t>
      </w:r>
      <w:r>
        <w:rPr>
          <w:rFonts w:ascii="Times New Roman" w:hAnsi="Times New Roman" w:cs="Times New Roman"/>
          <w:i/>
          <w:iCs/>
          <w:color w:val="222222"/>
          <w:sz w:val="24"/>
          <w:szCs w:val="24"/>
          <w:shd w:val="clear" w:color="auto" w:fill="FFFFFF"/>
        </w:rPr>
        <w:t>Journal of operations management</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24</w:t>
      </w:r>
      <w:r>
        <w:rPr>
          <w:rFonts w:ascii="Times New Roman" w:hAnsi="Times New Roman" w:cs="Times New Roman"/>
          <w:color w:val="222222"/>
          <w:sz w:val="24"/>
          <w:szCs w:val="24"/>
          <w:shd w:val="clear" w:color="auto" w:fill="FFFFFF"/>
        </w:rPr>
        <w:t>(1), 53-62.</w:t>
      </w:r>
    </w:p>
    <w:p w14:paraId="73710E9A" w14:textId="77777777" w:rsidR="00232AF6" w:rsidRDefault="00232AF6" w:rsidP="00232AF6">
      <w:pPr>
        <w:pStyle w:val="NoSpacing"/>
        <w:spacing w:line="360" w:lineRule="auto"/>
        <w:rPr>
          <w:rFonts w:ascii="Times New Roman" w:hAnsi="Times New Roman" w:cs="Times New Roman"/>
          <w:sz w:val="24"/>
          <w:szCs w:val="24"/>
        </w:rPr>
      </w:pPr>
    </w:p>
    <w:p w14:paraId="534A1744" w14:textId="77777777" w:rsidR="00232AF6" w:rsidRDefault="00232AF6" w:rsidP="00232AF6">
      <w:pPr>
        <w:spacing w:line="360" w:lineRule="auto"/>
      </w:pPr>
    </w:p>
    <w:p w14:paraId="41107B85" w14:textId="77777777" w:rsidR="004D12B3" w:rsidRDefault="004D12B3"/>
    <w:sectPr w:rsidR="004D1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F6"/>
    <w:rsid w:val="00046D4A"/>
    <w:rsid w:val="00232AF6"/>
    <w:rsid w:val="0038778D"/>
    <w:rsid w:val="003B3787"/>
    <w:rsid w:val="00420289"/>
    <w:rsid w:val="004D12B3"/>
    <w:rsid w:val="00711B8A"/>
    <w:rsid w:val="007F4E6D"/>
    <w:rsid w:val="009A58FC"/>
    <w:rsid w:val="00B23966"/>
    <w:rsid w:val="00C24CF1"/>
    <w:rsid w:val="00ED7122"/>
    <w:rsid w:val="00F97EDB"/>
    <w:rsid w:val="00FD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8EE1"/>
  <w15:chartTrackingRefBased/>
  <w15:docId w15:val="{FDBB5211-9997-4A5D-97FE-55216367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AF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AF6"/>
    <w:pPr>
      <w:spacing w:after="0" w:line="240" w:lineRule="auto"/>
    </w:pPr>
  </w:style>
  <w:style w:type="table" w:styleId="TableGrid">
    <w:name w:val="Table Grid"/>
    <w:basedOn w:val="TableNormal"/>
    <w:uiPriority w:val="39"/>
    <w:rsid w:val="00232A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97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Male </c:v>
                </c:pt>
              </c:strCache>
            </c:strRef>
          </c:tx>
          <c:spPr>
            <a:solidFill>
              <a:schemeClr val="accent1"/>
            </a:solidFill>
            <a:ln>
              <a:noFill/>
            </a:ln>
            <a:effectLst/>
          </c:spPr>
          <c:invertIfNegative val="0"/>
          <c:cat>
            <c:strRef>
              <c:f>Sheet1!$A$2:$A$4</c:f>
              <c:strCache>
                <c:ptCount val="3"/>
                <c:pt idx="0">
                  <c:v>Depression</c:v>
                </c:pt>
                <c:pt idx="1">
                  <c:v>Purpose in life</c:v>
                </c:pt>
                <c:pt idx="2">
                  <c:v>Loneliness</c:v>
                </c:pt>
              </c:strCache>
            </c:strRef>
          </c:cat>
          <c:val>
            <c:numRef>
              <c:f>Sheet1!$B$2:$B$4</c:f>
              <c:numCache>
                <c:formatCode>General</c:formatCode>
                <c:ptCount val="3"/>
                <c:pt idx="0">
                  <c:v>16.16</c:v>
                </c:pt>
                <c:pt idx="1">
                  <c:v>100.01</c:v>
                </c:pt>
                <c:pt idx="2">
                  <c:v>55.3</c:v>
                </c:pt>
              </c:numCache>
            </c:numRef>
          </c:val>
          <c:extLst>
            <c:ext xmlns:c16="http://schemas.microsoft.com/office/drawing/2014/chart" uri="{C3380CC4-5D6E-409C-BE32-E72D297353CC}">
              <c16:uniqueId val="{00000000-C767-41EC-8C6E-6D147B1D51B2}"/>
            </c:ext>
          </c:extLst>
        </c:ser>
        <c:ser>
          <c:idx val="1"/>
          <c:order val="1"/>
          <c:tx>
            <c:strRef>
              <c:f>Sheet1!$C$1</c:f>
              <c:strCache>
                <c:ptCount val="1"/>
                <c:pt idx="0">
                  <c:v>Female </c:v>
                </c:pt>
              </c:strCache>
            </c:strRef>
          </c:tx>
          <c:spPr>
            <a:solidFill>
              <a:schemeClr val="accent2"/>
            </a:solidFill>
            <a:ln>
              <a:noFill/>
            </a:ln>
            <a:effectLst/>
          </c:spPr>
          <c:invertIfNegative val="0"/>
          <c:cat>
            <c:strRef>
              <c:f>Sheet1!$A$2:$A$4</c:f>
              <c:strCache>
                <c:ptCount val="3"/>
                <c:pt idx="0">
                  <c:v>Depression</c:v>
                </c:pt>
                <c:pt idx="1">
                  <c:v>Purpose in life</c:v>
                </c:pt>
                <c:pt idx="2">
                  <c:v>Loneliness</c:v>
                </c:pt>
              </c:strCache>
            </c:strRef>
          </c:cat>
          <c:val>
            <c:numRef>
              <c:f>Sheet1!$C$2:$C$4</c:f>
              <c:numCache>
                <c:formatCode>General</c:formatCode>
                <c:ptCount val="3"/>
                <c:pt idx="0">
                  <c:v>17.55</c:v>
                </c:pt>
                <c:pt idx="1">
                  <c:v>99.04</c:v>
                </c:pt>
                <c:pt idx="2">
                  <c:v>55</c:v>
                </c:pt>
              </c:numCache>
            </c:numRef>
          </c:val>
          <c:extLst>
            <c:ext xmlns:c16="http://schemas.microsoft.com/office/drawing/2014/chart" uri="{C3380CC4-5D6E-409C-BE32-E72D297353CC}">
              <c16:uniqueId val="{00000001-C767-41EC-8C6E-6D147B1D51B2}"/>
            </c:ext>
          </c:extLst>
        </c:ser>
        <c:dLbls>
          <c:showLegendKey val="0"/>
          <c:showVal val="0"/>
          <c:showCatName val="0"/>
          <c:showSerName val="0"/>
          <c:showPercent val="0"/>
          <c:showBubbleSize val="0"/>
        </c:dLbls>
        <c:gapWidth val="219"/>
        <c:overlap val="-27"/>
        <c:axId val="1917142799"/>
        <c:axId val="1628158031"/>
      </c:barChart>
      <c:catAx>
        <c:axId val="1917142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158031"/>
        <c:crosses val="autoZero"/>
        <c:auto val="1"/>
        <c:lblAlgn val="ctr"/>
        <c:lblOffset val="100"/>
        <c:noMultiLvlLbl val="0"/>
      </c:catAx>
      <c:valAx>
        <c:axId val="1628158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a:t>
                </a:r>
                <a:r>
                  <a:rPr lang="en-US" baseline="0"/>
                  <a:t> score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7142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Sheet1!$B$19</c:f>
              <c:strCache>
                <c:ptCount val="1"/>
                <c:pt idx="0">
                  <c:v>Never married</c:v>
                </c:pt>
              </c:strCache>
            </c:strRef>
          </c:tx>
          <c:spPr>
            <a:solidFill>
              <a:schemeClr val="accent1"/>
            </a:solidFill>
            <a:ln>
              <a:noFill/>
            </a:ln>
            <a:effectLst/>
          </c:spPr>
          <c:invertIfNegative val="0"/>
          <c:cat>
            <c:strRef>
              <c:f>Sheet1!$A$20:$A$22</c:f>
              <c:strCache>
                <c:ptCount val="3"/>
                <c:pt idx="0">
                  <c:v>Depression</c:v>
                </c:pt>
                <c:pt idx="1">
                  <c:v>Purpose in life</c:v>
                </c:pt>
                <c:pt idx="2">
                  <c:v>Loneliness</c:v>
                </c:pt>
              </c:strCache>
            </c:strRef>
          </c:cat>
          <c:val>
            <c:numRef>
              <c:f>Sheet1!$B$20:$B$22</c:f>
              <c:numCache>
                <c:formatCode>General</c:formatCode>
                <c:ptCount val="3"/>
                <c:pt idx="0">
                  <c:v>16.350000000000001</c:v>
                </c:pt>
                <c:pt idx="1">
                  <c:v>96.89</c:v>
                </c:pt>
                <c:pt idx="2">
                  <c:v>55.49</c:v>
                </c:pt>
              </c:numCache>
            </c:numRef>
          </c:val>
          <c:extLst>
            <c:ext xmlns:c16="http://schemas.microsoft.com/office/drawing/2014/chart" uri="{C3380CC4-5D6E-409C-BE32-E72D297353CC}">
              <c16:uniqueId val="{00000000-A169-4B83-B6C5-08A9FD09F61A}"/>
            </c:ext>
          </c:extLst>
        </c:ser>
        <c:ser>
          <c:idx val="1"/>
          <c:order val="1"/>
          <c:tx>
            <c:strRef>
              <c:f>Sheet1!$C$19</c:f>
              <c:strCache>
                <c:ptCount val="1"/>
                <c:pt idx="0">
                  <c:v>Married</c:v>
                </c:pt>
              </c:strCache>
            </c:strRef>
          </c:tx>
          <c:spPr>
            <a:solidFill>
              <a:schemeClr val="accent2"/>
            </a:solidFill>
            <a:ln>
              <a:noFill/>
            </a:ln>
            <a:effectLst/>
          </c:spPr>
          <c:invertIfNegative val="0"/>
          <c:cat>
            <c:strRef>
              <c:f>Sheet1!$A$20:$A$22</c:f>
              <c:strCache>
                <c:ptCount val="3"/>
                <c:pt idx="0">
                  <c:v>Depression</c:v>
                </c:pt>
                <c:pt idx="1">
                  <c:v>Purpose in life</c:v>
                </c:pt>
                <c:pt idx="2">
                  <c:v>Loneliness</c:v>
                </c:pt>
              </c:strCache>
            </c:strRef>
          </c:cat>
          <c:val>
            <c:numRef>
              <c:f>Sheet1!$C$20:$C$22</c:f>
              <c:numCache>
                <c:formatCode>General</c:formatCode>
                <c:ptCount val="3"/>
                <c:pt idx="0">
                  <c:v>16.3</c:v>
                </c:pt>
                <c:pt idx="1">
                  <c:v>101.16</c:v>
                </c:pt>
                <c:pt idx="2">
                  <c:v>54.2</c:v>
                </c:pt>
              </c:numCache>
            </c:numRef>
          </c:val>
          <c:extLst>
            <c:ext xmlns:c16="http://schemas.microsoft.com/office/drawing/2014/chart" uri="{C3380CC4-5D6E-409C-BE32-E72D297353CC}">
              <c16:uniqueId val="{00000001-A169-4B83-B6C5-08A9FD09F61A}"/>
            </c:ext>
          </c:extLst>
        </c:ser>
        <c:ser>
          <c:idx val="2"/>
          <c:order val="2"/>
          <c:tx>
            <c:strRef>
              <c:f>Sheet1!$D$19</c:f>
              <c:strCache>
                <c:ptCount val="1"/>
                <c:pt idx="0">
                  <c:v>Single/separated/widows</c:v>
                </c:pt>
              </c:strCache>
            </c:strRef>
          </c:tx>
          <c:spPr>
            <a:solidFill>
              <a:schemeClr val="accent3"/>
            </a:solidFill>
            <a:ln>
              <a:noFill/>
            </a:ln>
            <a:effectLst/>
          </c:spPr>
          <c:invertIfNegative val="0"/>
          <c:cat>
            <c:strRef>
              <c:f>Sheet1!$A$20:$A$22</c:f>
              <c:strCache>
                <c:ptCount val="3"/>
                <c:pt idx="0">
                  <c:v>Depression</c:v>
                </c:pt>
                <c:pt idx="1">
                  <c:v>Purpose in life</c:v>
                </c:pt>
                <c:pt idx="2">
                  <c:v>Loneliness</c:v>
                </c:pt>
              </c:strCache>
            </c:strRef>
          </c:cat>
          <c:val>
            <c:numRef>
              <c:f>Sheet1!$D$20:$D$22</c:f>
              <c:numCache>
                <c:formatCode>General</c:formatCode>
                <c:ptCount val="3"/>
                <c:pt idx="0">
                  <c:v>17.09</c:v>
                </c:pt>
                <c:pt idx="1">
                  <c:v>100.03</c:v>
                </c:pt>
                <c:pt idx="2">
                  <c:v>55.48</c:v>
                </c:pt>
              </c:numCache>
            </c:numRef>
          </c:val>
          <c:extLst>
            <c:ext xmlns:c16="http://schemas.microsoft.com/office/drawing/2014/chart" uri="{C3380CC4-5D6E-409C-BE32-E72D297353CC}">
              <c16:uniqueId val="{00000002-A169-4B83-B6C5-08A9FD09F61A}"/>
            </c:ext>
          </c:extLst>
        </c:ser>
        <c:dLbls>
          <c:showLegendKey val="0"/>
          <c:showVal val="0"/>
          <c:showCatName val="0"/>
          <c:showSerName val="0"/>
          <c:showPercent val="0"/>
          <c:showBubbleSize val="0"/>
        </c:dLbls>
        <c:gapWidth val="219"/>
        <c:overlap val="-27"/>
        <c:axId val="2117163871"/>
        <c:axId val="2117180511"/>
      </c:barChart>
      <c:catAx>
        <c:axId val="2117163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180511"/>
        <c:crosses val="autoZero"/>
        <c:auto val="1"/>
        <c:lblAlgn val="ctr"/>
        <c:lblOffset val="100"/>
        <c:noMultiLvlLbl val="0"/>
      </c:catAx>
      <c:valAx>
        <c:axId val="2117180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a:t>
                </a:r>
                <a:r>
                  <a:rPr lang="en-US" baseline="0"/>
                  <a:t> score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163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6</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Anthony</dc:creator>
  <cp:keywords/>
  <dc:description/>
  <cp:lastModifiedBy>MR. SAGACIOUS</cp:lastModifiedBy>
  <cp:revision>2</cp:revision>
  <dcterms:created xsi:type="dcterms:W3CDTF">2023-05-18T11:28:00Z</dcterms:created>
  <dcterms:modified xsi:type="dcterms:W3CDTF">2023-05-18T11:28:00Z</dcterms:modified>
</cp:coreProperties>
</file>