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44F2D1" w14:textId="48AAA83A" w:rsidR="00752AC4" w:rsidRPr="00696794" w:rsidRDefault="00752AC4" w:rsidP="00752AC4">
      <w:pPr>
        <w:pStyle w:val="NormalWeb"/>
        <w:spacing w:before="0" w:beforeAutospacing="0" w:after="0" w:afterAutospacing="0"/>
        <w:jc w:val="both"/>
        <w:rPr>
          <w:color w:val="000000"/>
          <w:sz w:val="20"/>
          <w:szCs w:val="20"/>
        </w:rPr>
      </w:pPr>
      <w:r>
        <w:rPr>
          <w:b/>
          <w:bCs/>
          <w:color w:val="000000"/>
          <w:sz w:val="20"/>
          <w:szCs w:val="20"/>
        </w:rPr>
        <w:t>Additional File 1</w:t>
      </w:r>
      <w:r w:rsidRPr="00696794">
        <w:rPr>
          <w:color w:val="000000"/>
          <w:sz w:val="20"/>
          <w:szCs w:val="20"/>
        </w:rPr>
        <w:t xml:space="preserve"> List of Potential Virus</w:t>
      </w:r>
      <w:r>
        <w:rPr>
          <w:color w:val="000000"/>
          <w:sz w:val="20"/>
          <w:szCs w:val="20"/>
        </w:rPr>
        <w:t>-</w:t>
      </w:r>
      <w:r w:rsidRPr="00696794">
        <w:rPr>
          <w:color w:val="000000"/>
          <w:sz w:val="20"/>
          <w:szCs w:val="20"/>
        </w:rPr>
        <w:t>based Drug Related to COVID-19.</w:t>
      </w:r>
    </w:p>
    <w:p w14:paraId="6E2404AE" w14:textId="77777777" w:rsidR="00752AC4" w:rsidRPr="00696794" w:rsidRDefault="00752AC4" w:rsidP="00752AC4">
      <w:pPr>
        <w:pStyle w:val="NormalWeb"/>
        <w:spacing w:before="0" w:beforeAutospacing="0" w:after="0" w:afterAutospacing="0"/>
        <w:jc w:val="both"/>
      </w:pPr>
    </w:p>
    <w:tbl>
      <w:tblPr>
        <w:tblW w:w="0" w:type="auto"/>
        <w:tblCellMar>
          <w:top w:w="15" w:type="dxa"/>
          <w:left w:w="15" w:type="dxa"/>
          <w:bottom w:w="15" w:type="dxa"/>
          <w:right w:w="15" w:type="dxa"/>
        </w:tblCellMar>
        <w:tblLook w:val="04A0" w:firstRow="1" w:lastRow="0" w:firstColumn="1" w:lastColumn="0" w:noHBand="0" w:noVBand="1"/>
      </w:tblPr>
      <w:tblGrid>
        <w:gridCol w:w="2969"/>
        <w:gridCol w:w="1559"/>
        <w:gridCol w:w="2694"/>
        <w:gridCol w:w="1782"/>
      </w:tblGrid>
      <w:tr w:rsidR="00752AC4" w:rsidRPr="00696794" w14:paraId="5DC37F15" w14:textId="77777777" w:rsidTr="003730D5">
        <w:trPr>
          <w:trHeight w:val="106"/>
          <w:tblHeader/>
        </w:trPr>
        <w:tc>
          <w:tcPr>
            <w:tcW w:w="2969" w:type="dxa"/>
            <w:tcBorders>
              <w:top w:val="single" w:sz="8" w:space="0" w:color="000000"/>
              <w:left w:val="single" w:sz="6" w:space="0" w:color="000000"/>
              <w:bottom w:val="single" w:sz="8" w:space="0" w:color="000000"/>
              <w:right w:val="single" w:sz="6" w:space="0" w:color="000000"/>
            </w:tcBorders>
            <w:tcMar>
              <w:top w:w="100" w:type="dxa"/>
              <w:left w:w="100" w:type="dxa"/>
              <w:bottom w:w="100" w:type="dxa"/>
              <w:right w:w="100" w:type="dxa"/>
            </w:tcMar>
            <w:hideMark/>
          </w:tcPr>
          <w:p w14:paraId="76D46F5C" w14:textId="77777777" w:rsidR="00752AC4" w:rsidRPr="00696794" w:rsidRDefault="00752AC4" w:rsidP="003730D5">
            <w:pPr>
              <w:pStyle w:val="NormalWeb"/>
              <w:spacing w:before="0" w:beforeAutospacing="0" w:after="0" w:afterAutospacing="0"/>
              <w:ind w:left="40"/>
              <w:jc w:val="center"/>
              <w:rPr>
                <w:sz w:val="20"/>
                <w:szCs w:val="20"/>
              </w:rPr>
            </w:pPr>
            <w:r w:rsidRPr="00696794">
              <w:rPr>
                <w:b/>
                <w:bCs/>
                <w:color w:val="000000"/>
                <w:sz w:val="20"/>
                <w:szCs w:val="20"/>
              </w:rPr>
              <w:t>Drug name</w:t>
            </w:r>
          </w:p>
        </w:tc>
        <w:tc>
          <w:tcPr>
            <w:tcW w:w="1559" w:type="dxa"/>
            <w:tcBorders>
              <w:top w:val="single" w:sz="8" w:space="0" w:color="000000"/>
              <w:left w:val="single" w:sz="6" w:space="0" w:color="000000"/>
              <w:bottom w:val="single" w:sz="8" w:space="0" w:color="000000"/>
              <w:right w:val="single" w:sz="6" w:space="0" w:color="000000"/>
            </w:tcBorders>
            <w:tcMar>
              <w:top w:w="100" w:type="dxa"/>
              <w:left w:w="100" w:type="dxa"/>
              <w:bottom w:w="100" w:type="dxa"/>
              <w:right w:w="100" w:type="dxa"/>
            </w:tcMar>
            <w:hideMark/>
          </w:tcPr>
          <w:p w14:paraId="4EC108D8" w14:textId="77777777" w:rsidR="00752AC4" w:rsidRPr="00696794" w:rsidRDefault="00752AC4" w:rsidP="003730D5">
            <w:pPr>
              <w:pStyle w:val="NormalWeb"/>
              <w:spacing w:before="0" w:beforeAutospacing="0" w:after="0" w:afterAutospacing="0"/>
              <w:ind w:left="40"/>
              <w:jc w:val="center"/>
              <w:rPr>
                <w:sz w:val="20"/>
                <w:szCs w:val="20"/>
              </w:rPr>
            </w:pPr>
            <w:r w:rsidRPr="00696794">
              <w:rPr>
                <w:b/>
                <w:bCs/>
                <w:color w:val="000000"/>
                <w:sz w:val="20"/>
                <w:szCs w:val="20"/>
              </w:rPr>
              <w:t>Reference</w:t>
            </w:r>
          </w:p>
        </w:tc>
        <w:tc>
          <w:tcPr>
            <w:tcW w:w="2694" w:type="dxa"/>
            <w:tcBorders>
              <w:top w:val="single" w:sz="8" w:space="0" w:color="000000"/>
              <w:left w:val="single" w:sz="6" w:space="0" w:color="000000"/>
              <w:bottom w:val="single" w:sz="8" w:space="0" w:color="000000"/>
              <w:right w:val="single" w:sz="6" w:space="0" w:color="000000"/>
            </w:tcBorders>
            <w:tcMar>
              <w:top w:w="100" w:type="dxa"/>
              <w:left w:w="100" w:type="dxa"/>
              <w:bottom w:w="100" w:type="dxa"/>
              <w:right w:w="100" w:type="dxa"/>
            </w:tcMar>
            <w:hideMark/>
          </w:tcPr>
          <w:p w14:paraId="5E7D1A03" w14:textId="77777777" w:rsidR="00752AC4" w:rsidRPr="00696794" w:rsidRDefault="00752AC4" w:rsidP="003730D5">
            <w:pPr>
              <w:pStyle w:val="NormalWeb"/>
              <w:spacing w:before="0" w:beforeAutospacing="0" w:after="0" w:afterAutospacing="0"/>
              <w:ind w:left="40"/>
              <w:jc w:val="center"/>
              <w:rPr>
                <w:sz w:val="20"/>
                <w:szCs w:val="20"/>
              </w:rPr>
            </w:pPr>
            <w:r w:rsidRPr="00696794">
              <w:rPr>
                <w:b/>
                <w:bCs/>
                <w:color w:val="000000"/>
                <w:sz w:val="20"/>
                <w:szCs w:val="20"/>
              </w:rPr>
              <w:t>Drug name</w:t>
            </w:r>
          </w:p>
        </w:tc>
        <w:tc>
          <w:tcPr>
            <w:tcW w:w="1782" w:type="dxa"/>
            <w:tcBorders>
              <w:top w:val="single" w:sz="8" w:space="0" w:color="000000"/>
              <w:left w:val="single" w:sz="6" w:space="0" w:color="000000"/>
              <w:bottom w:val="single" w:sz="8" w:space="0" w:color="000000"/>
              <w:right w:val="single" w:sz="6" w:space="0" w:color="000000"/>
            </w:tcBorders>
            <w:tcMar>
              <w:top w:w="100" w:type="dxa"/>
              <w:left w:w="100" w:type="dxa"/>
              <w:bottom w:w="100" w:type="dxa"/>
              <w:right w:w="100" w:type="dxa"/>
            </w:tcMar>
            <w:hideMark/>
          </w:tcPr>
          <w:p w14:paraId="005BD33D" w14:textId="77777777" w:rsidR="00752AC4" w:rsidRPr="00696794" w:rsidRDefault="00752AC4" w:rsidP="003730D5">
            <w:pPr>
              <w:pStyle w:val="NormalWeb"/>
              <w:spacing w:before="0" w:beforeAutospacing="0" w:after="0" w:afterAutospacing="0"/>
              <w:ind w:left="40"/>
              <w:jc w:val="center"/>
              <w:rPr>
                <w:sz w:val="20"/>
                <w:szCs w:val="20"/>
              </w:rPr>
            </w:pPr>
            <w:r w:rsidRPr="00696794">
              <w:rPr>
                <w:b/>
                <w:bCs/>
                <w:color w:val="000000"/>
                <w:sz w:val="20"/>
                <w:szCs w:val="20"/>
              </w:rPr>
              <w:t>Reference</w:t>
            </w:r>
          </w:p>
        </w:tc>
      </w:tr>
      <w:tr w:rsidR="00752AC4" w:rsidRPr="00696794" w14:paraId="5DC39E47" w14:textId="77777777" w:rsidTr="003730D5">
        <w:trPr>
          <w:trHeight w:val="17"/>
        </w:trPr>
        <w:tc>
          <w:tcPr>
            <w:tcW w:w="2969" w:type="dxa"/>
            <w:tcBorders>
              <w:top w:val="single" w:sz="8"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FEF441D"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Alfuzosin</w:t>
            </w:r>
          </w:p>
        </w:tc>
        <w:tc>
          <w:tcPr>
            <w:tcW w:w="1559" w:type="dxa"/>
            <w:tcBorders>
              <w:top w:val="single" w:sz="8"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914DB97" w14:textId="4264615B"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c>
          <w:tcPr>
            <w:tcW w:w="2694" w:type="dxa"/>
            <w:tcBorders>
              <w:top w:val="single" w:sz="8"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038D52D"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Idarubicin</w:t>
            </w:r>
          </w:p>
        </w:tc>
        <w:tc>
          <w:tcPr>
            <w:tcW w:w="1782" w:type="dxa"/>
            <w:tcBorders>
              <w:top w:val="single" w:sz="8"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F56BDFF" w14:textId="529DA4B2"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r>
      <w:tr w:rsidR="00752AC4" w:rsidRPr="00696794" w14:paraId="4250EAC2"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49BEC53" w14:textId="77777777" w:rsidR="00752AC4" w:rsidRPr="00696794" w:rsidRDefault="00752AC4" w:rsidP="003730D5">
            <w:pPr>
              <w:pStyle w:val="NormalWeb"/>
              <w:spacing w:before="0" w:beforeAutospacing="0" w:after="0" w:afterAutospacing="0"/>
              <w:ind w:left="40"/>
              <w:jc w:val="both"/>
              <w:rPr>
                <w:sz w:val="20"/>
                <w:szCs w:val="20"/>
              </w:rPr>
            </w:pPr>
            <w:proofErr w:type="spellStart"/>
            <w:r w:rsidRPr="00696794">
              <w:rPr>
                <w:color w:val="000000"/>
                <w:sz w:val="20"/>
                <w:szCs w:val="20"/>
              </w:rPr>
              <w:t>Almitrine</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CC60085" w14:textId="33C19A26"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30EDC63"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Indinavir</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C299549" w14:textId="3945D46E"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r>
      <w:tr w:rsidR="00752AC4" w:rsidRPr="00696794" w14:paraId="407351ED"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54AFB21"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Amodiaquine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890F4FC" w14:textId="6414D32D" w:rsidR="00752AC4" w:rsidRPr="00510915" w:rsidRDefault="00752AC4" w:rsidP="003730D5">
            <w:pPr>
              <w:pStyle w:val="NormalWeb"/>
              <w:spacing w:before="0" w:beforeAutospacing="0" w:after="0" w:afterAutospacing="0"/>
              <w:ind w:left="40"/>
              <w:jc w:val="center"/>
              <w:rPr>
                <w:sz w:val="20"/>
                <w:szCs w:val="20"/>
              </w:rPr>
            </w:pPr>
            <w:r w:rsidRPr="00510915">
              <w:rPr>
                <w:sz w:val="20"/>
                <w:szCs w:val="20"/>
              </w:rPr>
              <w:fldChar w:fldCharType="begin" w:fldLock="1"/>
            </w:r>
            <w:r w:rsidR="00B95A78">
              <w:rPr>
                <w:sz w:val="20"/>
                <w:szCs w:val="20"/>
              </w:rPr>
              <w:instrText>ADDIN CSL_CITATION {"citationItems":[{"id":"ITEM-1","itemData":{"DOI":"10.1371/journal.pone.0060579","ISSN":"19326203","abstract":"Background: The rapid development of effective medical countermeasures against potential biological threat agents is vital. Repurposing existing drugs that may have unanticipated activities as potential countermeasures is one way to meet this important goal, since currently approved drugs already have well-established safety and pharmacokinetic profiles in patients, as well as manufacturing and distribution networks. Therefore, approved drugs could rapidly be made available for a new indication in an emergency. Methodology/Principal Findings: A large systematic effort to determine whether existing drugs can be used against high containment bacterial and viral pathogens is described. We assembled and screened 1012 FDA-approved drugs for off-label broad-spectrum efficacy against Bacillus anthracis; Francisella tularensis; Coxiella burnetii; and Ebola, Marburg, and Lassa fever viruses using in vitro cell culture assays. We found a variety of hits against two or more of these biological threat pathogens, which were validated in secondary assays. As expected, antibiotic compounds were highly active against bacterial agents, but we did not identify any non-antibiotic compounds with broad-spectrum antibacterial activity. Lomefloxacin and erythromycin were found to be the most potent compounds in vivo protecting mice against Bacillus anthracis challenge. While multiple virus-specific inhibitors were identified, the most noteworthy antiviral compound identified was chloroquine, which disrupted entry and replication of two or more viruses in vitro and protected mice against Ebola virus challenge in vivo. Conclusions/Significance: The feasibility of repurposing existing drugs to face novel threats is demonstrated and this represents the first effort to apply this approach to high containment bacteria and viruses. © 2013 Madrid et al.","author":[{"dropping-particle":"","family":"Madrid","given":"Peter B.","non-dropping-particle":"","parse-names":false,"suffix":""},{"dropping-particle":"","family":"Chopra","given":"Sidharth","non-dropping-particle":"","parse-names":false,"suffix":""},{"dropping-particle":"","family":"Manger","given":"Ian D.","non-dropping-particle":"","parse-names":false,"suffix":""},{"dropping-particle":"","family":"Gilfillan","given":"Lynne","non-dropping-particle":"","parse-names":false,"suffix":""},{"dropping-particle":"","family":"Keepers","given":"Tiffany R.","non-dropping-particle":"","parse-names":false,"suffix":""},{"dropping-particle":"","family":"Shurtleff","given":"Amy C.","non-dropping-particle":"","parse-names":false,"suffix":""},{"dropping-particle":"","family":"Green","given":"Carol E.","non-dropping-particle":"","parse-names":false,"suffix":""},{"dropping-particle":"V.","family":"Iyer","given":"Lalitha","non-dropping-particle":"","parse-names":false,"suffix":""},{"dropping-particle":"","family":"Dilks","given":"Holli Hutcheson","non-dropping-particle":"","parse-names":false,"suffix":""},{"dropping-particle":"","family":"Davey","given":"Robert A.","non-dropping-particle":"","parse-names":false,"suffix":""},{"dropping-particle":"","family":"Kolokoltsov","given":"Andrey A.","non-dropping-particle":"","parse-names":false,"suffix":""},{"dropping-particle":"","family":"Carrion","given":"Ricardo","non-dropping-particle":"","parse-names":false,"suffix":""},{"dropping-particle":"","family":"Patterson","given":"Jean L.","non-dropping-particle":"","parse-names":false,"suffix":""},{"dropping-particle":"","family":"Bavari","given":"Sina","non-dropping-particle":"","parse-names":false,"suffix":""},{"dropping-particle":"","family":"Panchal","given":"Rekha G.","non-dropping-particle":"","parse-names":false,"suffix":""},{"dropping-particle":"","family":"Warren","given":"Travis K.","non-dropping-particle":"","parse-names":false,"suffix":""},{"dropping-particle":"","family":"Wells","given":"Jay B.","non-dropping-particle":"","parse-names":false,"suffix":""},{"dropping-particle":"","family":"Moos","given":"Walter H.","non-dropping-particle":"","parse-names":false,"suffix":""},{"dropping-particle":"","family":"Burke","given":"Rae Lyn L.","non-dropping-particle":"","parse-names":false,"suffix":""},{"dropping-particle":"","family":"Tanga","given":"Mary J.","non-dropping-particle":"","parse-names":false,"suffix":""}],"container-title":"PLoS ONE","id":"ITEM-1","issue":"4","issued":{"date-parts":[["2013"]]},"title":"A Systematic Screen of FDA-Approved Drugs for Inhibitors of Biological Threat Agents","type":"article-journal","volume":"8"},"uris":["http://www.mendeley.com/documents/?uuid=cec9e45b-aa64-41b5-a07e-0f42904e857e","http://www.mendeley.com/documents/?uuid=9d97fbde-bbac-471d-9a42-9ab1af190fe0"]}],"mendeley":{"formattedCitation":"[2]","plainTextFormattedCitation":"[2]","previouslyFormattedCitation":"[2]"},"properties":{"noteIndex":0},"schema":"https://github.com/citation-style-language/schema/raw/master/csl-citation.json"}</w:instrText>
            </w:r>
            <w:r w:rsidRPr="00510915">
              <w:rPr>
                <w:sz w:val="20"/>
                <w:szCs w:val="20"/>
              </w:rPr>
              <w:fldChar w:fldCharType="separate"/>
            </w:r>
            <w:r w:rsidR="00B95A78" w:rsidRPr="00B95A78">
              <w:rPr>
                <w:noProof/>
                <w:sz w:val="20"/>
                <w:szCs w:val="20"/>
              </w:rPr>
              <w:t>[2]</w:t>
            </w:r>
            <w:r w:rsidRPr="00510915">
              <w:rPr>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C1332C7" w14:textId="77777777" w:rsidR="00752AC4" w:rsidRPr="009D43F2" w:rsidRDefault="00752AC4" w:rsidP="003730D5">
            <w:pPr>
              <w:pStyle w:val="NormalWeb"/>
              <w:spacing w:before="0" w:beforeAutospacing="0" w:after="0" w:afterAutospacing="0"/>
              <w:ind w:left="40"/>
              <w:jc w:val="both"/>
              <w:rPr>
                <w:sz w:val="20"/>
                <w:szCs w:val="20"/>
              </w:rPr>
            </w:pPr>
            <w:proofErr w:type="spellStart"/>
            <w:r w:rsidRPr="00510915">
              <w:rPr>
                <w:color w:val="000000"/>
                <w:sz w:val="20"/>
                <w:szCs w:val="20"/>
              </w:rPr>
              <w:t>Iopromide</w:t>
            </w:r>
            <w:proofErr w:type="spellEnd"/>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78FBDDB" w14:textId="25A933EF"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r>
      <w:tr w:rsidR="00752AC4" w:rsidRPr="00696794" w14:paraId="28415F86"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31AC2FF"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Amprenavir</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4B77891" w14:textId="259517DD"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D993AE7" w14:textId="77777777" w:rsidR="00752AC4" w:rsidRPr="009D43F2" w:rsidRDefault="00752AC4" w:rsidP="003730D5">
            <w:pPr>
              <w:pStyle w:val="NormalWeb"/>
              <w:spacing w:before="0" w:beforeAutospacing="0" w:after="0" w:afterAutospacing="0"/>
              <w:ind w:left="40"/>
              <w:jc w:val="both"/>
              <w:rPr>
                <w:sz w:val="20"/>
                <w:szCs w:val="20"/>
              </w:rPr>
            </w:pPr>
            <w:r w:rsidRPr="00510915">
              <w:rPr>
                <w:color w:val="000000"/>
                <w:sz w:val="20"/>
                <w:szCs w:val="20"/>
              </w:rPr>
              <w:t>Isotretinoin</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A757CCC" w14:textId="78A8F091"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r>
      <w:tr w:rsidR="00752AC4" w:rsidRPr="00696794" w14:paraId="2C45AB5D"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EFA611B"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Atazanavir</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66C4950" w14:textId="46D92E9D"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3454952"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Itraconazole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41A9EAA" w14:textId="5DD585C4"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r>
      <w:tr w:rsidR="00752AC4" w:rsidRPr="00696794" w14:paraId="514D7B6D"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7CBCCD4"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Atovaquone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07DA3C7" w14:textId="3FC71754"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F00DD10" w14:textId="77777777" w:rsidR="00752AC4" w:rsidRPr="00696794" w:rsidRDefault="00752AC4" w:rsidP="003730D5">
            <w:pPr>
              <w:pStyle w:val="NormalWeb"/>
              <w:spacing w:before="0" w:beforeAutospacing="0" w:after="0" w:afterAutospacing="0"/>
              <w:ind w:left="40"/>
              <w:jc w:val="both"/>
              <w:rPr>
                <w:sz w:val="20"/>
                <w:szCs w:val="20"/>
              </w:rPr>
            </w:pPr>
            <w:proofErr w:type="spellStart"/>
            <w:r w:rsidRPr="00510915">
              <w:rPr>
                <w:color w:val="000000"/>
                <w:sz w:val="20"/>
                <w:szCs w:val="20"/>
              </w:rPr>
              <w:t>Lavodropropi</w:t>
            </w:r>
            <w:r w:rsidRPr="009D43F2">
              <w:rPr>
                <w:color w:val="000000"/>
                <w:sz w:val="20"/>
                <w:szCs w:val="20"/>
              </w:rPr>
              <w:t>zine</w:t>
            </w:r>
            <w:proofErr w:type="spellEnd"/>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F2D8B80" w14:textId="58BDB612"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r>
      <w:tr w:rsidR="00752AC4" w:rsidRPr="00696794" w14:paraId="2E24966D" w14:textId="77777777" w:rsidTr="003730D5">
        <w:trPr>
          <w:trHeight w:val="60"/>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484DAD8" w14:textId="77777777" w:rsidR="00752AC4" w:rsidRPr="00696794" w:rsidRDefault="00752AC4" w:rsidP="003730D5">
            <w:pPr>
              <w:pStyle w:val="NormalWeb"/>
              <w:spacing w:before="0" w:beforeAutospacing="0" w:after="0" w:afterAutospacing="0"/>
              <w:ind w:left="40"/>
              <w:jc w:val="both"/>
              <w:rPr>
                <w:sz w:val="20"/>
                <w:szCs w:val="20"/>
              </w:rPr>
            </w:pPr>
            <w:proofErr w:type="spellStart"/>
            <w:r w:rsidRPr="00696794">
              <w:rPr>
                <w:color w:val="000000"/>
                <w:sz w:val="20"/>
                <w:szCs w:val="20"/>
              </w:rPr>
              <w:t>Benzylpenicilloyl</w:t>
            </w:r>
            <w:proofErr w:type="spellEnd"/>
            <w:r w:rsidRPr="00696794">
              <w:rPr>
                <w:color w:val="000000"/>
                <w:sz w:val="20"/>
                <w:szCs w:val="20"/>
              </w:rPr>
              <w:t xml:space="preserve"> G</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7CC4692" w14:textId="08A6E92F"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BC0810"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Loperamide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28E0A0E" w14:textId="57FDE898"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{"citationItems":[{"id":"ITEM-1","itemData":{"DOI":"10.1128/AAC.03011-14","ISSN":"10986596","abstract":"Coronaviruses can cause respiratory and enteric disease in a wide variety of human and animal hosts. The 2003 outbreak of severe acute respiratory syndrome (SARS) first demonstrated the potentially lethal consequences of zoonotic coronavirus infections in humans. In 2012, a similar previously unknown coronavirus emerged, Middle East respiratory syndrome coronavirus (MERS-CoV), thus far causing over 650 laboratory-confirmed infections, with an unexplained steep rise in the number of cases being recorded over recent months. The human MERS fatality rate of</w:instrText>
            </w:r>
            <w:r w:rsidR="00B95A78">
              <w:rPr>
                <w:rFonts w:ascii="Cambria Math" w:hAnsi="Cambria Math" w:cs="Cambria Math"/>
                <w:color w:val="000000"/>
                <w:sz w:val="20"/>
                <w:szCs w:val="20"/>
              </w:rPr>
              <w:instrText>∼</w:instrText>
            </w:r>
            <w:r w:rsidR="00B95A78">
              <w:rPr>
                <w:color w:val="000000"/>
                <w:sz w:val="20"/>
                <w:szCs w:val="20"/>
              </w:rPr>
              <w:instrText>30% is alarmingly high, even though many deaths were associated with underlying medical conditions. Registered therapeutics for the treatment of coronavirus infections are not available. Moreover, the pace of drug development and registration for human use is generally incompatible with strategies to combat emerging infectious diseases. Therefore, we have screened a library of 348 FDA-approved drugs for anti-MERS-CoV activity in cell culture. If such compounds proved sufficiently potent, their efficacy might be directly assessed in MERS patients. We identified four compounds (chloroquine, chlorpromazine, loperamide, and lopinavir) inhibiting MERS-CoV replication in the lowmicromolar range (50% effective concentrations [EC50s], 3 to 8 μM). Moreover, these compounds also inhibit the replication of SARS coronavirus and human coronavirus 229E. Although their protective activity (alone or in combination) remains to be assessed in animal models, our findings may offer a starting point for treatment of patients infected with zoonotic coronaviruses like MERS-CoV. Although they may not necessarily reduce viral replication to very low levels, a moderate viral load reduction may create a window during which to mount a protective immune response. Copyright © 2014, American Society for Microbiology. All Rights Reserved.","author":[{"dropping-particle":"","family":"Wilde","given":"Adriaan H.","non-dropping-particle":"De","parse-names":false,"suffix":""},{"dropping-particle":"","family":"Jochmans","given":"Dirk","non-dropping-particle":"","parse-names":false,"suffix":""},{"dropping-particle":"","family":"Posthuma","given":"Clara C.","non-dropping-particle":"","parse-names":false,"suffix":""},{"dropping-particle":"","family":"Zevenhoven-Dobbe","given":"Jessika C.","non-dropping-particle":"","parse-names":false,"suffix":""},{"dropping-particle":"","family":"Nieuwkoop","given":"Stefan","non-dropping-particle":"Van","parse-names":false,"suffix":""},{"dropping-particle":"","family":"Bestebroer","given":"Theo M.","non-dropping-particle":"","parse-names":false,"suffix":""},{"dropping-particle":"","family":"Hoogen","given":"Bernadette G.","non-dropping-particle":"Van Den","parse-names":false,"suffix":""},{"dropping-particle":"","family":"Neyts","given":"Johan","non-dropping-particle":"","parse-names":false,"suffix":""},{"dropping-particle":"","family":"Snijder","given":"Eric J.","non-dropping-particle":"","parse-names":false,"suffix":""}],"container-title":"Antimicrobial Agents and Chemotherapy","id":"ITEM-1","issue":"8","issued":{"date-parts":[["2014"]]},"page":"4875-84","title":"Screening of an FDA-approved compound library identifies four small-molecule inhibitors of Middle East respiratory syndrome coronavirus replication in cell culture","type":"article-journal","volume":"58"},"uris":["http://www.mendeley.com/documents/?uuid=6a85b01e-ef69-4a34-9e64-8c6198c1ab58","http://www.mendeley.com/documents/?uuid=cf4ac244-f7c6-4e32-a48e-45a1c728dd6d"]}],"mendeley":{"formattedCitation":"[3]","plainTextFormattedCitation":"[3]","previouslyFormattedCitation":"[3]"},"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[3]</w:t>
            </w:r>
            <w:r w:rsidRPr="00510915">
              <w:rPr>
                <w:color w:val="000000"/>
                <w:sz w:val="20"/>
                <w:szCs w:val="20"/>
              </w:rPr>
              <w:fldChar w:fldCharType="end"/>
            </w:r>
          </w:p>
        </w:tc>
      </w:tr>
      <w:tr w:rsidR="00752AC4" w:rsidRPr="00696794" w14:paraId="00AB1A9F"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CAB972F"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Bromocriptine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DD3B9C4" w14:textId="1AA5A19A"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E8A9048"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Lopinavir</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4CE1291" w14:textId="6ED7EF5A"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{"citationItems":[{"id":"ITEM-1","itemData":{"DOI":"10.1038/s41467-019-13940-6","ISSN":"20411723","abstract":"Middle East respiratory syndrome coronavirus (MERS-CoV) is the causative agent of a severe respiratory disease associated with more than 2468 human infections and over 851 deaths in 27 countries since 2012. There are no approved treatments for MERS-CoV infection although a combination of lopinavir, ritonavir and interferon beta (LPV/RTV-IFNb) is currently being evaluated in humans in the Kingdom of Saudi Arabia. Here, we show that remdesivir (RDV) and IFNb have superior antiviral activity to LPV and RTV in vitro. In mice, both prophylactic and therapeutic RDV improve pulmonary function and reduce lung viral loads and severe lung pathology. In contrast, prophylactic LPV/RTV-IFNb slightly reduces viral loads without impacting other disease parameters. Therapeutic LPV/RTV-IFNb improves pulmonary function but does not reduce virus replication or severe lung pathology. Thus, we provide in vivo evidence of the potential for RDV to treat MERS-CoV infections.","author":[{"dropping-particle":"","family":"Sheahan","given":"Timothy P.","non-dropping-particle":"","parse-names":false,"suffix":""},{"dropping-particle":"","family":"Sims","given":"Amy C.","non-dropping-particle":"","parse-names":false,"suffix":""},{"dropping-particle":"","family":"Leist","given":"Sarah R.","non-dropping-particle":"","parse-names":false,"suffix":""},{"dropping-particle":"","family":"Schäfer","given":"Alexandra","non-dropping-particle":"","parse-names":false,"suffix":""},{"dropping-particle":"","family":"Won","given":"John","non-dropping-particle":"","parse-names":false,"suffix":""},{"dropping-particle":"","family":"Brown","given":"Ariane J.","non-dropping-particle":"","parse-names":false,"suffix":""},{"dropping-particle":"","family":"Montgomery","given":"Stephanie A.","non-dropping-particle":"","parse-names":false,"suffix":""},{"dropping-particle":"","family":"Hogg","given":"Alison","non-dropping-particle":"","parse-names":false,"suffix":""},{"dropping-particle":"","family":"Babusis","given":"Darius","non-dropping-particle":"","parse-names":false,"suffix":""},{"dropping-particle":"","family":"Clarke","given":"Michael O.","non-dropping-particle":"","parse-names":false,"suffix":""},{"dropping-particle":"","family":"Spahn","given":"Jamie E.","non-dropping-particle":"","parse-names":false,"suffix":""},{"dropping-particle":"","family":"Bauer","given":"Laura","non-dropping-particle":"","parse-names":false,"suffix":""},{"dropping-particle":"","family":"Sellers","given":"Scott","non-dropping-particle":"","parse-names":false,"suffix":""},{"dropping-particle":"","family":"Porter","given":"Danielle","non-dropping-particle":"","parse-names":false,"suffix":""},{"dropping-particle":"","family":"Feng","given":"Joy Y.","non-dropping-particle":"","parse-names":false,"suffix":""},{"dropping-particle":"","family":"Cihlar","given":"Tomas","non-dropping-particle":"","parse-names":false,"suffix":""},{"dropping-particle":"","family":"Jordan","given":"Robert","non-dropping-particle":"","parse-names":false,"suffix":""},{"dropping-particle":"","family":"Denison","given":"Mark R.","non-dropping-particle":"","parse-names":false,"suffix":""},{"dropping-particle":"","family":"Baric","given":"Ralph S.","non-dropping-particle":"","parse-names":false,"suffix":""}],"container-title":"Nature Communications","id":"ITEM-1","issue":"1","issued":{"date-parts":[["2020"]]},"page":"222","title":"Comparative therapeutic efficacy of remdesivir and combination lopinavir, ritonavir, and interferon beta against MERS-CoV","type":"article-journal","volume":"11"},"uris":["http://www.mendeley.com/documents/?uuid=c12b9955-185a-4a48-9cbe-c663ac93c4d6","http://www.mendeley.com/documents/?uuid=67cd123a-794d-469f-a5c2-de673008ae02"]},{"id":"ITEM-2","itemData":{"DOI":"10.1038/nature13027","ISSN":"14764687","abstract":"Filoviruses are emerging pathogens and causative agents of viral haemorrhagic fever. Case fatality rates of filovirus disease outbreaks are among the highest reported for any human pathogen, exceeding 90% (ref. 1). Licensed therapeutic or vaccine products are not available to treat filovirus diseases. Candidate therapeutics previously shown to be efficacious in non-human primate disease models are based on virus-specific designs and have limited broad-spectrum antiviral potential. Here we show that BCX4430, a novel synthetic adenosine analogue, inhibits infection of distinct filoviruses in human cells. Biochemical, reporter-based and primer-extension assays indicate that BCX4430 inhibits viral RNA polymerase function, acting as a non-obligate RNA chain terminator. Post-exposure intramuscular administration of BCX4430 protects against Ebola virus and Marburg virus disease in rodent models. Most importantly, BCX4430 completely protects cynomolgus macaques from Marburg virus infection when administered as late as 48 hours after infection. In addition, BCX4430 exhibits broad-spectrum antiviral activity against numerous viruses, including bunyaviruses, arenaviruses, paramyxoviruses, coronaviruses and flaviviruses. This is the first report, to our knowledge, of non-human primate protection from filovirus disease by a synthetic drug-like small molecule. We provide additional pharmacological characterizations supporting the potential development of BCX4430 as a countermeasure against human filovirus diseases and other viral diseases representing major public health threats. © 2014 Macmillan Publishers Limited. All rights reserved.","author":[{"dropping-particle":"","family":"Warren","given":"Travis K.","non-dropping-particle":"","parse-names":false,"suffix":""},{"dropping-particle":"","family":"Wells","given":"Jay","non-dropping-particle":"","parse-names":false,"suffix":""},{"dropping-particle":"","family":"Panchal","given":"Rekha G.","non-dropping-particle":"","parse-names":false,"suffix":""},{"dropping-particle":"","family":"Stuthman","given":"Kelly S.","non-dropping-particle":"","parse-names":false,"suffix":""},{"dropping-particle":"","family":"Garza","given":"Nicole L.","non-dropping-particle":"","parse-names":false,"suffix":""},{"dropping-particle":"","family":"Tongeren","given":"Sean A.","non-dropping-particle":"Van","parse-names":false,"suffix":""},{"dropping-particle":"","family":"Dong","given":"Lian","non-dropping-particle":"","parse-names":false,"suffix":""},{"dropping-particle":"","family":"Retterer","given":"Cary J.","non-dropping-particle":"","parse-names":false,"suffix":""},{"dropping-particle":"","family":"Eaton","given":"Brett P.","non-dropping-particle":"","parse-names":false,"suffix":""},{"dropping-particle":"","family":"Pegoraro","given":"Gianluca","non-dropping-particle":"","parse-names":false,"suffix":""},{"dropping-particle":"","family":"Honnold","given":"Shelley","non-dropping-particle":"","parse-names":false,"suffix":""},{"dropping-particle":"","family":"Bantia","given":"Shanta","non-dropping-particle":"","parse-names":false,"suffix":""},{"dropping-particle":"","family":"Kotian","given":"Pravin","non-dropping-particle":"","parse-names":false,"suffix":""},{"dropping-particle":"","family":"Chen","given":"Xilin","non-dropping-particle":"","parse-names":false,"suffix":""},{"dropping-particle":"","family":"Taubenheim","given":"Brian R.","non-dropping-particle":"","parse-names":false,"suffix":""},{"dropping-particle":"","family":"Welch","given":"Lisa S.","non-dropping-particle":"","parse-names":false,"suffix":""},{"dropping-particle":"","family":"Minning","given":"Dena M.","non-dropping-particle":"","parse-names":false,"suffix":""},{"dropping-particle":"","family":"Babu","given":"Yarlagadda S.","non-dropping-particle":"","parse-names":false,"suffix":""},{"dropping-particle":"","family":"Sheridan","given":"William P.","non-dropping-particle":"","parse-names":false,"suffix":""},{"dropping-particle":"","family":"Bavari","given":"Sina","non-dropping-particle":"","parse-names":false,"suffix":""}],"container-title":"Nature","id":"ITEM-2","issue":"7496","issued":{"date-parts":[["2014"]]},"page":"402-5","title":"Protection against filovirus diseases by a novel broad-spectrum nucleoside analogue BCX4430","type":"article-journal","volume":"508"},"uris":["http://www.mendeley.com/documents/?uuid=22554346-11d0-4ca7-bc8f-db3909d94c64","http://www.mendeley.com/documents/?uuid=b339e6f6-c475-4302-9f62-4ee624f48897"]},{"id":"ITEM-3","itemData":{"DOI":"10.1093/infdis/jiv392","ISSN":"15376613","abstract":"Middle East respiratory syndrome coronavirus (MERS-CoV) causes severe disease in human with an overall case-fatality rate of &gt;35%. Effective antivirals are crucial for improving the clinical outcome of MERS. Although a number of repurposed drugs, convalescent-phase plasma, antiviral peptides, and neutralizing antibodies exhibit anti-MERS-CoV activity in vitro, most are not readily available or have not been evaluated in nonhuman primates.We assessed 3 repurposed drugs with potent in vitro anti-MERS-CoV activity (mycophenolate mofetil [MMF], lopinavir/ritonavir, and interferon-β1b) in common marmosets with severe disease resembling MERS in humans. The lopinavir/ritonavir-treated and interferon-β1b-treated animals had better outcome than the untreated animals, with improved clinical (mean clinical scores 50.9%.95.0% and -'weight loss than the untreated animals), radiological (minimal pulmonary infiltrates), and pathological (mild bronchointerstitial pneumonia) findings, and lower mean viral loads in necropsied lung (-'0.59.1.06 log10 copies/glyceraldehyde 3-phosphate dehydrogenase [GAPDH]; P &lt;.050) and extrapulmonary (-'0.11.1.29 log10 copies/GAPDH; P &lt;.050 in kidney) tissues. In contrast, all MMF-treated animals developed severe and/or fatal disease with higher mean viral loads (-0.15.0.54 log10 copies/GAPDH) than the untreated animals. The mortality rate at 36 hours postinoculation was 67% (untreated and MMF-treated) versus 0.33% (lopinavir/ritonavir-treated and interferon-β1b-treated). Lopinavir/ritonavir and interferon-β1b alone or in combination should be evaluated in clinical trials. MMF alone may worsen MERS and should not be used.","author":[{"dropping-particle":"","family":"Chan","given":"Jasper Fuk Woo","non-dropping-particle":"","parse-names":false,"suffix":""},{"dropping-particle":"","family":"Yao","given":"Yanfeng","non-dropping-particle":"","parse-names":false,"suffix":""},{"dropping-particle":"","family":"Yeung","given":"Man Lung","non-dropping-particle":"","parse-names":false,"suffix":""},{"dropping-particle":"","family":"Deng","given":"Wei","non-dropping-particle":"","parse-names":false,"suffix":""},{"dropping-particle":"","family":"Bao","given":"Linlin","non-dropping-particle":"","parse-names":false,"suffix":""},{"dropping-particle":"","family":"Jia","given":"Lilong","non-dropping-particle":"","parse-names":false,"suffix":""},{"dropping-particle":"","family":"Li","given":"Fengdi","non-dropping-particle":"","parse-names":false,"suffix":""},{"dropping-particle":"","family":"Xiao","given":"Chong","non-dropping-particle":"","parse-names":false,"suffix":""},{"dropping-particle":"","family":"Gao","given":"Hong","non-dropping-particle":"","parse-names":false,"suffix":""},{"dropping-particle":"","family":"Yu","given":"Pin","non-dropping-particle":"","parse-names":false,"suffix":""},{"dropping-particle":"","family":"Cai","given":"Jian Piao","non-dropping-particle":"","parse-names":false,"suffix":""},{"dropping-particle":"","family":"Chu","given":"Hin","non-dropping-particle":"","parse-names":false,"suffix":""},{"dropping-particle":"","family":"Zhou","given":"Jie","non-dropping-particle":"","parse-names":false,"suffix":""},{"dropping-particle":"","family":"Chen","given":"Honglin","non-dropping-particle":"","parse-names":false,"suffix":""},{"dropping-particle":"","family":"Qin","given":"Chuan","non-dropping-particle":"","parse-names":false,"suffix":""},{"dropping-particle":"","family":"Yuen","given":"Kwok Yung","non-dropping-particle":"","parse-names":false,"suffix":""}],"container-title":"Journal of Infectious Diseases","id":"ITEM-3","issue":"12","issued":{"date-parts":[["2015"]]},"page":"1904-1913","title":"Treatment with lopinavir/ritonavir or interferon-β1b improves outcome of MERSCoV infection in a nonhuman primate model of common marmoset","type":"article-journal","volume":"212"},"uris":["http://www.mendeley.com/documents/?uuid=910787d5-4721-4706-8b20-dc4bb0081486","http://www.mendeley.com/documents/?uuid=b3aacad2-eb08-461a-8b8b-7d502265b931"]},{"id":"ITEM-4","itemData":{"DOI":"10.3851/IMP3002","ISSN":"20402058","abstract":"Since the irst report of Middle East respiratory syndrome (MERS) in 2012 in Saudi Arabia, no standard treatment guideline has been set despite the virulence of MERScoronavirus (CoV) and the high case-fatality rate. The outbreak in South Korea in 2015 demonstrates that MERS outbreaks can occur outside of the Middle East. The combination of ribavirin and interferon-α has been the most widely used therapy for this infection. However, due to the varying results of treatment with these drugs, a new antiviral combination regimen is urgently needed. This is a case report of use of lopinavir/ritonavir-based combination antiviral therapy for a patient with MERSCoV infection.","author":[{"dropping-particle":"","family":"Kim","given":"Uh Jin","non-dropping-particle":"","parse-names":false,"suffix":""},{"dropping-particle":"","family":"Won","given":"Eun Jeong","non-dropping-particle":"","parse-names":false,"suffix":""},{"dropping-particle":"","family":"Kee","given":"Seung Jung","non-dropping-particle":"","parse-names":false,"suffix":""},{"dropping-particle":"","family":"Jung","given":"Sook In","non-dropping-particle":"","parse-names":false,"suffix":""},{"dropping-particle":"","family":"Jang","given":"Hee Chang","non-dropping-particle":"","parse-names":false,"suffix":""}],"container-title":"Antiviral Therapy","id":"ITEM-4","issue":"5","issued":{"date-parts":[["2016"]]},"page":"455-459","title":"Combination therapy with lopinavir/ritonavir, ribavirin and interferon-a for Middle East respiratory syndrome","type":"article-journal","volume":"21"},"uris":["http://www.mendeley.com/documents/?uuid=088cf829-acdb-49f3-8090-6891838a3fe8","http://www.mendeley.com/documents/?uuid=9ebc1fe4-949f-4a2b-8150-d2cc0e661829"]},{"id":"ITEM-5","itemData":{"DOI":"10.1128/AAC.03011-14","ISSN":"10986596","abstract":"Coronaviruses can cause respiratory and enteric disease in a wide variety of human and animal hosts. The 2003 outbreak of severe acute respiratory syndrome (SARS) first demonstrated the potentially lethal consequences of zoonotic coronavirus infections in humans. In 2012, a similar previously unknown coronavirus emerged, Middle East respiratory syndrome coronavirus (MERS-CoV), thus far causing over 650 laboratory-confirmed infections, with an unexplained steep rise in the number of cases being recorded over recent months. The human MERS fatality rate of</w:instrText>
            </w:r>
            <w:r w:rsidR="00B95A78">
              <w:rPr>
                <w:rFonts w:ascii="Cambria Math" w:hAnsi="Cambria Math" w:cs="Cambria Math"/>
                <w:color w:val="000000"/>
                <w:sz w:val="20"/>
                <w:szCs w:val="20"/>
              </w:rPr>
              <w:instrText>∼</w:instrText>
            </w:r>
            <w:r w:rsidR="00B95A78">
              <w:rPr>
                <w:color w:val="000000"/>
                <w:sz w:val="20"/>
                <w:szCs w:val="20"/>
              </w:rPr>
              <w:instrText>30% is alarmingly high, even though many deaths were associated with underlying medical conditions. Registered therapeutics for the treatment of coronavirus infections are not available. Moreover, the pace of drug development and registration for human use is generally incompatible with strategies to combat emerging infectious diseases. Therefore, we have screened a library of 348 FDA-approved drugs for anti-MERS-CoV activity in cell culture. If such compounds proved sufficiently potent, their efficacy might be directly assessed in MERS patients. We identified four compounds (chloroquine, chlorpromazine, loperamide, and lopinavir) inhibiting MERS-CoV replication in the lowmicromolar range (50% effective concentrations [EC50s], 3 to 8 μM). Moreover, these compounds also inhibit the replication of SARS coronavirus and human coronavirus 229E. Although their protective activity (alone or in combination) remains to be assessed in animal models, our findings may offer a starting point for treatment of patients infected with zoonotic coronaviruses like MERS-CoV. Although they may not necessarily reduce viral replication to very low levels, a moderate viral load reduction may create a window during which to mount a protective immune response. Copyright © 2014, American Society for Microbiology. All Rights Reserved.","author":[{"dropping-particle":"","family":"Wilde","given":"Adriaan H.","non-dropping-particle":"De","parse-names":false,"suffix":""},{"dropping-particle":"","family":"Jochmans","given":"Dirk","non-dropping-particle":"","parse-names":false,"suffix":""},{"dropping-particle":"","family":"Posthuma","given":"Clara C.","non-dropping-particle":"","parse-names":false,"suffix":""},{"dropping-particle":"","family":"Zevenhoven-Dobbe","given":"Jessika C.","non-dropping-particle":"","parse-names":false,"suffix":""},{"dropping-particle":"","family":"Nieuwkoop","given":"Stefan","non-dropping-particle":"Van","parse-names":false,"suffix":""},{"dropping-particle":"","family":"Bestebroer","given":"Theo M.","non-dropping-particle":"","parse-names":false,"suffix":""},{"dropping-particle":"","family":"Hoogen","given":"Bernadette G.","non-dropping-particle":"Van Den","parse-names":false,"suffix":""},{"dropping-particle":"","family":"Neyts","given":"Johan","non-dropping-particle":"","parse-names":false,"suffix":""},{"dropping-particle":"","family":"Snijder","given":"Eric J.","non-dropping-particle":"","parse-names":false,"suffix":""}],"container-title":"Antimicrobial Agents and Chemotherapy","id":"ITEM-5","issue":"8","issued":{"date-parts":[["2014"]]},"page":"4875-84","title":"Screening of an FDA-approved compound library identifies four small-molecule inhibitors of Middle East respiratory syndrome coronavirus replication in cell culture","type":"article-journal","volume":"58"},"uris":["http://www.mendeley.com/documents/?uuid=cf4ac244-f7c6-4e32-a48e-45a1c728dd6d","http://www.mendeley.com/documents/?uuid=6a85b01e-ef69-4a34-9e64-8c6198c1ab58"]}],"mendeley":{"formattedCitation":"[3]–[7]","plainTextFormattedCitation":"[3]–[7]","previouslyFormattedCitation":"[3]–[7]"},"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[3]–[7]</w:t>
            </w:r>
            <w:r w:rsidRPr="00510915">
              <w:rPr>
                <w:color w:val="000000"/>
                <w:sz w:val="20"/>
                <w:szCs w:val="20"/>
              </w:rPr>
              <w:fldChar w:fldCharType="end"/>
            </w:r>
          </w:p>
        </w:tc>
      </w:tr>
      <w:tr w:rsidR="00752AC4" w:rsidRPr="00696794" w14:paraId="1B37D759"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F29065A"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b-thymidine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3E57434" w14:textId="79D46711"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4A7B519"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Lutein</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0DB617E" w14:textId="198131E3"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r>
      <w:tr w:rsidR="00752AC4" w:rsidRPr="00696794" w14:paraId="711A5FE4"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84D2A21"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Candoxatril</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35601B0" w14:textId="282F7D7B"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58BA4A4"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Lymecycline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937EA09" w14:textId="3EA64076"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r>
      <w:tr w:rsidR="00752AC4" w:rsidRPr="00696794" w14:paraId="134CEA73"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BDD9B27"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Carvedilol</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F95DB3F" w14:textId="495FD852"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308BC94" w14:textId="77777777" w:rsidR="00752AC4" w:rsidRPr="00510915" w:rsidRDefault="00752AC4" w:rsidP="003730D5">
            <w:pPr>
              <w:pStyle w:val="NormalWeb"/>
              <w:spacing w:before="0" w:beforeAutospacing="0" w:after="0" w:afterAutospacing="0"/>
              <w:ind w:left="40"/>
              <w:jc w:val="both"/>
              <w:rPr>
                <w:sz w:val="20"/>
                <w:szCs w:val="20"/>
              </w:rPr>
            </w:pPr>
            <w:proofErr w:type="spellStart"/>
            <w:r w:rsidRPr="00510915">
              <w:rPr>
                <w:color w:val="000000"/>
                <w:sz w:val="20"/>
                <w:szCs w:val="20"/>
              </w:rPr>
              <w:t>Masoprocol</w:t>
            </w:r>
            <w:proofErr w:type="spellEnd"/>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137588E" w14:textId="2F1EDFD9"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r>
      <w:tr w:rsidR="00752AC4" w:rsidRPr="00696794" w14:paraId="7D0B8C85"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8CAED5C" w14:textId="77777777" w:rsidR="00752AC4" w:rsidRPr="00696794" w:rsidRDefault="00752AC4" w:rsidP="003730D5">
            <w:pPr>
              <w:pStyle w:val="NormalWeb"/>
              <w:spacing w:before="0" w:beforeAutospacing="0" w:after="0" w:afterAutospacing="0"/>
              <w:ind w:left="40"/>
              <w:jc w:val="both"/>
              <w:rPr>
                <w:sz w:val="20"/>
                <w:szCs w:val="20"/>
              </w:rPr>
            </w:pPr>
            <w:proofErr w:type="spellStart"/>
            <w:r w:rsidRPr="00696794">
              <w:rPr>
                <w:color w:val="000000"/>
                <w:sz w:val="20"/>
                <w:szCs w:val="20"/>
              </w:rPr>
              <w:t>Cefpiramide</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C00A302" w14:textId="7A1F6A7E"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plainTextFormattedCitation":"[1]","previouslyFormattedCitation":"[1]"},"properties":{"noteIndex":0},"schema":"https://github.com/citation-style-language/schema/raw/master/csl-citation.json"}</w:instrText>
            </w:r>
            <w:r w:rsidRPr="00510915">
              <w:rPr>
                <w:color w:val="000000"/>
                <w:sz w:val="20"/>
                <w:szCs w:val="20"/>
              </w:rPr>
              <w:fldChar w:fldCharType="separate"/>
            </w:r>
            <w:r w:rsidR="00B95A78" w:rsidRPr="00B95A78">
              <w:rPr>
                <w:noProof/>
                <w:color w:val="000000"/>
                <w:sz w:val="20"/>
                <w:szCs w:val="20"/>
              </w:rPr>
              <w:t>[1]</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F7A7398"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Mefloquine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7B16F67" w14:textId="37F8F80E"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{"citationItems":[{"id":"ITEM-1","itemData":{"DOI":"10.1186/s12879-017-2253-8","ISSN":"14712334","abstract":"Background: Middle East Respiratory Syndrome coronavirus (MERS-CoV) is an emerging viral pathogen that causes severe morbidity and mortality. Up to date, there is no approved or licensed vaccine or antiviral medicines can be used to treat MERS-CoV-infected patients. Here, we analyzed the antiviral activities of resveratrol, a natural compound found in grape seeds and skin and in red wine, against MERS-CoV infection. Methods: We performed MTT and neutral red uptake assays to assess the survival rates of MERS-infected Vero E6 cells. In addition, quantitative PCR, western blotting, and immunofluorescent assays determined the intracellular viral RNA and protein expression. For viral productivity, we utilized plaque assays to confirm the antiviral properties of resveratrol against MERS-CoV. Results: Resveratrol significantly inhibited MERS-CoV infection and prolonged cellular survival after virus infection. We also found that the expression of nucleocapsid (N) protein essential for MERS-CoV replication was decreased after resveratrol treatment. Furthermore, resveratrol down-regulated the apoptosis induced by MERS-CoV in vitro. By consecutive administration of resveratrol, we were able to reduce the concentration of resveratrol while achieving inhibitory effectiveness against MERS-CoV. Conclusion: In this study, we first demonstrated that resveratrol is a potent anti-MERS agent in vitro. We perceive that resveratrol can be a potential antiviral agent against MERS-CoV infection in the near future.","author":[{"dropping-particle":"","family":"Lin","given":"Shih Chao","non-dropping-particle":"","parse-names":false,"suffix":""},{"dropping-particle":"","family":"Ho","given":"Chi Tang","non-dropping-particle":"","parse-names":false,"suffix":""},{"dropping-particle":"","family":"Chuo","given":"Wen Ho","non-dropping-particle":"","parse-names":false,"suffix":""},{"dropping-particle":"","family":"Li","given":"Shiming","non-dropping-particle":"","parse-names":false,"suffix":""},{"dropping-particle":"","family":"Wang","given":"Tony T.","non-dropping-particle":"","parse-names":false,"suffix":""},{"dropping-particle":"","family":"Lin","given":"Chi Chen","non-dropping-particle":"","parse-names":false,"suffix":""}],"container-title":"BMC Infectious Diseases","id":"ITEM-1","issue":"1","issued":{"date-parts":[["2017"]]},"page":"144","title":"Effective inhibition of MERS-CoV infection by resveratrol","type":"article-journal","volume":"17"},"uris":["http://www.mendeley.com/documents/?uuid=b86c2cec-878a-4a66-954a-31b0d02e47d1","http://www.mendeley.com/documents/?uuid=0c33ee54-0796-4fc8-a35f-31875dec96f7"]}],"mendeley":{"formattedCitation":"[8]","manualFormatting":" [15]","plainTextFormattedCitation":"[8]","previouslyFormattedCitation":"[8]"},"properties":{"noteIndex":0},"schema":"https://github.com/citation-style-language/schema/raw/master/csl-citation.json"}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[15]</w:t>
            </w:r>
            <w:r w:rsidRPr="00510915">
              <w:rPr>
                <w:color w:val="000000"/>
                <w:sz w:val="20"/>
                <w:szCs w:val="20"/>
              </w:rPr>
              <w:fldChar w:fldCharType="end"/>
            </w:r>
          </w:p>
        </w:tc>
      </w:tr>
      <w:tr w:rsidR="00752AC4" w:rsidRPr="00696794" w14:paraId="3ADAF37F"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F1ABCCF"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Ceftibuten</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FCA19A7" w14:textId="6F6DDA6E"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7470E50" w14:textId="77777777" w:rsidR="00752AC4" w:rsidRPr="00510915" w:rsidRDefault="00752AC4" w:rsidP="003730D5">
            <w:pPr>
              <w:pStyle w:val="NormalWeb"/>
              <w:spacing w:before="0" w:beforeAutospacing="0" w:after="0" w:afterAutospacing="0"/>
              <w:ind w:left="40"/>
              <w:jc w:val="both"/>
              <w:rPr>
                <w:sz w:val="20"/>
                <w:szCs w:val="20"/>
              </w:rPr>
            </w:pPr>
            <w:proofErr w:type="spellStart"/>
            <w:r w:rsidRPr="00510915">
              <w:rPr>
                <w:color w:val="000000"/>
                <w:sz w:val="20"/>
                <w:szCs w:val="20"/>
              </w:rPr>
              <w:t>Mimosine</w:t>
            </w:r>
            <w:proofErr w:type="spellEnd"/>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BFCC33E" w14:textId="100B94B7"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6EF384EC"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CBC1E08"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Cefuroxime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7D9235F" w14:textId="321EDBAA"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02EE720"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Montelukast</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2659AE1" w14:textId="2D2739E2"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03362957"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F3F541D"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Chenodeoxycholic acid</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B8A921D" w14:textId="260C5948"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E141124" w14:textId="77777777" w:rsidR="00752AC4" w:rsidRPr="00510915" w:rsidRDefault="00752AC4" w:rsidP="003730D5">
            <w:pPr>
              <w:pStyle w:val="NormalWeb"/>
              <w:spacing w:before="0" w:beforeAutospacing="0" w:after="0" w:afterAutospacing="0"/>
              <w:ind w:left="40"/>
              <w:jc w:val="both"/>
              <w:rPr>
                <w:sz w:val="20"/>
                <w:szCs w:val="20"/>
              </w:rPr>
            </w:pPr>
            <w:proofErr w:type="spellStart"/>
            <w:r w:rsidRPr="00510915">
              <w:rPr>
                <w:color w:val="000000"/>
                <w:sz w:val="20"/>
                <w:szCs w:val="20"/>
              </w:rPr>
              <w:t>Nafamostat</w:t>
            </w:r>
            <w:proofErr w:type="spellEnd"/>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2E26B2B" w14:textId="4ECED41C"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10.1038/s41422-020-0282-0","ISSN":"17487838","PMID":"32020029","author":[{"dropping-particle":"","family":"Wang","given":"Manli","non-dropping-particle":"","parse-names":false,"suffix":""},{"dropping-particle":"","family":"Cao","given":"Ruiyuan","non-dropping-particle":"","parse-names":false,"suffix":""},{"dropping-particle":"","family":"Zhang","given":"Leike","non-dropping-particle":"","parse-names":false,"suffix":""},{"dropping-particle":"","family":"Yang","given":"Xinglou","non-dropping-particle":"","parse-names":false,"suffix":""},{"dropping-particle":"","family":"Liu","given":"Jia","non-dropping-particle":"","parse-names":false,"suffix":""},{"dropping-particle":"","family":"Xu","given":"Mingyue","non-dropping-particle":"","parse-names":false,"suffix":""},{"dropping-particle":"","family":"Shi","given":"Zhengli","non-dropping-particle":"","parse-names":false,"suffix":""},{"dropping-particle":"","family":"Hu","given":"Zhihong","non-dropping-particle":"","parse-names":false,"suffix":""},{"dropping-particle":"","family":"Zhong","given":"Wu","non-dropping-particle":"","parse-names":false,"suffix":""},{"dropping-particle":"","family":"Xiao","given":"Gengfu","non-dropping-particle":"","parse-names":false,"suffix":""}],"container-title":"Cell Research","id":"ITEM-1","issued":{"date-parts":[["2020"]]},"page":"269-271","title":"Remdesivir and chloroquine effectively inhibit the recently emerged novel coronavirus (2019-nCoV) in vitro","type":"article-journal","volume":"30"},"uris":["http://www.mendeley.com/documents/?uuid=782ce1d6-9577-4154-b5bb-300074431de1","http://www.mendeley.com/documents/?uuid=b6fd793e-e2fc-43a0-8dee-b69c24fe893e"]},{"id":"ITEM-2","itemData":{"DOI":"10.1111/jgh.13030","ISSN":"14401746","abstract":"Background and Aims: The prevalence of sexually transmitted acute infections of the genotype A hepatitis B virus (HBV) has been increasing in Japan. Genotype A HBV is associated with an increased risk of HBV progression to chronic infection after acute hepatitis B (AHB) in adults. A nationwide survey was conducted to evaluate the geographic distribution, clinical, and virologic characteristics of genotype A AHB and chronic hepatitis B (CHB) in Japan. Methods: Five hundred seventy AHB patients were recruited between 2005 and 2010, and 3682 CHB patients were recruited between 2010 and 2011. HBV genotypes were determined for 552 and 3619 AHB and CHB patients, respectively. Clinical characteristics were compared among different genotypes in AHB and CHB patients. Genomic characteristics of HBV genotype A were examined by molecular evolutionary analysis. Results: Hepatitis B virus genotype A was the predominant genotype for AHB between 2005 and 2010. Phylogenetic analysis showed that all strains in the AHB patients with genotype A were classified into subtype Ae. Among CHB patients, the occurrence of genotype A was 4.1%, and genotype A was spreading in young adults. In genotype A CHB patients, early stage liver diseases were predominant, although liver diseases progressed to cirrhosis or hepatocellular carcinoma in some patients. Conclusions: The distribution of HBV genotypes is quite different between AHB and CHB in Japanese patients. Genotype A infection is spreading in young adults of Japanese CHB patients. Sequences derived from Japanese AHB patients were identical to or closely resembled the sequences derived from other Japanese AHB patients.","author":[{"dropping-particle":"","family":"Ito","given":"Kiyoaki","non-dropping-particle":"","parse-names":false,"suffix":""},{"dropping-particle":"","family":"Yotsuyanagi","given":"Hiroshi","non-dropping-particle":"","parse-names":false,"suffix":""},{"dropping-particle":"","family":"Sugiyama","given":"Masaya","non-dropping-particle":"","parse-names":false,"suffix":""},{"dropping-particle":"","family":"Yatsuhashi","given":"Hiroshi","non-dropping-particle":"","parse-names":false,"suffix":""},{"dropping-particle":"","family":"Karino","given":"Yoshiyasu","non-dropping-particle":"","parse-names":false,"suffix":""},{"dropping-particle":"","family":"Takikawa","given":"Yasuhiro","non-dropping-particle":"","parse-names":false,"suffix":""},{"dropping-particle":"","family":"Saito","given":"Takafumi","non-dropping-particle":"","parse-names":false,"suffix":""},{"dropping-particle":"","family":"Arase","given":"Yasuji","non-dropping-particle":"","parse-names":false,"suffix":""},{"dropping-particle":"","family":"Imazeki","given":"Fumio","non-dropping-particle":"","parse-names":false,"suffix":""},{"dropping-particle":"","family":"Kurosaki","given":"Masayuki","non-dropping-particle":"","parse-names":false,"suffix":""},{"dropping-particle":"","family":"Umemura","given":"Takeji","non-dropping-particle":"","parse-names":false,"suffix":""},{"dropping-particle":"","family":"Ichida","given":"Takafumi","non-dropping-particle":"","parse-names":false,"suffix":""},{"dropping-particle":"","family":"Toyoda","given":"Hidenori","non-dropping-particle":"","parse-names":false,"suffix":""},{"dropping-particle":"","family":"Yoneda","given":"Masashi","non-dropping-particle":"","parse-names":false,"suffix":""},{"dropping-particle":"","family":"Tanaka","given":"Yasuhito","non-dropping-particle":"","parse-names":false,"suffix":""},{"dropping-particle":"","family":"Mita","given":"Eiji","non-dropping-particle":"","parse-names":false,"suffix":""},{"dropping-particle":"","family":"Yamamoto","given":"Kazuhide","non-dropping-particle":"","parse-names":false,"suffix":""},{"dropping-particle":"","family":"Michitaka","given":"Kojiro","non-dropping-particle":"","parse-names":false,"suffix":""},{"dropping-particle":"","family":"Maeshiro","given":"Tatsuji","non-dropping-particle":"","parse-names":false,"suffix":""},{"dropping-particle":"","family":"Tanuma","given":"Junko","non-dropping-particle":"","parse-names":false,"suffix":""},{"dropping-particle":"","family":"Korenaga","given":"Masaaki","non-dropping-particle":"","parse-names":false,"suffix":""},{"dropping-particle":"","family":"Murata","given":"Kazumoto","non-dropping-particle":"","parse-names":false,"suffix":""},{"dropping-particle":"","family":"Masaki","given":"Naohiko","non-dropping-particle":"","parse-names":false,"suffix":""},{"dropping-particle":"","family":"Koike","given":"Kazuhiko","non-dropping-particle":"","parse-names":false,"suffix":""},{"dropping-particle":"","family":"Mizokami","given":"Masashi","non-dropping-particle":"","parse-names":false,"suffix":""},{"dropping-particle":"","family":"Imai","given":"Yasuharu","non-dropping-particle":"","parse-names":false,"suffix":""},{"dropping-particle":"","family":"Yamada","given":"Norie","non-dropping-particle":"","parse-names":false,"suffix":""},{"dropping-particle":"","family":"Takahashi","given":"Hideaki","non-dropping-particle":"","parse-names":false,"suffix":""},{"dropping-particle":"","family":"Ishii","given":"Koji","non-dropping-particle":"","parse-names":false,"suffix":""},{"dropping-particle":"","family":"Nomura","given":"Hideyuki","non-dropping-particle":"","parse-names":false,"suffix":""},{"dropping-particle":"","family":"Nishida","given":"Jiro","non-dropping-particle":"","parse-names":false,"suffix":""},{"dropping-particle":"","family":"Mikami","given":"Shigeru","non-dropping-particle":"","parse-names":false,"suffix":""},{"dropping-particle":"","family":"Kitamura","given":"Tsuneo","non-dropping-particle":"","parse-names":false,"suffix":""},{"dropping-particle":"","family":"Tsubota","given":"Akihito","non-dropping-particle":"","parse-names":false,"suffix":""},{"dropping-particle":"","family":"Shimada","given":"Noritomo","non-dropping-particle":"","parse-names":false,"suffix":""},{"dropping-particle":"","family":"Ishikawa","given":"Tetsuya","non-dropping-particle":"","parse-names":false,"suffix":""},{"dropping-particle":"","family":"Ueno","given":"Yoshiyuki","non-dropping-particle":"","parse-names":false,"suffix":""},{"dropping-particle":"","family":"Ohno","given":"Tomoyoshi","non-dropping-particle":"","parse-names":false,"suffix":""},{"dropping-particle":"","family":"Orito","given":"Etsuro","non-dropping-particle":"","parse-names":false,"suffix":""},{"dropping-particle":"","family":"Suzuki","given":"Michihiro","non-dropping-particle":"","parse-names":false,"suffix":""},{"dropping-particle":"","family":"Kakizaki","given":"Satoshi","non-dropping-particle":"","parse-names":false,"suffix":""},{"dropping-particle":"","family":"Takagi","given":"Hitoshi","non-dropping-particle":"","parse-names":false,"suffix":""},{"dropping-particle":"","family":"Tomita","given":"Eiichi","non-dropping-particle":"","parse-names":false,"suffix":""},{"dropping-particle":"","family":"Takashi","given":"Kumada","non-dropping-particle":"","parse-names":false,"suffix":""},{"dropping-particle":"","family":"Mizuta","given":"Toshihiko","non-dropping-particle":"","parse-names":false,"suffix":""},{"dropping-particle":"","family":"Mine","given":"Tetsuya","non-dropping-particle":"","parse-names":false,"suffix":""},{"dropping-particle":"","family":"Kang","given":"Jong Hon","non-dropping-particle":"","parse-names":false,"suffix":""},{"dropping-particle":"","family":"Hirano","given":"Katsuji","non-dropping-particle":"","parse-names":false,"suffix":""},{"dropping-particle":"","family":"Tsubouchi","given":"Hirohito","non-dropping-particle":"","parse-names":false,"suffix":""},{"dropping-particle":"","family":"Nozaki","given":"Akito","non-dropping-particle":"","parse-names":false,"suffix":""},{"dropping-particle":"","family":"Sakai","given":"Akito","non-dropping-particle":"","parse-names":false,"suffix":""},{"dropping-particle":"","family":"Nishiguchi","given":"Shuhei","non-dropping-particle":"","parse-names":false,"suffix":""},{"dropping-particle":"","family":"Tamori","given":"Akihiro","non-dropping-particle":"","parse-names":false,"suffix":""},{"dropping-particle":"","family":"Hagiwara","given":"Satoru","non-dropping-particle":"","parse-names":false,"suffix":""},{"dropping-particle":"","family":"Nakazawa","given":"Takahide","non-dropping-particle":"","parse-names":false,"suffix":""},{"dropping-particle":"","family":"Sata","given":"Michio","non-dropping-particle":"","parse-names":false,"suffix":""},{"dropping-particle":"","family":"Kamoshida","given":"Toshiro","non-dropping-particle":"","parse-names":false,"suffix":""},{"dropping-particle":"","family":"Takahashi","given":"Atsushi","non-dropping-particle":"","parse-names":false,"suffix":""},{"dropping-particle":"","family":"Kobayashi","given":"Yoshimasa","non-dropping-particle":"","parse-names":false,"suffix":""},{"dropping-particle":"","family":"Sasaki","given":"Shigeru","non-dropping-particle":"","parse-names":false,"suffix":""},{"dropping-particle":"","family":"Ikegami","given":"Tadashi","non-dropping-particle":"","parse-names":false,"suffix":""},{"dropping-particle":"","family":"Hiasa","given":"Yoichi","non-dropping-particle":"","parse-names":false,"suffix":""},{"dropping-particle":"","family":"Nagata","given":"Kenji","non-dropping-particle":"","parse-names":false,"suffix":""},{"dropping-particle":"","family":"Kubota","given":"Tomoyuki","non-dropping-particle":"","parse-names":false,"suffix":""},{"dropping-particle":"","family":"Mitsui","given":"Hiroshi","non-dropping-particle":"","parse-names":false,"suffix":""},{"dropping-particle":"","family":"Yamamoto","given":"Norihiko","non-dropping-particle":"","parse-names":false,"suffix":""},{"dropping-particle":"","family":"Tsuge","given":"Masataka","non-dropping-particle":"","parse-names":false,"suffix":""},{"dropping-particle":"","family":"Sato","given":"Shuichi","non-dropping-particle":"","parse-names":false,"suffix":""},{"dropping-particle":"","family":"Ito","given":"Yoshito","non-dropping-particle":"","parse-names":false,"suffix":""},{"dropping-particle":"","family":"Sato","given":"Wataru","non-dropping-particle":"","parse-names":false,"suffix":""},{"dropping-particle":"","family":"Uchida","given":"Shigeharu","non-dropping-particle":"","parse-names":false,"suffix":""},{"dropping-particle":"","family":"Tada","given":"Yuki","non-dropping-particle":"","parse-names":false,"suffix":""},{"dropping-particle":"","family":"Mizuochi","given":"Toshiaki","non-dropping-particle":"","parse-names":false,"suffix":""},{"dropping-particle":"","family":"Furusho","given":"Norihiro","non-dropping-particle":"","parse-names":false,"suffix":""},{"dropping-particle":"","family":"Hige","given":"Shuhei","non-dropping-particle":"","parse-names":false,"suffix":""},{"dropping-particle":"","family":"Yoshiyasu Karino","given":"","non-dropping-particle":"","parse-names":false,"suffix":""},{"dropping-particle":"","family":"Kobayashi","given":"Minoru","non-dropping-particle":"","parse-names":false,"suffix":""},{"dropping-particle":"","family":"Hosho","given":"Keiko","non-dropping-particle":"","parse-names":false,"suffix":""},{"dropping-particle":"","family":"Yamagiwa","given":"Satoshi","non-dropping-particle":"","parse-names":false,"suffix":""},{"dropping-particle":"","family":"Sakaida","given":"Isao","non-dropping-particle":"","parse-names":false,"suffix":""},{"dropping-particle":"","family":"Nakane","given":"Kunio","non-dropping-particle":"","parse-names":false,"suffix":""}],"container-title":"Journal of Gastroenterology and Hepatology (Australia)","id":"ITEM-2","issue":"1","issued":{"date-parts":[["2016"]]},"page":"180-9","title":"Geographic distribution and characteristics of genotype A hepatitis B virus infection in acute and chronic hepatitis B patients in Japan","type":"article-journal","volume":"31"},"uris":["http://www.mendeley.com/documents/?uuid=b11e227e-ca01-4b54-94a8-e628714b03e7","http://www.mendeley.com/documents/?uuid=7453f91d-5aa5-462b-82ac-75002abb8629"]}],"mendeley":{"formattedCitation":"[9], [10]","manualFormatting":" [30,31]","plainTextFormattedCitation":"[9], [10]","previouslyFormattedCitation":"[9], [10]"},"properties":{"noteIndex":0},"schema":"https://github.com/citation-style-language/schema/raw/master/csl-citation.json"}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[30,31</w:t>
            </w:r>
            <w:r w:rsidRPr="009D43F2">
              <w:rPr>
                <w:noProof/>
                <w:color w:val="000000"/>
                <w:sz w:val="20"/>
                <w:szCs w:val="20"/>
              </w:rPr>
              <w:t>]</w:t>
            </w:r>
            <w:r w:rsidRPr="00510915">
              <w:rPr>
                <w:color w:val="000000"/>
                <w:sz w:val="20"/>
                <w:szCs w:val="20"/>
              </w:rPr>
              <w:fldChar w:fldCharType="end"/>
            </w:r>
          </w:p>
        </w:tc>
      </w:tr>
      <w:tr w:rsidR="00752AC4" w:rsidRPr="00696794" w14:paraId="7056FD15"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FDCA47A"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Chloramphenicol</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E9ECD2A" w14:textId="17C8153B"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D31A3DF" w14:textId="77777777" w:rsidR="00752AC4" w:rsidRPr="00510915" w:rsidRDefault="00752AC4" w:rsidP="003730D5">
            <w:pPr>
              <w:pStyle w:val="NormalWeb"/>
              <w:spacing w:before="0" w:beforeAutospacing="0" w:after="0" w:afterAutospacing="0"/>
              <w:ind w:left="40"/>
              <w:jc w:val="both"/>
              <w:rPr>
                <w:sz w:val="20"/>
                <w:szCs w:val="20"/>
              </w:rPr>
            </w:pPr>
            <w:proofErr w:type="spellStart"/>
            <w:r w:rsidRPr="00510915">
              <w:rPr>
                <w:color w:val="000000"/>
                <w:sz w:val="20"/>
                <w:szCs w:val="20"/>
              </w:rPr>
              <w:t>Nelvinafir</w:t>
            </w:r>
            <w:proofErr w:type="spellEnd"/>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4684CCC" w14:textId="596AEB3A"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634F46BD"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437F9B3"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Chlorhexidine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273379A" w14:textId="4A65192F"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928ADD2"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Nepafenac</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8A0FE79" w14:textId="42829103"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1F595895"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359B83E" w14:textId="77777777" w:rsidR="00752AC4" w:rsidRPr="00696794" w:rsidRDefault="00752AC4" w:rsidP="003730D5">
            <w:pPr>
              <w:pStyle w:val="NormalWeb"/>
              <w:spacing w:before="0" w:beforeAutospacing="0" w:after="0" w:afterAutospacing="0"/>
              <w:ind w:left="40"/>
              <w:jc w:val="both"/>
              <w:rPr>
                <w:sz w:val="20"/>
                <w:szCs w:val="20"/>
              </w:rPr>
            </w:pPr>
            <w:proofErr w:type="spellStart"/>
            <w:r w:rsidRPr="00696794">
              <w:rPr>
                <w:color w:val="000000"/>
                <w:sz w:val="20"/>
                <w:szCs w:val="20"/>
              </w:rPr>
              <w:t>Cilastatin</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3FE1ED4" w14:textId="4F44049A"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6F1920A"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Nicardipine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C7C8079" w14:textId="71CB0F56"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1F068AD7"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1A80F91"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Cobicistat</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769F36F" w14:textId="443D4DDA"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10.1038/d41573-020-00016-0","ISSN":"14741784","author":[{"dropping-particle":"","family":"Li","given":"Guangdi","non-dropping-particle":"","parse-names":false,"suffix":""},{"dropping-particle":"","family":"Clercq","given":"Erik","non-dropping-particle":"De","parse-names":false,"suffix":""}],"container-title":"Nature reviews. Drug discovery","id":"ITEM-1","issued":{"date-parts":[["2020"]]},"page":"149-150","title":"Therapeutic options for the 2019 novel coronavirus (2019-nCoV)","type":"article-journal","volume":"19"},"uris":["http://www.mendeley.com/documents/?uuid=c9f68c69-5362-4d6d-adc9-a36ac2221468","http://www.mendeley.com/documents/?uuid=d4ef5fca-c67e-443c-a34e-594d95db40fc"]}],"mendeley":{"formattedCitation":"[11]","manualFormatting":" [6]","plainTextFormattedCitation":"[11]","previouslyFormattedCitation":"[11]"},"properties":{"noteIndex":0},"schema":"https://github.com/citation-style-language/schema/raw/master/csl-citation.json"}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[6]</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6ACC748"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Novobiocin</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D660CD2" w14:textId="1BB9AE0D"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05B44CA0"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9091692"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Conivaptan</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CB3CF48" w14:textId="291BB2D8"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923DABE"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Oseltamivir</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F8B7FD7" w14:textId="3C467F79"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10.1038/d41573-020-00016-0","ISSN":"14741784","author":[{"dropping-particle":"","family":"Li","given":"Guangdi","non-dropping-particle":"","parse-names":false,"suffix":""},{"dropping-particle":"","family":"Clercq","given":"Erik","non-dropping-particle":"De","parse-names":false,"suffix":""}],"container-title":"Nature reviews. Drug discovery","id":"ITEM-1","issued":{"date-parts":[["2020"]]},"page":"149-150","title":"Therapeutic options for the 2019 novel coronavirus (2019-nCoV)","type":"article-journal","volume":"19"},"uris":["http://www.mendeley.com/documents/?uuid=c9f68c69-5362-4d6d-adc9-a36ac2221468","http://www.mendeley.com/documents/?uuid=d4ef5fca-c67e-443c-a34e-594d95db40fc"]}],"mendeley":{"formattedCitation":"[11]","manualFormatting":" [6]","plainTextFormattedCitation":"[11]","previouslyFormattedCitation":"[11]"},"properties":{"noteIndex":0},"schema":"https://github.com/citation-style-language/schema/raw/master/csl-citation.json"}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[6]</w:t>
            </w:r>
            <w:r w:rsidRPr="00510915">
              <w:rPr>
                <w:color w:val="000000"/>
                <w:sz w:val="20"/>
                <w:szCs w:val="20"/>
              </w:rPr>
              <w:fldChar w:fldCharType="end"/>
            </w:r>
          </w:p>
        </w:tc>
      </w:tr>
      <w:tr w:rsidR="00752AC4" w:rsidRPr="00696794" w14:paraId="370FB15F"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0EC50B7"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Cortisone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4E17E55" w14:textId="1297C174"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9B8547A"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Oxytetracycline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F8D9EBE" w14:textId="2C100031"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4C36ACD9" w14:textId="77777777" w:rsidTr="003730D5">
        <w:trPr>
          <w:trHeight w:val="1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01454E3"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Cromolyn</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7097E53" w14:textId="6F119700"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2402BB8" w14:textId="77777777" w:rsidR="00752AC4" w:rsidRPr="00510915" w:rsidRDefault="00752AC4" w:rsidP="003730D5">
            <w:pPr>
              <w:pStyle w:val="NormalWeb"/>
              <w:spacing w:before="0" w:beforeAutospacing="0" w:after="0" w:afterAutospacing="0"/>
              <w:ind w:left="40"/>
              <w:jc w:val="both"/>
              <w:rPr>
                <w:sz w:val="20"/>
                <w:szCs w:val="20"/>
              </w:rPr>
            </w:pPr>
            <w:proofErr w:type="spellStart"/>
            <w:r w:rsidRPr="00510915">
              <w:rPr>
                <w:color w:val="000000"/>
                <w:sz w:val="20"/>
                <w:szCs w:val="20"/>
              </w:rPr>
              <w:t>Pancuronium</w:t>
            </w:r>
            <w:proofErr w:type="spellEnd"/>
            <w:r w:rsidRPr="00510915">
              <w:rPr>
                <w:color w:val="000000"/>
                <w:sz w:val="20"/>
                <w:szCs w:val="20"/>
              </w:rPr>
              <w:t xml:space="preserve"> bromide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D9E519" w14:textId="16B3EF34"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17C8CCCB" w14:textId="77777777" w:rsidTr="003730D5">
        <w:trPr>
          <w:trHeight w:val="34"/>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891E695"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 xml:space="preserve">Dabigatran </w:t>
            </w:r>
            <w:proofErr w:type="spellStart"/>
            <w:r w:rsidRPr="00696794">
              <w:rPr>
                <w:color w:val="000000"/>
                <w:sz w:val="20"/>
                <w:szCs w:val="20"/>
              </w:rPr>
              <w:t>etexilate</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047D598" w14:textId="3468CDB5"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ED9FE8A"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Penciclovir</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C06B133" w14:textId="77777777" w:rsidR="00752AC4" w:rsidRPr="009D43F2" w:rsidRDefault="00752AC4" w:rsidP="003730D5">
            <w:pPr>
              <w:pStyle w:val="NormalWeb"/>
              <w:spacing w:before="0" w:beforeAutospacing="0" w:after="0" w:afterAutospacing="0"/>
              <w:ind w:left="40"/>
              <w:jc w:val="center"/>
              <w:rPr>
                <w:sz w:val="20"/>
                <w:szCs w:val="20"/>
              </w:rPr>
            </w:pPr>
            <w:r w:rsidRPr="009D43F2">
              <w:rPr>
                <w:color w:val="000000"/>
                <w:sz w:val="20"/>
                <w:szCs w:val="20"/>
              </w:rPr>
              <w:t>[30]</w:t>
            </w:r>
          </w:p>
        </w:tc>
      </w:tr>
      <w:tr w:rsidR="00752AC4" w:rsidRPr="00696794" w14:paraId="4F1445CA"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D65445E"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Dantrolene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0FC7B9B" w14:textId="5CDC051B"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11E9849" w14:textId="77777777" w:rsidR="00752AC4" w:rsidRPr="00510915" w:rsidRDefault="00752AC4" w:rsidP="003730D5">
            <w:pPr>
              <w:pStyle w:val="NormalWeb"/>
              <w:spacing w:before="0" w:beforeAutospacing="0" w:after="0" w:afterAutospacing="0"/>
              <w:ind w:left="40"/>
              <w:jc w:val="both"/>
              <w:rPr>
                <w:sz w:val="20"/>
                <w:szCs w:val="20"/>
              </w:rPr>
            </w:pPr>
            <w:proofErr w:type="spellStart"/>
            <w:r w:rsidRPr="00510915">
              <w:rPr>
                <w:color w:val="000000"/>
                <w:sz w:val="20"/>
                <w:szCs w:val="20"/>
              </w:rPr>
              <w:t>Phenethicillin</w:t>
            </w:r>
            <w:proofErr w:type="spellEnd"/>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DC52474" w14:textId="72928006"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1F2CC91A"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7C63371"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Darunavir</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9B066D1" w14:textId="1BBFBA8D"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10.1038/d41573-020-00016-0","ISSN":"14741784","author":[{"dropping-particle":"","family":"Li","given":"Guangdi","non-dropping-particle":"","parse-names":false,"suffix":""},{"dropping-particle":"","family":"Clercq","given":"Erik","non-dropping-particle":"De","parse-names":false,"suffix":""}],"container-title":"Nature reviews. Drug discovery","id":"ITEM-1","issued":{"date-parts":[["2020"]]},"page":"149-150","title":"Therapeutic options for the 2019 novel coronavirus (2019-nCoV)","type":"article-journal","volume":"19"},"uris":["http://www.mendeley.com/documents/?uuid=c9f68c69-5362-4d6d-adc9-a36ac2221468","http://www.mendeley.com/documents/?uuid=d4ef5fca-c67e-443c-a34e-594d95db40fc"]}],"mendeley":{"formattedCitation":"[11]","manualFormatting":" [6]","plainTextFormattedCitation":"[11]","previouslyFormattedCitation":"[11]"},"properties":{"noteIndex":0},"schema":"https://github.com/citation-style-language/schema/raw/master/csl-citation.json"}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[6]</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F6547ED"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Pioglitazone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B852D6E" w14:textId="2E8D1699"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2AA6F0D3" w14:textId="77777777" w:rsidTr="003730D5">
        <w:trPr>
          <w:trHeight w:val="110"/>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42BB2C1"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Demeclocycline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B755474" w14:textId="147EC637"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F35C4C7"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Progabide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CCAC9A8" w14:textId="26DEA2A9"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1F175D3B"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1718A5E"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lastRenderedPageBreak/>
              <w:t>Diphenoxylate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BD62F6F" w14:textId="68D1ABAF"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2E695C2" w14:textId="77777777" w:rsidR="00752AC4" w:rsidRPr="00510915" w:rsidRDefault="00752AC4" w:rsidP="003730D5">
            <w:pPr>
              <w:pStyle w:val="NormalWeb"/>
              <w:spacing w:before="0" w:beforeAutospacing="0" w:after="0" w:afterAutospacing="0"/>
              <w:ind w:left="40"/>
              <w:jc w:val="both"/>
              <w:rPr>
                <w:sz w:val="20"/>
                <w:szCs w:val="20"/>
              </w:rPr>
            </w:pPr>
            <w:proofErr w:type="spellStart"/>
            <w:r w:rsidRPr="00510915">
              <w:rPr>
                <w:color w:val="000000"/>
                <w:sz w:val="20"/>
                <w:szCs w:val="20"/>
              </w:rPr>
              <w:t>Remdesivir</w:t>
            </w:r>
            <w:proofErr w:type="spellEnd"/>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30C048D" w14:textId="12CD9000"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{"citationItems":[{"id":"ITEM-1","itemData":{"DOI":"10.1128/mBio.00221-18","ISSN":"21507511","abstract":"Emerging coronaviruses (CoVs) cause severe disease in humans, but no approved therapeutics are available. The CoV nsp14 exoribonuclease (ExoN) has complicated development of antiviral nucleosides due to its proofreading activity. We recently reported that the nucleoside analogue GS-5734 (remdesivir) potently inhibits human and zoonotic CoVs in vitro and in a severe acute respiratory syndrome coronavirus (SARS-CoV) mouse model. However, studies with GS-5734 have not reported resistance associated with GS-5734, nor do we understand the action of GS- 5734 in wild-type (WT) proofreading CoVs. Here, we show that GS-5734 inhibits murine hepatitis virus (MHV) with similar 50% effective concentration values (EC50) as SARS-CoV and Middle East respiratory syndrome coronavirus (MERS-CoV). Passage of WT MHV in the presence of the GS-5734 parent nucleoside selected two mutations in the nsp12 polymerase at residues conserved across all CoVs that conferred up to 5.6-fold resistance to GS-5734, as determined by EC50. The resistant viruses were unable to compete with WT in direct coinfection passage in the absence of GS-5734. Introduction of the MHV resistance mutations into SARS-CoV resulted in the same in vitro resistance phenotype and attenuated SARS-CoV pathogenesis in a mouse model. Finally, we demonstrate that an MHV mutant lacking ExoN proofreading was significantly more sensitive to GS-5734. Combined, the results indicate that GS-5734 interferes with the nsp12 polymerase even in the setting of intact ExoN proofreading activity and that resistance can be overcome with increased, nontoxic concentrations of GS-5734, further supporting the development of GS-5734 as a broad-spectrum therapeutic to protect against contemporary and emerging CoVs. IMPORTANCE Coronaviruses (CoVs) cause severe human infections, but there are no approved antivirals to treat these infections. Development of nucleoside-based therapeutics for CoV infections has been hampered by the presence of a proofreading exoribonuclease. Here, we expand the known efficacy of the nucleotide prodrug remdesivir (GS-5734) to include a group β-2a CoV. Further, GS-5734 potently inhibits CoVs with intact proofreading. Following selection with the GS-5734 parent nucleoside, 2 amino acid substitutions in the nsp12 polymerase at residues that are identical across CoVs provide low-level resistance to GS-5734. The resistance mutations decrease viral fitness of MHV in vitro and attenuate pathogenesis in a SARS-CoV ani…","author":[{"dropping-particle":"","family":"Agostini","given":"Maria L.","non-dropping-particle":"","parse-names":false,"suffix":""},{"dropping-particle":"","family":"Andres","given":"Erica L.","non-dropping-particle":"","parse-names":false,"suffix":""},{"dropping-particle":"","family":"Sims","given":"Amy C.","non-dropping-particle":"","parse-names":false,"suffix":""},{"dropping-particle":"","family":"Graham","given":"Rachel L.","non-dropping-particle":"","parse-names":false,"suffix":""},{"dropping-particle":"","family":"Sheahan","given":"Timothy P.","non-dropping-particle":"","parse-names":false,"suffix":""},{"dropping-particle":"","family":"Lu","given":"Xiaotao","non-dropping-particle":"","parse-names":false,"suffix":""},{"dropping-particle":"","family":"Smith","given":"Everett Clinton","non-dropping-particle":"","parse-names":false,"suffix":""},{"dropping-particle":"","family":"Case","given":"James Brett","non-dropping-particle":"","parse-names":false,"suffix":""},{"dropping-particle":"","family":"Feng","given":"Joy Y.","non-dropping-particle":"","parse-names":false,"suffix":""},{"dropping-particle":"","family":"Jordan","given":"Robert","non-dropping-particle":"","parse-names":false,"suffix":""},{"dropping-particle":"","family":"Ray","given":"Adrian S.","non-dropping-particle":"","parse-names":false,"suffix":""},{"dropping-particle":"","family":"Cihlar","given":"Tomas","non-dropping-particle":"","parse-names":false,"suffix":""},{"dropping-particle":"","family":"Siegel","given":"Dustin","non-dropping-particle":"","parse-names":false,"suffix":""},{"dropping-particle":"","family":"Mackman","given":"Richard L.","non-dropping-particle":"","parse-names":false,"suffix":""},{"dropping-particle":"","family":"Clarke","given":"Michael O.","non-dropping-particle":"","parse-names":false,"suffix":""},{"dropping-particle":"","family":"Baric","given":"Ralph S.","non-dropping-particle":"","parse-names":false,"suffix":""},{"dropping-particle":"","family":"Denison","given":"Mark R.","non-dropping-particle":"","parse-names":false,"suffix":""}],"container-title":"mBio","id":"ITEM-1","issue":"2","issued":{"date-parts":[["2018"]]},"title":"Coronavirus susceptibility to the antiviral remdesivir (GS-5734) is mediated by the viral polymerase and the proofreading exoribonuclease","type":"article-journal","volume":"9"},"uris":["http://www.mendeley.com/documents/?uuid=7b7e81fd-a913-4cca-b338-bf50ad3953cf","http://www.mendeley.com/documents/?uuid=b1ba073e-0997-4005-918b-e626bb2731a1"]},{"id":"ITEM-2","itemData":{"DOI":"10.1126/scitranslmed.aal3653","ISSN":"19466242","PMID":"28659436","abstract":"Emerging viral infections are difficult to control because heterogeneous members periodically cycle in and out of humans and zoonotic hosts, complicating the development of specific antiviral therapies and vaccines. Coronaviruses (CoVs) have a proclivity to spread rapidly into new host species causing severe disease. Severe acute respiratory syndrome CoV (SARS-CoV) and Middle East respiratory syndrome CoV (MERS-CoV) successively emerged, causing severe epidemic respiratory disease in immunologically naïve human populations throughout the globe. Broad-spectrum therapies capable of inhibiting CoV infections would address an immediate unmet medical need and could be invaluable in the treatment of emerging and endemic CoV infections. We show that a nucleotide prodrug, GS-5734, currently in clinical development for treatment of Ebola virus disease, can inhibit SARS-CoV and MERS-CoV replication in multiple in vitro systems, including primary human airway epithelial cell cultures with submicromolar IC50 values. GS-5734 was also effective against bat CoVs, prepandemic bat CoVs, and circulating contemporary human CoV in primary human lung cells, thus demonstrating broad-spectrum anti-CoV activity. In a mouse model of SARS-CoV pathogenesis, prophylactic and early therapeutic administration of GS-5734 significantly reduced lung viral load and improved clinical signs of disease as well as respiratory function. These data provide substantive evidence that GS-5734 may prove effective against endemic MERS-CoV in the Middle East, circulating human CoV, and, possibly most importantly, emerging CoV of the future.","author":[{"dropping-particle":"","family":"Sheahan","given":"Timothy P.","non-dropping-particle":"","parse-names":false,"suffix":""},{"dropping-particle":"","family":"Sims","given":"Amy C.","non-dropping-particle":"","parse-names":false,"suffix":""},{"dropping-particle":"","family":"Graham","given":"Rachel L.","non-dropping-particle":"","parse-names":false,"suffix":""},{"dropping-particle":"","family":"Menachery","given":"Vineet D.","non-dropping-particle":"","parse-names":false,"suffix":""},{"dropping-particle":"","family":"Gralinski","given":"Lisa E.","non-dropping-particle":"","parse-names":false,"suffix":""},{"dropping-particle":"","family":"Case","given":"James B.","non-dropping-particle":"","parse-names":false,"suffix":""},{"dropping-particle":"","family":"Leist","given":"Sarah R.","non-dropping-particle":"","parse-names":false,"suffix":""},{"dropping-particle":"","family":"Pyrc","given":"Krzysztof","non-dropping-particle":"","parse-names":false,"suffix":""},{"dropping-particle":"","family":"Feng","given":"Joy Y.","non-dropping-particle":"","parse-names":false,"suffix":""},{"dropping-particle":"","family":"Trantcheva","given":"Iva","non-dropping-particle":"","parse-names":false,"suffix":""},{"dropping-particle":"","family":"Bannister","given":"Roy","non-dropping-particle":"","parse-names":false,"suffix":""},{"dropping-particle":"","family":"Park","given":"Yeojin","non-dropping-particle":"","parse-names":false,"suffix":""},{"dropping-particle":"","family":"Babusis","given":"Darius","non-dropping-particle":"","parse-names":false,"suffix":""},{"dropping-particle":"","family":"Clarke","given":"Michael O.","non-dropping-particle":"","parse-names":false,"suffix":""},{"dropping-particle":"","family":"MacKman","given":"Richard L.","non-dropping-particle":"","parse-names":false,"suffix":""},{"dropping-particle":"","family":"Spahn","given":"Jamie E.","non-dropping-particle":"","parse-names":false,"suffix":""},{"dropping-particle":"","family":"Palmiotti","given":"Christopher A.","non-dropping-particle":"","parse-names":false,"suffix":""},{"dropping-particle":"","family":"Siegel","given":"Dustin","non-dropping-particle":"","parse-names":false,"suffix":""},{"dropping-particle":"","family":"Ray","given":"Adrian S.","non-dropping-particle":"","parse-names":false,"suffix":""},{"dropping-particle":"","family":"Cihlar","given":"Tomas","non-dropping-particle":"","parse-names":false,"suffix":""},{"dropping-particle":"","family":"Jordan","given":"Robert","non-dropping-particle":"","parse-names":false,"suffix":""},{"dropping-particle":"","family":"Denison","given":"Mark R.","non-dropping-particle":"","parse-names":false,"suffix":""},{"dropping-particle":"","family":"Baric","given":"Ralph S.","non-dropping-particle":"","parse-names":false,"suffix":""}],"container-title":"Science Translational Medicine","id":"ITEM-2","issue":"396","issued":{"date-parts":[["2017"]]},"title":"Broad-spectrum antiviral GS-5734 inhibits both epidemic and zoonotic coronaviruses","type":"article-journal","volume":"9"},"uris":["http://www.mendeley.com/documents/?uuid=d46c656d-1210-4e9a-ba24-05117d0a3f65","http://www.mendeley.com/documents/?uuid=6ea15dc1-6e5f-4d17-89ad-296e77bb7d02"]},{"id":"ITEM-3","itemData":{"DOI":"10.1016/j.antiviral.2019.104541","ISSN":"18729096","abstract":"The genetically diverse Orthocoronavirinae (CoV) family is prone to cross species transmission and disease emergence in both humans and livestock. Viruses similar to known epidemic strains circulating in wild and domestic animals further increase the probability of emergence in the future. Currently, there are no approved therapeutics for any human CoV presenting a clear unmet medical need. Remdesivir (RDV, GS-5734) is a monophosphoramidate prodrug of an adenosine analog with potent activity against an array of RNA virus families including Filoviridae, Paramyxoviridae, Pneumoviridae, and Orthocoronavirinae, through the targeting of the viral RNA dependent RNA polymerase (RdRp). We developed multiple assays to further define the breadth of RDV antiviral activity against the CoV family. Here, we show potent antiviral activity of RDV against endemic human CoVs OC43 (HCoV-OC43) and 229E (HCoV-229E) with submicromolar EC50 values. Of known CoVs, the members of the deltacoronavirus genus have the most divergent RdRp as compared to SARS- and MERS-CoV and both avian and porcine members harbor a native residue in the RdRp that confers resistance in beta-CoVs. Nevertheless, RDV is highly efficacious against porcine deltacoronavirus (PDCoV). These data further extend the known breadth and antiviral activity of RDV to include both contemporary human and highly divergent zoonotic CoV and potentially enhance our ability to fight future emerging CoV.","author":[{"dropping-particle":"","family":"Brown","given":"Ariane J.","non-dropping-particle":"","parse-names":false,"suffix":""},{"dropping-particle":"","family":"Won","given":"John J.","non-dropping-particle":"","parse-names":false,"suffix":""},{"dropping-particle":"","family":"Graham","given":"Rachel L.","non-dropping-particle":"","parse-names":false,"suffix":""},{"dropping-particle":"","family":"Dinnon","given":"Kenneth H.","non-dropping-particle":"","parse-names":false,"suffix":""},{"dropping-particle":"","family":"Sims","given":"Amy C.","non-dropping-particle":"","parse-names":false,"suffix":""},{"dropping-particle":"","family":"Feng","given":"Joy Y.","non-dropping-particle":"","parse-names":false,"suffix":""},{"dropping-particle":"","family":"Cihlar","given":"Tomas","non-dropping-particle":"","parse-names":false,"suffix":""},{"dropping-particle":"","family":"Denison","given":"Mark R.","non-dropping-particle":"","parse-names":false,"suffix":""},{"dropping-particle":"","family":"Baric","given":"Ralph S.","non-dropping-particle":"","parse-names":false,"suffix":""},{"dropping-particle":"","family":"Sheahan","given":"Timothy P.","non-dropping-particle":"","parse-names":false,"suffix":""}],"container-title":"Antiviral Research","id":"ITEM-3","issued":{"date-parts":[["2019"]]},"title":"Broad spectrum antiviral remdesivir inhibits human endemic and zoonotic deltacoronaviruses with a highly divergent RNA dependent RNA polymerase","type":"article-journal","volume":"169"},"uris":["http://www.mendeley.com/documents/?uuid=5ce4d862-1549-4c94-b789-1f3b646f653b","http://www.mendeley.com/documents/?uuid=7e2b2395-d9dd-4ca7-8ab1-5b10acb2b1c3"]},{"id":"ITEM-4","itemData":{"DOI":"10.1038/s41422-020-0282-0","ISSN":"17487838","PMID":"32020029","author":[{"dropping-particle":"","family":"Wang","given":"Manli","non-dropping-particle":"","parse-names":false,"suffix":""},{"dropping-particle":"","family":"Cao","given":"Ruiyuan","non-dropping-particle":"","parse-names":false,"suffix":""},{"dropping-particle":"","family":"Zhang","given":"Leike","non-dropping-particle":"","parse-names":false,"suffix":""},{"dropping-particle":"","family":"Yang","given":"Xinglou","non-dropping-particle":"","parse-names":false,"suffix":""},{"dropping-particle":"","family":"Liu","given":"Jia","non-dropping-particle":"","parse-names":false,"suffix":""},{"dropping-particle":"","family":"Xu","given":"Mingyue","non-dropping-particle":"","parse-names":false,"suffix":""},{"dropping-particle":"","family":"Shi","given":"Zhengli","non-dropping-particle":"","parse-names":false,"suffix":""},{"dropping-particle":"","family":"Hu","given":"Zhihong","non-dropping-particle":"","parse-names":false,"suffix":""},{"dropping-particle":"","family":"Zhong","given":"Wu","non-dropping-particle":"","parse-names":false,"suffix":""},{"dropping-particle":"","family":"Xiao","given":"Gengfu","non-dropping-particle":"","parse-names":false,"suffix":""}],"container-title":"Cell Research","id":"ITEM-4","issued":{"date-parts":[["2020"]]},"page":"269-271","title":"Remdesivir and chloroquine effectively inhibit the recently emerged novel coronavirus (2019-nCoV) in vitro","type":"article-journal","volume":"30"},"uris":["http://www.mendeley.com/documents/?uuid=b6fd793e-e2fc-43a0-8dee-b69c24fe893e","http://www.mendeley.com/documents/?uuid=782ce1d6-9577-4154-b5bb-300074431de1"]},{"id":"ITEM-5","itemData":{"DOI":"10.1038/s41467-019-13940-6","ISSN":"20411723","abstract":"Middle East respiratory syndrome coronavirus (MERS-CoV) is the causative agent of a severe respiratory disease associated with more than 2468 human infections and over 851 deaths in 27 countries since 2012. There are no approved treatments for MERS-CoV infection although a combination of lopinavir, ritonavir and interferon beta (LPV/RTV-IFNb) is currently being evaluated in humans in the Kingdom of Saudi Arabia. Here, we show that remdesivir (RDV) and IFNb have superior antiviral activity to LPV and RTV in vitro. In mice, both prophylactic and therapeutic RDV improve pulmonary function and reduce lung viral loads and severe lung pathology. In contrast, prophylactic LPV/RTV-IFNb slightly reduces viral loads without impacting other disease parameters. Therapeutic LPV/RTV-IFNb improves pulmonary function but does not reduce virus replication or severe lung pathology. Thus, we provide in vivo evidence of the potential for RDV to treat MERS-CoV infections.","author":[{"dropping-particle":"","family":"Sheahan","given":"Timothy P.","non-dropping-particle":"","parse-names":false,"suffix":""},{"dropping-particle":"","family":"Sims","given":"Amy C.","non-dropping-particle":"","parse-names":false,"suffix":""},{"dropping-particle":"","family":"Leist","given":"Sarah R.","non-dropping-particle":"","parse-names":false,"suffix":""},{"dropping-particle":"","family":"Schäfer","given":"Alexandra","non-dropping-particle":"","parse-names":false,"suffix":""},{"dropping-particle":"","family":"Won","given":"John","non-dropping-particle":"","parse-names":false,"suffix":""},{"dropping-particle":"","family":"Brown","given":"Ariane J.","non-dropping-particle":"","parse-names":false,"suffix":""},{"dropping-particle":"","family":"Montgomery","given":"Stephanie A.","non-dropping-particle":"","parse-names":false,"suffix":""},{"dropping-particle":"","family":"Hogg","given":"Alison","non-dropping-particle":"","parse-names":false,"suffix":""},{"dropping-particle":"","family":"Babusis","given":"Darius","non-dropping-particle":"","parse-names":false,"suffix":""},{"dropping-particle":"","family":"Clarke","given":"Michael O.","non-dropping-particle":"","parse-names":false,"suffix":""},{"dropping-particle":"","family":"Spahn","given":"Jamie E.","non-dropping-particle":"","parse-names":false,"suffix":""},{"dropping-particle":"","family":"Bauer","given":"Laura","non-dropping-particle":"","parse-names":false,"suffix":""},{"dropping-particle":"","family":"Sellers","given":"Scott","non-dropping-particle":"","parse-names":false,"suffix":""},{"dropping-particle":"","family":"Porter","given":"Danielle","non-dropping-particle":"","parse-names":false,"suffix":""},{"dropping-particle":"","family":"Feng","given":"Joy Y.","non-dropping-particle":"","parse-names":false,"suffix":""},{"dropping-particle":"","family":"Cihlar","given":"Tomas","non-dropping-particle":"","parse-names":false,"suffix":""},{"dropping-particle":"","family":"Jordan","given":"Robert","non-dropping-particle":"","parse-names":false,"suffix":""},{"dropping-particle":"","family":"Denison","given":"Mark R.","non-dropping-particle":"","parse-names":false,"suffix":""},{"dropping-particle":"","family":"Baric","given":"Ralph S.","non-dropping-particle":"","parse-names":false,"suffix":""}],"container-title":"Nature Communications","id":"ITEM-5","issue":"1","issued":{"date-parts":[["2020"]]},"page":"222","title":"Comparative therapeutic efficacy of remdesivir and combination lopinavir, ritonavir, and interferon beta against MERS-CoV","type":"article-journal","volume":"11"},"uris":["http://www.mendeley.com/documents/?uuid=67cd123a-794d-469f-a5c2-de673008ae02","http://www.mendeley.com/documents/?uuid=c12b9955-185a-4a48-9cbe-c663ac93c4d6","http://www.mendeley.com/documents/?uuid=53e4597f-861e-42c0-abd9-6033f09f5398"]}],"mendeley":{"formattedCitation":"[4], [9], [12]–[14]","manualFormatting":" [35,30,32–34]","plainTextFormattedCitation":"[4], [9], [12]–[14]","previouslyFormattedCitation":"[4], [9], [12]–[14]"},"properties":{"noteIndex":0},"schema":"https://github.com/citation-style-language/schema/raw/master/csl-citation.json"}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[35,30</w:t>
            </w:r>
            <w:r w:rsidRPr="009D43F2">
              <w:rPr>
                <w:noProof/>
                <w:color w:val="000000"/>
                <w:sz w:val="20"/>
                <w:szCs w:val="20"/>
              </w:rPr>
              <w:t>,32</w:t>
            </w:r>
            <w:r w:rsidRPr="00696794">
              <w:rPr>
                <w:noProof/>
                <w:color w:val="000000"/>
                <w:sz w:val="20"/>
                <w:szCs w:val="20"/>
              </w:rPr>
              <w:t>–34]</w:t>
            </w:r>
            <w:r w:rsidRPr="00510915">
              <w:rPr>
                <w:color w:val="000000"/>
                <w:sz w:val="20"/>
                <w:szCs w:val="20"/>
              </w:rPr>
              <w:fldChar w:fldCharType="end"/>
            </w:r>
          </w:p>
        </w:tc>
      </w:tr>
      <w:tr w:rsidR="00752AC4" w:rsidRPr="00696794" w14:paraId="196B5329"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E606943"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Disulfiram</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3B31E76" w14:textId="27B1A50C" w:rsidR="00752AC4" w:rsidRPr="00510915" w:rsidRDefault="00752AC4" w:rsidP="003730D5">
            <w:pPr>
              <w:pStyle w:val="NormalWeb"/>
              <w:spacing w:before="0" w:beforeAutospacing="0" w:after="0" w:afterAutospacing="0"/>
              <w:ind w:left="40"/>
              <w:jc w:val="center"/>
              <w:rPr>
                <w:sz w:val="20"/>
                <w:szCs w:val="20"/>
              </w:rPr>
            </w:pPr>
            <w:r w:rsidRPr="00510915">
              <w:rPr>
                <w:sz w:val="20"/>
                <w:szCs w:val="20"/>
              </w:rPr>
              <w:fldChar w:fldCharType="begin" w:fldLock="1"/>
            </w:r>
            <w:r w:rsidR="00B95A78">
              <w:rPr>
                <w:sz w:val="20"/>
                <w:szCs w:val="20"/>
              </w:rPr>
              <w:instrText>ADDIN CSL_CITATION {"citationItems":[{"id":"ITEM-1","itemData":{"DOI":"10.1016/j.antiviral.2017.12.015","ISSN":"18729096","abstract":"Severe acute respiratory syndrome coronavirus (SARS-CoV) emerged in southern China in late 2002 and caused a global outbreak with a fatality rate around 10% in 2003. Ten years later, a second highly pathogenic human CoV, MERS-CoV, emerged in the Middle East and has spread to other countries in Europe, North Africa, North America and Asia. As of November 2017, MERS-CoV had infected at least 2102 people with a fatality rate of about 35% globally, and hence there is an urgent need to identify antiviral drugs that are active against MERS-CoV. Here we show that a clinically available alcohol-aversive drug, disulfiram, can inhibit the papain-like proteases (PLpros) of MERS-CoV and SARS-CoV. Our findings suggest that disulfiram acts as an allosteric inhibitor of MERS-CoV PLpro but as a competitive (or mixed) inhibitor of SARS-CoV PLpro. The phenomenon of slow-binding inhibition and the irrecoverability of enzyme activity after removing unbound disulfiram indicate covalent inactivation of SARS-CoV PLpro by disulfiram, while synergistic inhibition of MERS-CoV PLpro by disulfiram and 6-thioguanine or mycophenolic acid implies the potential for combination treatments using these three clinically available drugs.","author":[{"dropping-particle":"","family":"Lin","given":"Min Han","non-dropping-particle":"","parse-names":false,"suffix":""},{"dropping-particle":"","family":"Moses","given":"David C.","non-dropping-particle":"","parse-names":false,"suffix":""},{"dropping-particle":"","family":"Hsieh","given":"Chih Hua","non-dropping-particle":"","parse-names":false,"suffix":""},{"dropping-particle":"","family":"Cheng","given":"Shu Chun","non-dropping-particle":"","parse-names":false,"suffix":""},{"dropping-particle":"","family":"Chen","given":"Yau Hung","non-dropping-particle":"","parse-names":false,"suffix":""},{"dropping-particle":"","family":"Sun","given":"Chiao Yin","non-dropping-particle":"","parse-names":false,"suffix":""},{"dropping-particle":"","family":"Chou","given":"Chi Yuan","non-dropping-particle":"","parse-names":false,"suffix":""}],"container-title":"Antiviral Research","id":"ITEM-1","issued":{"date-parts":[["2018"]]},"page":"155-163","title":"Disulfiram can inhibit MERS and SARS coronavirus papain-like proteases via different modes","type":"article-journal","volume":"150"},"uris":["http://www.mendeley.com/documents/?uuid=dc6955d9-6dc3-4fc9-9e11-c0591a3a9484","http://www.mendeley.com/documents/?uuid=aa946f87-75ba-4403-bcc5-68501e6e4482"]}],"mendeley":{"formattedCitation":"[15]","manualFormatting":" [35]","plainTextFormattedCitation":"[15]","previouslyFormattedCitation":"[15]"},"properties":{"noteIndex":0},"schema":"https://github.com/citation-style-language/schema/raw/master/csl-citation.json"}</w:instrText>
            </w:r>
            <w:r w:rsidRPr="00510915">
              <w:rPr>
                <w:sz w:val="20"/>
                <w:szCs w:val="20"/>
              </w:rPr>
              <w:fldChar w:fldCharType="separate"/>
            </w:r>
            <w:r w:rsidRPr="00510915">
              <w:rPr>
                <w:noProof/>
                <w:sz w:val="20"/>
                <w:szCs w:val="20"/>
              </w:rPr>
              <w:t xml:space="preserve"> [35]</w:t>
            </w:r>
            <w:r w:rsidRPr="00510915">
              <w:rPr>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9A456A7"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reproterol</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09D30F1" w14:textId="352FB548"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13D58BD9"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5621BEB"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Doxycycline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FD5DFE9" w14:textId="18F17D0A"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AFBC9CF"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Resveratrol</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879CDB6" w14:textId="77777777" w:rsidR="00752AC4" w:rsidRPr="009D43F2" w:rsidRDefault="00752AC4" w:rsidP="003730D5">
            <w:pPr>
              <w:pStyle w:val="NormalWeb"/>
              <w:spacing w:before="0" w:beforeAutospacing="0" w:after="0" w:afterAutospacing="0"/>
              <w:ind w:left="40"/>
              <w:jc w:val="center"/>
              <w:rPr>
                <w:sz w:val="20"/>
                <w:szCs w:val="20"/>
              </w:rPr>
            </w:pPr>
            <w:r w:rsidRPr="009D43F2">
              <w:rPr>
                <w:color w:val="000000"/>
                <w:sz w:val="20"/>
                <w:szCs w:val="20"/>
              </w:rPr>
              <w:t>[36]</w:t>
            </w:r>
          </w:p>
        </w:tc>
      </w:tr>
      <w:tr w:rsidR="00752AC4" w:rsidRPr="00696794" w14:paraId="477F377E"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262B750" w14:textId="77777777" w:rsidR="00752AC4" w:rsidRPr="00696794" w:rsidRDefault="00752AC4" w:rsidP="003730D5">
            <w:pPr>
              <w:pStyle w:val="NormalWeb"/>
              <w:spacing w:before="0" w:beforeAutospacing="0" w:after="0" w:afterAutospacing="0"/>
              <w:ind w:left="40"/>
              <w:jc w:val="both"/>
              <w:rPr>
                <w:sz w:val="20"/>
                <w:szCs w:val="20"/>
              </w:rPr>
            </w:pPr>
            <w:proofErr w:type="spellStart"/>
            <w:r w:rsidRPr="00696794">
              <w:rPr>
                <w:color w:val="000000"/>
                <w:sz w:val="20"/>
                <w:szCs w:val="20"/>
              </w:rPr>
              <w:t>Estradiol</w:t>
            </w:r>
            <w:proofErr w:type="spellEnd"/>
            <w:r w:rsidRPr="00696794">
              <w:rPr>
                <w:color w:val="000000"/>
                <w:sz w:val="20"/>
                <w:szCs w:val="20"/>
              </w:rPr>
              <w:t xml:space="preserve"> valerate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01F2360" w14:textId="21F0377F"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59CCCE7"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Ribavirin</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B6D9F25" w14:textId="596F9E5E"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{"citationItems":[{"id":"ITEM-1","itemData":{"DOI":"10.1038/nm.3362","ISSN":"10788956","abstract":"The emergence of Middle East respiratory syndrome coronavirus (MERS-CoV) is of global concern: the virus has caused severe respiratory illness, with 111 confirmed cases and 52 deaths at the time of this article's publication. Therapeutic interventions have not been evaluated in vivo; thus, patient management relies exclusively on supportive care, which, given the high case-fatality rate, is not highly effective. The rhesus macaque is the only known model organism for MERS-CoV infection, developing an acute localized to widespread pneumonia with transient clinical disease that recapitulates mild to moderate human MERS-CoV cases. The combination of interferon-α2b and ribavirin was effective in reducing MERS-CoV replication in vitro; therefore, we initiated this treatment 8 h after inoculation of rhesus macaques. In contrast to untreated, infected macaques, treated animals did not develop breathing abnormalities and showed no or very mild radiographic evidence of pneumonia. Moreover, treated animals showed lower levels of systemic (serum) and local (lung) proinflammatory markers, in addition to fewer viral genome copies, distinct gene expression and less severe histopathological changes in the lungs. Taken together, these data suggest that treatment of MERS-CoV infected rhesus macaques with IFN-α2b and ribavirin reduces virus replication, moderates the host response and improves clinical outcome. As these two drugs are already used in combination in the clinic for other infections, IFN-α2b and ribavirin should be considered for the management of MERS-CoV cases. © 2013 Nature America, Inc. All rights reserved.","author":[{"dropping-particle":"","family":"Falzarano","given":"Darryl","non-dropping-particle":"","parse-names":false,"suffix":""},{"dropping-particle":"","family":"Wit","given":"Emmie","non-dropping-particle":"De","parse-names":false,"suffix":""},{"dropping-particle":"","family":"Rasmussen","given":"Angela L.","non-dropping-particle":"","parse-names":false,"suffix":""},{"dropping-particle":"","family":"Feldmann","given":"Friederike","non-dropping-particle":"","parse-names":false,"suffix":""},{"dropping-particle":"","family":"Okumura","given":"Atsushi","non-dropping-particle":"","parse-names":false,"suffix":""},{"dropping-particle":"","family":"Scott","given":"Dana P.","non-dropping-particle":"","parse-names":false,"suffix":""},{"dropping-particle":"","family":"Brining","given":"Doug","non-dropping-particle":"","parse-names":false,"suffix":""},{"dropping-particle":"","family":"Bushmaker","given":"Trenton","non-dropping-particle":"","parse-names":false,"suffix":""},{"dropping-particle":"","family":"Martellaro","given":"Cynthia","non-dropping-particle":"","parse-names":false,"suffix":""},{"dropping-particle":"","family":"Baseler","given":"Laura","non-dropping-particle":"","parse-names":false,"suffix":""},{"dropping-particle":"","family":"Benecke","given":"Arndt G.","non-dropping-particle":"","parse-names":false,"suffix":""},{"dropping-particle":"","family":"Katze","given":"Michael G.","non-dropping-particle":"","parse-names":false,"suffix":""},{"dropping-particle":"","family":"Munster","given":"Vincent J.","non-dropping-particle":"","parse-names":false,"suffix":""},{"dropping-particle":"","family":"Feldmann","given":"Heinz","non-dropping-particle":"","parse-names":false,"suffix":""}],"container-title":"Nature Medicine","id":"ITEM-1","issue":"10","issued":{"date-parts":[["2013"]]},"title":"Treatment with interferon-α2b and ribavirin improves outcome in MERS-CoV-infected rhesus macaques","type":"article-journal","volume":"19"},"uris":["http://www.mendeley.com/documents/?uuid=3cb6dd04-1169-4cf2-ae22-eb04b4055825","http://www.mendeley.com/documents/?uuid=3cf686d0-8ee5-4661-883d-eaafdb074c76"]},{"id":"ITEM-2","itemData":{"DOI":"10.1093/jac/dkv085","ISSN":"14602091","abstract":"Objectives: Middle East respiratory syndrome coronavirus (MERS-CoV) is associated with significant mortality. We examined the utility of plasma MERS-CoV PCR as a prognostic indicator and compared the efficacies of IFN-α2a and IFN-β1a when combined with ribavirin in reducing MERS-CoV-related mortality rates. Methods: We retrospectively analysed 32 patients with confirmed MERS-CoV infection, admitted between April 2014 and June 2014, by positive respiratory sample RT-PCR. Plasma MERS-CoV RT-PCR was performed at the time of diagnosis for 19 patients. Results: The overall mortality rate was 69% (22/32). Ninety percent (9/10) of patients with positive plasma MERS-CoV PCR died compared with 44% (4/9) of those with negative plasma MERS-CoV PCR. Mortality rate in patients who received IFN-α2a was 85% (11/13) compared with 64% (7/11) in those who received IFN-β1a (P=0.24). The mortality rate in patients with renal failure (14), including 8 on haemodialysis, was 100%. Age &gt;50 years and diabetes mellitus were found to be significantly associated with mortality (OR=26.1; 95% CI 3.58-190.76; P=0.001 and OR=15.74; 95% CI 2.46-100.67; P=0.004, respectively). The median duration of viral shedding in patients who recovered was 11 days (range 6-38 days). Absence of fever was noted in 5/32 patients. Conclusions: Plasma MERS-CoV RT-PCR may serve as an effective tool to predict MERS-CoV-associated mortality. Older age and comorbid conditions may have contributed to the lack of efficacy of IFN-α2a or IFN-β1a with ribavirin in treating MERS-CoV. Absence of fever should not exclude MERS-CoV.","author":[{"dropping-particle":"","family":"Shalhoub","given":"Sarah","non-dropping-particle":"","parse-names":false,"suffix":""},{"dropping-particle":"","family":"Farahat","given":"Fayssal","non-dropping-particle":"","parse-names":false,"suffix":""},{"dropping-particle":"","family":"Al-Jiffri","given":"Abdullah","non-dropping-particle":"","parse-names":false,"suffix":""},{"dropping-particle":"","family":"Simhairi","given":"Raed","non-dropping-particle":"","parse-names":false,"suffix":""},{"dropping-particle":"","family":"Shamma","given":"Omar","non-dropping-particle":"","parse-names":false,"suffix":""},{"dropping-particle":"","family":"Siddiqi","given":"Nauman","non-dropping-particle":"","parse-names":false,"suffix":""},{"dropping-particle":"","family":"Mushtaq","given":"Adnan","non-dropping-particle":"","parse-names":false,"suffix":""}],"container-title":"Journal of Antimicrobial Chemotherapy","id":"ITEM-2","issue":"7","issued":{"date-parts":[["2015"]]},"title":"IFN-α2a or IFN-β1a in combination with ribavirin to treat Middle East respiratory syndrome coronavirus pneumonia: A retrospective study","type":"article-journal","volume":"70"},"uris":["http://www.mendeley.com/documents/?uuid=86833e3d-a668-41f4-a407-02d6b5b65d56","http://www.mendeley.com/documents/?uuid=244627f3-074f-4093-9813-1ff5a47f6fec"]},{"id":"ITEM-3","itemData":{"DOI":"10.1016/j.ijid.2013.12.003","ISSN":"12019712","abstract":"Background: The Middle East respiratory syndrome coronavirus (MERS-CoV) has been reported to have a high case-fatality rate. Currently, there is no specific therapy or vaccine with proven effectiveness for MERS-CoV infections. Methods: A combination of ribavirin and interferon therapy was used for the treatment of five MERS-CoV-positive patients. We reviewed the therapeutic schedule and the outcome of these patients. Results: All patients were critically ill with acute respiratory distress syndrome treated with adjunctive corticosteroids and were on mechanical ventilation at the time of initiation of therapy. The median time from admission to therapy with ribavirin and interferon was 19 (range 10-22) days. None of the patients responded to the supportive or therapeutic interventions and all died of their illness. Conclusions: While ribavirin and interferon may be effective in some patients, our practical experience suggests that critically ill patients with multiple comorbidities who are diagnosed late in the course of their illness may not benefit from combination antiviral therapy as preclinical data suggest. There is clearly an urgent need for a novel effective antiviral therapy for this emerging global threat. © 2014 The Authors.","author":[{"dropping-particle":"","family":"Al-Tawfiq","given":"Jaffar A.","non-dropping-particle":"","parse-names":false,"suffix":""},{"dropping-particle":"","family":"Momattin","given":"Hisham","non-dropping-particle":"","parse-names":false,"suffix":""},{"dropping-particle":"","family":"Dib","given":"Jean","non-dropping-particle":"","parse-names":false,"suffix":""},{"dropping-particle":"","family":"Memish","given":"Ziad A.","non-dropping-particle":"","parse-names":false,"suffix":""}],"container-title":"International Journal of Infectious Diseases","id":"ITEM-3","issued":{"date-parts":[["2014"]]},"page":"42-6","title":"Ribavirin and interferon therapy in patients infected with the Middle East respiratory syndrome coronavirus: An observational study","type":"article-journal","volume":"20"},"uris":["http://www.mendeley.com/documents/?uuid=9d8f877b-6a21-4d4c-8fa0-7a72b88979d3","http://www.mendeley.com/documents/?uuid=9f8a95d8-1b42-4bbc-9599-249dafa1a83e"]},{"id":"ITEM-4","itemData":{"DOI":"10.1016/j.jinf.2013.09.029","ISSN":"01634453","abstract":"Objectives: Middle East respiratory syndrome coronavirus (MERS-CoV) has emerged to cause fatal infections in patients in the Middle East and traveler-associated secondary cases in Europe and Africa. Person-to-person transmission is evident in outbreaks involving household and hospital contacts. Effective antivirals are urgently needed. Methods: We used small compound-based forward chemical genetics to screen a chemical library of 1280 known drugs against influenza A virus in Biosafety Level-2 laboratory. We then assessed the anti-MERS-CoV activities of the identified compounds and of interferons, nelfinavir, and lopinavir because of their reported anti-coronavirus activities in terms of cytopathic effect inhibition, viral yield reduction, and plaque reduction assays in Biosafety Level-3 laboratory. Results: Ten compounds were identified as primary hits in high-throughput screening. Only mycophenolic acid exhibited low EC50 and high selectivity index. Additionally, ribavirin and interferons also exhibited in-vitro anti-MERS-CoV activity. The serum concentrations achievable at therapeutic doses of mycophenolic acid and interferon-β1b were 60-300 and 3-4 times higher than the concentrations at which in-vitro anti-MERS-CoV activities were demonstrated, whereas that of ribavirin was ~2 times lower. Combination of mycophenolic acid and interferon-β1b lowered the EC50 of each drug by 1-3 times. Conclusions: Interferon-β1b with mycophenolic acid should be considered in treatment trials of MERS. © 2013 The British Infection Association.","author":[{"dropping-particle":"","family":"Chan","given":"Jasper F.W.","non-dropping-particle":"","parse-names":false,"suffix":""},{"dropping-particle":"","family":"Chan","given":"Kwok Hung","non-dropping-particle":"","parse-names":false,"suffix":""},{"dropping-particle":"","family":"Kao","given":"Richard Y.T.","non-dropping-particle":"","parse-names":false,"suffix":""},{"dropping-particle":"","family":"To","given":"Kelvin K.W.","non-dropping-particle":"","parse-names":false,"suffix":""},{"dropping-particle":"","family":"Zheng","given":"Bo Jian","non-dropping-particle":"","parse-names":false,"suffix":""},{"dropping-particle":"","family":"Li","given":"Clara P.Y.","non-dropping-particle":"","parse-names":false,"suffix":""},{"dropping-particle":"","family":"Li","given":"Patrick T.W.","non-dropping-particle":"","parse-names":false,"suffix":""},{"dropping-particle":"","family":"Dai","given":"Jun","non-dropping-particle":"","parse-names":false,"suffix":""},{"dropping-particle":"","family":"Mok","given":"Florence K.Y.","non-dropping-particle":"","parse-names":false,"suffix":""},{"dropping-particle":"","family":"Chen","given":"Honglin","non-dropping-particle":"","parse-names":false,"suffix":""},{"dropping-particle":"","family":"Hayden","given":"Frederick G.","non-dropping-particle":"","parse-names":false,"suffix":""},{"dropping-particle":"","family":"Yuen","given":"Kwok Yung","non-dropping-particle":"","parse-names":false,"suffix":""}],"container-title":"Journal of Infection","id":"ITEM-4","issue":"6","issued":{"date-parts":[["2013"]]},"page":"606-16","title":"Broad-spectrum antivirals for the emerging Middle East respiratory syndrome coronavirus","type":"article-journal","volume":"67"},"uris":["http://www.mendeley.com/documents/?uuid=22009460-4ebe-418c-8b2c-23e946753ee5","http://www.mendeley.com/documents/?uuid=25e547b8-6329-4d62-8541-49decd37877e"]},{"id":"ITEM-5","itemData":{"DOI":"10.1038/s41422-020-0282-0","ISSN":"17487838","PMID":"32020029","author":[{"dropping-particle":"","family":"Wang","given":"Manli","non-dropping-particle":"","parse-names":false,"suffix":""},{"dropping-particle":"","family":"Cao","given":"Ruiyuan","non-dropping-particle":"","parse-names":false,"suffix":""},{"dropping-particle":"","family":"Zhang","given":"Leike","non-dropping-particle":"","parse-names":false,"suffix":""},{"dropping-particle":"","family":"Yang","given":"Xinglou","non-dropping-particle":"","parse-names":false,"suffix":""},{"dropping-particle":"","family":"Liu","given":"Jia","non-dropping-particle":"","parse-names":false,"suffix":""},{"dropping-particle":"","family":"Xu","given":"Mingyue","non-dropping-particle":"","parse-names":false,"suffix":""},{"dropping-particle":"","family":"Shi","given":"Zhengli","non-dropping-particle":"","parse-names":false,"suffix":""},{"dropping-particle":"","family":"Hu","given":"Zhihong","non-dropping-particle":"","parse-names":false,"suffix":""},{"dropping-particle":"","family":"Zhong","given":"Wu","non-dropping-particle":"","parse-names":false,"suffix":""},{"dropping-particle":"","family":"Xiao","given":"Gengfu","non-dropping-particle":"","parse-names":false,"suffix":""}],"container-title":"Cell Research","id":"ITEM-5","issued":{"date-parts":[["2020"]]},"page":"269-271","title":"Remdesivir and chloroquine effectively inhibit the recently emerged novel coronavirus (2019-nCoV) in vitro","type":"article-journal","volume":"30"},"uris":["http://www.mendeley.com/documents/?uuid=b6fd793e-e2fc-43a0-8dee-b69c24fe893e","http://www.mendeley.com/documents/?uuid=782ce1d6-9577-4154-b5bb-300074431de1"]},{"id":"ITEM-6","itemData":{"DOI":"10.1016/S1473-3099(14)70920-X","ISSN":"14744457","abstract":"Background: Middle East respiratory syndrome coronavirus (MERS-CoV) infection is associated with high mortality and has no approved antiviral therapy. We aimed to compare ribavirin and interferon alfa-2a treatment for patients with severe MERS-CoV infection with a supportive therapy only. Methods: In this retrospective cohort study, we included adults (aged ≥16 years) with laboratory-confirmed MERS-CoV infection and pneumonia needing ventilation support, diagnosed between Oct 23, 2012, and May 1, 2014, at the Prince Sultan Military Medical City (Riyadh, Saudi Arabia). All patients received appropriate supportive care and regular clinical and laboratory monitoring, but patients diagnosed after Sept 16, 2013, were also given oral ribavirin (dose based on calculated creatinine clearance, for 8-10 days) and subcutaneous pegylated interferon alfa-2a (180 μg per week for 2 weeks). The primary endpoint was 14-day and 28-day survival from the date of MERS-CoV infection diagnosis. We used χ2 and Fischer's exact test to analyse categorical variables and the t test to analyse continuous variables. Findings: We analysed 20 patients who received ribavirin and interferon (treatment group; initiated a median of 3 days [range 0-8] after diagnosis) and 24 who did not (comparator group). Baseline clinical and laboratory characteristics were similar between groups, apart from baseline absolute neutrophil count, which was significantly lower in the comparator group (5·88 × 109/L [SD 3·95] vs 9·88 × 109/L [6·63]; p=0·023). 14 (70%) of 20 patients in the treatment group had survived after 14 days, compared with seven (29%) of 24 in the comparator group (p=0·004). After 28 days, six (30%) of 20 and four (17%) of 24, respectively, had survived (p=0·54). Adverse effects were similar between groups, apart from reduction in haemoglobin, which was significantly greater in the treatment group than in the comparator group (4·32 g/L [SD 2·47] vs 2·14 g/L [1·90]; p=0·002). Interpretation: In patients with severe MERS-CoV infection, ribavirin and interferon alfa-2a therapy is associated with significantly improved survival at 14 days, but not at 28 days. Further assessment in appropriately designed randomised trials is recommended.","author":[{"dropping-particle":"","family":"Omrani","given":"Ali S.","non-dropping-particle":"","parse-names":false,"suffix":""},{"dropping-particle":"","family":"Saad","given":"Mustafa M.","non-dropping-particle":"","parse-names":false,"suffix":""},{"dropping-particle":"","family":"Baig","given":"Kamran","non-dropping-particle":"","parse-names":false,"suffix":""},{"dropping-particle":"","family":"Bahloul","given":"Abdelkarim","non-dropping-particle":"","parse-names":false,"suffix":""},{"dropping-particle":"","family":"Abdul-Matin","given":"Mohammed","non-dropping-particle":"","parse-names":false,"suffix":""},{"dropping-particle":"","family":"Alaidaroos","given":"Amal Y.","non-dropping-particle":"","parse-names":false,"suffix":""},{"dropping-particle":"","family":"Almakhlafi","given":"Ghaleb A.","non-dropping-particle":"","parse-names":false,"suffix":""},{"dropping-particle":"","family":"Albarrak","given":"Mohammed M.","non-dropping-particle":"","parse-names":false,"suffix":""},{"dropping-particle":"","family":"Memish","given":"Ziad A.","non-dropping-particle":"","parse-names":false,"suffix":""},{"dropping-particle":"","family":"Albarrak","given":"Ali M.","non-dropping-particle":"","parse-names":false,"suffix":""}],"container-title":"The Lancet Infectious Diseases","id":"ITEM-6","issue":"11","issued":{"date-parts":[["2014"]]},"page":"1090-1095","title":"Ribavirin and interferon alfa-2a for severe Middle East respiratory syndrome coronavirus infection: A retrospective cohort study","type":"article-journal","volume":"14"},"uris":["http://www.mendeley.com/documents/?uuid=48a76596-f7e8-4fe7-b3ab-4d39c920ad7f","http://www.mendeley.com/documents/?uuid=c20fd2b3-f9bb-440f-bd63-ba34dff17535","http://www.mendeley.com/documents/?uuid=9758fbf0-fe52-46e4-9bfe-d061787b136f"]},{"id":"ITEM-7","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B","id":"ITEM-7","issue":"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 [9], [16]–[20]","manualFormatting":" [4,5,30,37–40]","plainTextFormattedCitation":"[1], [9], [16]–[20]","previouslyFormattedCitation":"[1], [9], [16]–[20]"},"properties":{"noteIndex":0},"schema":"https://github.com/citation-style-language/schema/raw/master/csl-citation.json"}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[4,5,30</w:t>
            </w:r>
            <w:r w:rsidRPr="009D43F2">
              <w:rPr>
                <w:noProof/>
                <w:color w:val="000000"/>
                <w:sz w:val="20"/>
                <w:szCs w:val="20"/>
              </w:rPr>
              <w:t>,37</w:t>
            </w:r>
            <w:r w:rsidRPr="00696794">
              <w:rPr>
                <w:noProof/>
                <w:color w:val="000000"/>
                <w:sz w:val="20"/>
                <w:szCs w:val="20"/>
              </w:rPr>
              <w:t>–40]</w:t>
            </w:r>
            <w:r w:rsidRPr="00510915">
              <w:rPr>
                <w:color w:val="000000"/>
                <w:sz w:val="20"/>
                <w:szCs w:val="20"/>
              </w:rPr>
              <w:fldChar w:fldCharType="end"/>
            </w:r>
          </w:p>
        </w:tc>
      </w:tr>
      <w:tr w:rsidR="00752AC4" w:rsidRPr="00696794" w14:paraId="01B02DAC" w14:textId="77777777" w:rsidTr="003730D5">
        <w:trPr>
          <w:trHeight w:val="11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680A992"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Famotidine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0F64D36" w14:textId="5D009DD8"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3FCDE2B"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Ritonavir</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6E3F162" w14:textId="0581DB01"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{"citationItems":[{"id":"ITEM-1","itemData":{"DOI":"10.1186/s13063-017-2427-0","ISSN":"17456215","abstract":"Background: It had been more than 5 years since the first case of Middle East Respiratory Syndrome coronavirus infection (MERS-CoV) was recorded, but no specific treatment has been investigated in randomized clinical trials. Results from in vitro and animal studies suggest that a combination of lopinavir/ritonavir and interferon-β1b (IFN-β1b) may be effective against MERS-CoV. The aim of this study is to investigate the efficacy of treatment with a combination of lopinavir/ritonavir and recombinant IFN-β1b provided with standard supportive care, compared to treatment with placebo provided with standard supportive care in patients with laboratory-confirmed MERS requiring hospital admission. Methods: The protocol is prepared in accordance with the SPIRIT (Standard Protocol Items: Recommendations for Interventional Trials) guidelines. Hospitalized adult patients with laboratory-confirmed MERS will be enrolled in this recursive, two-stage, group sequential, multicenter, placebo-controlled, double-blind randomized controlled trial. The trial is initially designed to include 2 two-stage components. The first two-stage component is designed to adjust sample size and determine futility stopping, but not efficacy stopping. The second two-stage component is designed to determine efficacy stopping and possibly readjustment of sample size. The primary outcome is 90-day mortality. Discussion: This will be the first randomized controlled trial of a potential treatment for MERS. The study is sponsored by King Abdullah International Medical Research Center, Riyadh, Saudi Arabia. Enrollment for this study began in November 2016, and has enrolled thirteen patients as of Jan 24-2018.","author":[{"dropping-particle":"","family":"Arabi","given":"Yaseen M.","non-dropping-particle":"","parse-names":false,"suffix":""},{"dropping-particle":"","family":"Alothman","given":"Adel","non-dropping-particle":"","parse-names":false,"suffix":""},{"dropping-particle":"","family":"Balkhy","given":"Hanan H.","non-dropping-particle":"","parse-names":false,"suffix":""},{"dropping-particle":"","family":"Al-Dawood","given":"Abdulaziz","non-dropping-particle":"","parse-names":false,"suffix":""},{"dropping-particle":"","family":"AlJohani","given":"Sameera","non-dropping-particle":"","parse-names":false,"suffix":""},{"dropping-particle":"","family":"Harbi","given":"Shmeylan","non-dropping-particle":"Al","parse-names":false,"suffix":""},{"dropping-particle":"","family":"Kojan","given":"Suleiman","non-dropping-particle":"","parse-names":false,"suffix":""},{"dropping-particle":"","family":"Jeraisy","given":"Majed","non-dropping-particle":"Al","parse-names":false,"suffix":""},{"dropping-particle":"","family":"Deeb","given":"Ahmad M.","non-dropping-particle":"","parse-names":false,"suffix":""},{"dropping-particle":"","family":"Assiri","given":"Abdullah M.","non-dropping-particle":"","parse-names":false,"suffix":""},{"dropping-particle":"","family":"Al-Hameed","given":"Fahad","non-dropping-particle":"","parse-names":false,"suffix":""},{"dropping-particle":"","family":"AlSaedi","given":"Asim","non-dropping-particle":"","parse-names":false,"suffix":""},{"dropping-particle":"","family":"Mandourah","given":"Yasser","non-dropping-particle":"","parse-names":false,"suffix":""},{"dropping-particle":"","family":"Almekhlafi","given":"Ghaleb A.","non-dropping-particle":"","parse-names":false,"suffix":""},{"dropping-particle":"","family":"Sherbeeni","given":"Nisreen Murad","non-dropping-particle":"","parse-names":false,"suffix":""},{"dropping-particle":"","family":"Elzein","given":"Fatehi Elnour","non-dropping-particle":"","parse-names":false,"suffix":""},{"dropping-particle":"","family":"Memon","given":"Javed","non-dropping-particle":"","parse-names":false,"suffix":""},{"dropping-particle":"","family":"Taha","given":"Yusri","non-dropping-particle":"","parse-names":false,"suffix":""},{"dropping-particle":"","family":"Almotairi","given":"Abdullah","non-dropping-particle":"","parse-names":false,"suffix":""},{"dropping-particle":"","family":"Maghrabi","given":"Khalid A.","non-dropping-particle":"","parse-names":false,"suffix":""},{"dropping-particle":"","family":"Qushmaq","given":"Ismael","non-dropping-particle":"","parse-names":false,"suffix":""},{"dropping-particle":"","family":"Bshabshe","given":"Ali","non-dropping-particle":"Al","parse-names":false,"suffix":""},{"dropping-particle":"","family":"Kharaba","given":"Ayman","non-dropping-particle":"","parse-names":false,"suffix":""},{"dropping-particle":"","family":"Shalhoub","given":"Sarah","non-dropping-particle":"","parse-names":false,"suffix":""},{"dropping-particle":"","family":"Jose","given":"Jesna","non-dropping-particle":"","parse-names":false,"suffix":""},{"dropping-particle":"","family":"Fowler","given":"Robert A.","non-dropping-particle":"","parse-names":false,"suffix":""},{"dropping-particle":"","family":"Hayden","given":"Frederick G.","non-dropping-particle":"","parse-names":false,"suffix":""},{"dropping-particle":"","family":"Hussein","given":"Mohamed A.","non-dropping-particle":"","parse-names":false,"suffix":""},{"dropping-particle":"","family":"Martin","given":"Greg S.","non-dropping-particle":"","parse-names":false,"suffix":""},{"dropping-particle":"","family":"Schoenfeld","given":"David A.","non-dropping-particle":"","parse-names":false,"suffix":""},{"dropping-particle":"","family":"Walmsley","given":"Sharon L.","non-dropping-particle":"","parse-names":false,"suffix":""},{"dropping-particle":"","family":"Carson","given":"Shannon","non-dropping-particle":"","parse-names":false,"suffix":""},{"dropping-particle":"Al","family":"Harbi","given":"Shmeylan","non-dropping-particle":"","parse-names":false,"suffix":""},{"dropping-particle":"Al","family":"Jeraisy","given":"Majed","non-dropping-particle":"","parse-names":false,"suffix":""},{"dropping-particle":"Al","family":"Muhaidib","given":"Mohammed","non-dropping-particle":"","parse-names":false,"suffix":""},{"dropping-particle":"","family":"Musharaf","given":"Sadat","non-dropping-particle":"","parse-names":false,"suffix":""},{"dropping-particle":"Al","family":"Anizi","given":"Hala","non-dropping-particle":"","parse-names":false,"suffix":""},{"dropping-particle":"","family":"Dael","given":"Reggie","non-dropping-particle":"","parse-names":false,"suffix":""},{"dropping-particle":"","family":"AlMazroa","given":"Mohammad","non-dropping-particle":"","parse-names":false,"suffix":""},{"dropping-particle":"","family":"Asiri","given":"Ayed","non-dropping-particle":"","parse-names":false,"suffix":""},{"dropping-particle":"","family":"Memish","given":"Ziad A.","non-dropping-particle":"","parse-names":false,"suffix":""},{"dropping-particle":"","family":"Ghazal","given":"Sameeh S.","non-dropping-particle":"","parse-names":false,"suffix":""},{"dropping-particle":"","family":"Alfaraj","given":"Sarah H.","non-dropping-particle":"","parse-names":false,"suffix":""},{"dropping-particle":"Al","family":"Harthy","given":"Abdulrahman","non-dropping-particle":"","parse-names":false,"suffix":""},{"dropping-particle":"Al","family":"Sulaiman","given":"Mohammed","non-dropping-particle":"","parse-names":false,"suffix":""},{"dropping-particle":"","family":"Mady","given":"Ahmed","non-dropping-particle":"","parse-names":false,"suffix":""},{"dropping-particle":"","family":"Ahmad","given":"Abdulrauf","non-dropping-particle":"","parse-names":false,"suffix":""},{"dropping-particle":"","family":"Ghaleb A Almekhlafi","given":"","non-dropping-particle":"","parse-names":false,"suffix":""},{"dropping-particle":"","family":"Muhammed","given":"Reema","non-dropping-particle":"","parse-names":false,"suffix":""},{"dropping-particle":"Al","family":"Samirrai","given":"Shatha","non-dropping-particle":"","parse-names":false,"suffix":""},{"dropping-particle":"","family":"Awad","given":"Shatha","non-dropping-particle":"","parse-names":false,"suffix":""},{"dropping-particle":"","family":"Cabal","given":"Rylen Cabio","non-dropping-particle":"","parse-names":false,"suffix":""},{"dropping-particle":"Al","family":"Onazi","given":"Bander","non-dropping-particle":"","parse-names":false,"suffix":""},{"dropping-particle":"","family":"Aljuhani","given":"Maha","non-dropping-particle":"","parse-names":false,"suffix":""},{"dropping-particle":"","family":"Vince","given":"Melven","non-dropping-particle":"","parse-names":false,"suffix":""},{"dropping-particle":"Al","family":"Enani","given":"Mushira","non-dropping-particle":"","parse-names":false,"suffix":""},{"dropping-particle":"","family":"Alqurashi","given":"Alaa","non-dropping-particle":"","parse-names":false,"suffix":""},{"dropping-particle":"","family":"Alenezi","given":"Fatimah","non-dropping-particle":"","parse-names":false,"suffix":""},{"dropping-particle":"","family":"Alkhani","given":"Nada","non-dropping-particle":"","parse-names":false,"suffix":""},{"dropping-particle":"","family":"Thaqafi","given":"Abdulhakeem","non-dropping-particle":"","parse-names":false,"suffix":""},{"dropping-particle":"Al","family":"Oraabi","given":"Ohoud","non-dropping-particle":"","parse-names":false,"suffix":""},{"dropping-particle":"","family":"Rifai","given":"Jalal","non-dropping-particle":"","parse-names":false,"suffix":""},{"dropping-particle":"","family":"Elsamadisi","given":"Pansy","non-dropping-particle":"","parse-names":false,"suffix":""},{"dropping-particle":"","family":"Medhat","given":"S. Hendy","non-dropping-particle":"","parse-names":false,"suffix":""},{"dropping-particle":"","family":"Basher","given":"Sara Abu Baker","non-dropping-particle":"","parse-names":false,"suffix":""},{"dropping-particle":"","family":"Abduldhaher","given":"Muhammed","non-dropping-particle":"","parse-names":false,"suffix":""},{"dropping-particle":"","family":"Bajhamoum","given":"Wael","non-dropping-particle":"","parse-names":false,"suffix":""},{"dropping-particle":"","family":"Alahsa","given":"Sarah Shalhoub","non-dropping-particle":"","parse-names":false,"suffix":""},{"dropping-particle":"","family":"Bashir","given":"Shahinaz","non-dropping-particle":"","parse-names":false,"suffix":""},{"dropping-particle":"","family":"Al-Dossary","given":"Ibraheem","non-dropping-particle":"","parse-names":false,"suffix":""},{"dropping-particle":"","family":"Al-Muhainy Dammam","given":"Bader","non-dropping-particle":"","parse-names":false,"suffix":""},{"dropping-particle":"Al","family":"Khobar","given":"Shehab Suliman","non-dropping-particle":"","parse-names":false,"suffix":""},{"dropping-particle":"","family":"Alshahrani","given":"Mohammed S.","non-dropping-particle":"","parse-names":false,"suffix":""},{"dropping-particle":"","family":"Jabri","given":"Ahmad","non-dropping-particle":"Al","parse-names":false,"suffix":""},{"dropping-particle":"","family":"Farid","given":"Magdy","non-dropping-particle":"","parse-names":false,"suffix":""},{"dropping-particle":"","family":"Alaidarous","given":"Alawi","non-dropping-particle":"","parse-names":false,"suffix":""},{"dropping-particle":"","family":"Alseraihi","given":"Wael","non-dropping-particle":"","parse-names":false,"suffix":""},{"dropping-particle":"","family":"Shahada","given":"Husam","non-dropping-particle":"","parse-names":false,"suffix":""},{"dropping-particle":"","family":"Taif","given":"Jinish Shimi","non-dropping-particle":"","parse-names":false,"suffix":""}],"container-title":"Trials","id":"ITEM-1","issue":"1","issued":{"date-parts":[["2018"]]},"title":"Treatment of Middle East Respiratory Syndrome with a combination of lopinavir-ritonavir and interferon-β1b (MIRACLE trial): Study protocol for a randomized controlled trial","type":"article-journal","volume":"19"},"uris":["http://www.mendeley.com/documents/?uuid=617974a4-eb26-4688-aa74-fae9d8d39d34","http://www.mendeley.com/documents/?uuid=99207f69-8d3b-4547-8445-f3665b8d02a4"]},{"id":"ITEM-2","itemData":{"DOI":"10.1038/s41467-019-13940-6","ISSN":"20411723","abstract":"Middle East respiratory syndrome coronavirus (MERS-CoV) is the causative agent of a severe respiratory disease associated with more than 2468 human infections and over 851 deaths in 27 countries since 2012. There are no approved treatments for MERS-CoV infection although a combination of lopinavir, ritonavir and interferon beta (LPV/RTV-IFNb) is currently being evaluated in humans in the Kingdom of Saudi Arabia. Here, we show that remdesivir (RDV) and IFNb have superior antiviral activity to LPV and RTV in vitro. In mice, both prophylactic and therapeutic RDV improve pulmonary function and reduce lung viral loads and severe lung pathology. In contrast, prophylactic LPV/RTV-IFNb slightly reduces viral loads without impacting other disease parameters. Therapeutic LPV/RTV-IFNb improves pulmonary function but does not reduce virus replication or severe lung pathology. Thus, we provide in vivo evidence of the potential for RDV to treat MERS-CoV infections.","author":[{"dropping-particle":"","family":"Sheahan","given":"Timothy P.","non-dropping-particle":"","parse-names":false,"suffix":""},{"dropping-particle":"","family":"Sims","given":"Amy C.","non-dropping-particle":"","parse-names":false,"suffix":""},{"dropping-particle":"","family":"Leist","given":"Sarah R.","non-dropping-particle":"","parse-names":false,"suffix":""},{"dropping-particle":"","family":"Schäfer","given":"Alexandra","non-dropping-particle":"","parse-names":false,"suffix":""},{"dropping-particle":"","family":"Won","given":"John","non-dropping-particle":"","parse-names":false,"suffix":""},{"dropping-particle":"","family":"Brown","given":"Ariane J.","non-dropping-particle":"","parse-names":false,"suffix":""},{"dropping-particle":"","family":"Montgomery","given":"Stephanie A.","non-dropping-particle":"","parse-names":false,"suffix":""},{"dropping-particle":"","family":"Hogg","given":"Alison","non-dropping-particle":"","parse-names":false,"suffix":""},{"dropping-particle":"","family":"Babusis","given":"Darius","non-dropping-particle":"","parse-names":false,"suffix":""},{"dropping-particle":"","family":"Clarke","given":"Michael O.","non-dropping-particle":"","parse-names":false,"suffix":""},{"dropping-particle":"","family":"Spahn","given":"Jamie E.","non-dropping-particle":"","parse-names":false,"suffix":""},{"dropping-particle":"","family":"Bauer","given":"Laura","non-dropping-particle":"","parse-names":false,"suffix":""},{"dropping-particle":"","family":"Sellers","given":"Scott","non-dropping-particle":"","parse-names":false,"suffix":""},{"dropping-particle":"","family":"Porter","given":"Danielle","non-dropping-particle":"","parse-names":false,"suffix":""},{"dropping-particle":"","family":"Feng","given":"Joy Y.","non-dropping-particle":"","parse-names":false,"suffix":""},{"dropping-particle":"","family":"Cihlar","given":"Tomas","non-dropping-particle":"","parse-names":false,"suffix":""},{"dropping-particle":"","family":"Jordan","given":"Robert","non-dropping-particle":"","parse-names":false,"suffix":""},{"dropping-particle":"","family":"Denison","given":"Mark R.","non-dropping-particle":"","parse-names":false,"suffix":""},{"dropping-particle":"","family":"Baric","given":"Ralph S.","non-dropping-particle":"","parse-names":false,"suffix":""}],"container-title":"Nature Communications","id":"ITEM-2","issue":"1","issued":{"date-parts":[["2020"]]},"page":"222","title":"Comparative therapeutic efficacy of remdesivir and combination lopinavir, ritonavir, and interferon beta against MERS-CoV","type":"article-journal","volume":"11"},"uris":["http://www.mendeley.com/documents/?uuid=67cd123a-794d-469f-a5c2-de673008ae02","http://www.mendeley.com/documents/?uuid=c12b9955-185a-4a48-9cbe-c663ac93c4d6"]},{"id":"ITEM-3","itemData":{"DOI":"10.1038/nature13027","ISSN":"14764687","abstract":"Filoviruses are emerging pathogens and causative agents of viral haemorrhagic fever. Case fatality rates of filovirus disease outbreaks are among the highest reported for any human pathogen, exceeding 90% (ref. 1). Licensed therapeutic or vaccine products are not available to treat filovirus diseases. Candidate therapeutics previously shown to be efficacious in non-human primate disease models are based on virus-specific designs and have limited broad-spectrum antiviral potential. Here we show that BCX4430, a novel synthetic adenosine analogue, inhibits infection of distinct filoviruses in human cells. Biochemical, reporter-based and primer-extension assays indicate that BCX4430 inhibits viral RNA polymerase function, acting as a non-obligate RNA chain terminator. Post-exposure intramuscular administration of BCX4430 protects against Ebola virus and Marburg virus disease in rodent models. Most importantly, BCX4430 completely protects cynomolgus macaques from Marburg virus infection when administered as late as 48 hours after infection. In addition, BCX4430 exhibits broad-spectrum antiviral activity against numerous viruses, including bunyaviruses, arenaviruses, paramyxoviruses, coronaviruses and flaviviruses. This is the first report, to our knowledge, of non-human primate protection from filovirus disease by a synthetic drug-like small molecule. We provide additional pharmacological characterizations supporting the potential development of BCX4430 as a countermeasure against human filovirus diseases and other viral diseases representing major public health threats. © 2014 Macmillan Publishers Limited. All rights reserved.","author":[{"dropping-particle":"","family":"Warren","given":"Travis K.","non-dropping-particle":"","parse-names":false,"suffix":""},{"dropping-particle":"","family":"Wells","given":"Jay","non-dropping-particle":"","parse-names":false,"suffix":""},{"dropping-particle":"","family":"Panchal","given":"Rekha G.","non-dropping-particle":"","parse-names":false,"suffix":""},{"dropping-particle":"","family":"Stuthman","given":"Kelly S.","non-dropping-particle":"","parse-names":false,"suffix":""},{"dropping-particle":"","family":"Garza","given":"Nicole L.","non-dropping-particle":"","parse-names":false,"suffix":""},{"dropping-particle":"","family":"Tongeren","given":"Sean A.","non-dropping-particle":"Van","parse-names":false,"suffix":""},{"dropping-particle":"","family":"Dong","given":"Lian","non-dropping-particle":"","parse-names":false,"suffix":""},{"dropping-particle":"","family":"Retterer","given":"Cary J.","non-dropping-particle":"","parse-names":false,"suffix":""},{"dropping-particle":"","family":"Eaton","given":"Brett P.","non-dropping-particle":"","parse-names":false,"suffix":""},{"dropping-particle":"","family":"Pegoraro","given":"Gianluca","non-dropping-particle":"","parse-names":false,"suffix":""},{"dropping-particle":"","family":"Honnold","given":"Shelley","non-dropping-particle":"","parse-names":false,"suffix":""},{"dropping-particle":"","family":"Bantia","given":"Shanta","non-dropping-particle":"","parse-names":false,"suffix":""},{"dropping-particle":"","family":"Kotian","given":"Pravin","non-dropping-particle":"","parse-names":false,"suffix":""},{"dropping-particle":"","family":"Chen","given":"Xilin","non-dropping-particle":"","parse-names":false,"suffix":""},{"dropping-particle":"","family":"Taubenheim","given":"Brian R.","non-dropping-particle":"","parse-names":false,"suffix":""},{"dropping-particle":"","family":"Welch","given":"Lisa S.","non-dropping-particle":"","parse-names":false,"suffix":""},{"dropping-particle":"","family":"Minning","given":"Dena M.","non-dropping-particle":"","parse-names":false,"suffix":""},{"dropping-particle":"","family":"Babu","given":"Yarlagadda S.","non-dropping-particle":"","parse-names":false,"suffix":""},{"dropping-particle":"","family":"Sheridan","given":"William P.","non-dropping-particle":"","parse-names":false,"suffix":""},{"dropping-particle":"","family":"Bavari","given":"Sina","non-dropping-particle":"","parse-names":false,"suffix":""}],"container-title":"Nature","id":"ITEM-3","issue":"7496","issued":{"date-parts":[["2014"]]},"page":"402-5","title":"Protection against filovirus diseases by a novel broad-spectrum nucleoside analogue BCX4430","type":"article-journal","volume":"508"},"uris":["http://www.mendeley.com/documents/?uuid=b339e6f6-c475-4302-9f62-4ee624f48897","http://www.mendeley.com/documents/?uuid=22554346-11d0-4ca7-bc8f-db3909d94c64","http://www.mendeley.com/documents/?uuid=97fff041-1b15-4c29-9b0f-9715f9c5c353"]},{"id":"ITEM-4","itemData":{"DOI":"10.1016/j.antiviral.2017.12.015","ISSN":"18729096","abstract":"Severe acute respiratory syndrome coronavirus (SARS-CoV) emerged in southern China in late 2002 and caused a global outbreak with a fatality rate around 10% in 2003. Ten years later, a second highly pathogenic human CoV, MERS-CoV, emerged in the Middle East and has spread to other countries in Europe, North Africa, North America and Asia. As of November 2017, MERS-CoV had infected at least 2102 people with a fatality rate of about 35% globally, and hence there is an urgent need to identify antiviral drugs that are active against MERS-CoV. Here we show that a clinically available alcohol-aversive drug, disulfiram, can inhibit the papain-like proteases (PLpros) of MERS-CoV and SARS-CoV. Our findings suggest that disulfiram acts as an allosteric inhibitor of MERS-CoV PLpro but as a competitive (or mixed) inhibitor of SARS-CoV PLpro. The phenomenon of slow-binding inhibition and the irrecoverability of enzyme activity after removing unbound disulfiram indicate covalent inactivation of SARS-CoV PLpro by disulfiram, while synergistic inhibition of MERS-CoV PLpro by disulfiram and 6-thioguanine or mycophenolic acid implies the potential for combination treatments using these three clinically available drugs.","author":[{"dropping-particle":"","family":"Lin","given":"Min Han","non-dropping-particle":"","parse-names":false,"suffix":""},{"dropping-particle":"","family":"Moses","given":"David C.","non-dropping-particle":"","parse-names":false,"suffix":""},{"dropping-particle":"","family":"Hsieh","given":"Chih Hua","non-dropping-particle":"","parse-names":false,"suffix":""},{"dropping-particle":"","family":"Cheng","given":"Shu Chun","non-dropping-particle":"","parse-names":false,"suffix":""},{"dropping-particle":"","family":"Chen","given":"Yau Hung","non-dropping-particle":"","parse-names":false,"suffix":""},{"dropping-particle":"","family":"Sun","given":"Chiao Yin","non-dropping-particle":"","parse-names":false,"suffix":""},{"dropping-particle":"","family":"Chou","given":"Chi Yuan","non-dropping-particle":"","parse-names":false,"suffix":""}],"container-title":"Antiviral Research","id":"ITEM-4","issued":{"date-parts":[["2018"]]},"page":"155-163","title":"Disulfiram can inhibit MERS and SARS coronavirus papain-like proteases via different modes","type":"article-journal","volume":"150"},"uris":["http://www.mendeley.com/documents/?uuid=aa946f87-75ba-4403-bcc5-68501e6e4482","http://www.mendeley.com/documents/?uuid=dc6955d9-6dc3-4fc9-9e11-c0591a3a9484","http://www.mendeley.com/documents/?uuid=88e239c2-4561-4264-b576-b5494432b3cd"]}],"mendeley":{"formattedCitation":"[4], [5], [15], [21]","manualFormatting":" [25,26,35,41]","plainTextFormattedCitation":"[4], [5], [15], [21]","previouslyFormattedCitation":"[4], [5], [15], [21]"},"properties":{"noteIndex":0},"schema":"https://github.com/citation-style-language/schema/raw/master/csl-citation.json"}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[25,26</w:t>
            </w:r>
            <w:r w:rsidRPr="009D43F2">
              <w:rPr>
                <w:noProof/>
                <w:color w:val="000000"/>
                <w:sz w:val="20"/>
                <w:szCs w:val="20"/>
              </w:rPr>
              <w:t>,35</w:t>
            </w:r>
            <w:r w:rsidRPr="00696794">
              <w:rPr>
                <w:noProof/>
                <w:color w:val="000000"/>
                <w:sz w:val="20"/>
                <w:szCs w:val="20"/>
              </w:rPr>
              <w:t>,41]</w:t>
            </w:r>
            <w:r w:rsidRPr="00510915">
              <w:rPr>
                <w:color w:val="000000"/>
                <w:sz w:val="20"/>
                <w:szCs w:val="20"/>
              </w:rPr>
              <w:fldChar w:fldCharType="end"/>
            </w:r>
          </w:p>
        </w:tc>
      </w:tr>
      <w:tr w:rsidR="00752AC4" w:rsidRPr="00696794" w14:paraId="19EFB90D" w14:textId="77777777" w:rsidTr="003730D5">
        <w:trPr>
          <w:trHeight w:val="103"/>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ED4D6A1"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Favipiravir</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63AD2B5" w14:textId="3199904A" w:rsidR="00752AC4" w:rsidRPr="00510915" w:rsidRDefault="00752AC4" w:rsidP="003730D5">
            <w:pPr>
              <w:pStyle w:val="NormalWeb"/>
              <w:spacing w:before="0" w:beforeAutospacing="0" w:after="0" w:afterAutospacing="0"/>
              <w:ind w:left="40"/>
              <w:jc w:val="center"/>
              <w:rPr>
                <w:sz w:val="20"/>
                <w:szCs w:val="20"/>
              </w:rPr>
            </w:pPr>
            <w:r w:rsidRPr="00510915">
              <w:rPr>
                <w:sz w:val="20"/>
                <w:szCs w:val="20"/>
              </w:rPr>
              <w:fldChar w:fldCharType="begin" w:fldLock="1"/>
            </w:r>
            <w:r w:rsidR="00B95A78">
              <w:rPr>
                <w:sz w:val="20"/>
                <w:szCs w:val="20"/>
              </w:rPr>
              <w:instrText>ADDIN CSL_CITATION {"citationItems":[{"id":"ITEM-1","itemData":{"DOI":"10.1128/mBio.00221-18","ISSN":"21507511","abstract":"Emerging coronaviruses (CoVs) cause severe disease in humans, but no approved therapeutics are available. The CoV nsp14 exoribonuclease (ExoN) has complicated development of antiviral nucleosides due to its proofreading activity. We recently reported that the nucleoside analogue GS-5734 (remdesivir) potently inhibits human and zoonotic CoVs in vitro and in a severe acute respiratory syndrome coronavirus (SARS-CoV) mouse model. However, studies with GS-5734 have not reported resistance associated with GS-5734, nor do we understand the action of GS- 5734 in wild-type (WT) proofreading CoVs. Here, we show that GS-5734 inhibits murine hepatitis virus (MHV) with similar 50% effective concentration values (EC50) as SARS-CoV and Middle East respiratory syndrome coronavirus (MERS-CoV). Passage of WT MHV in the presence of the GS-5734 parent nucleoside selected two mutations in the nsp12 polymerase at residues conserved across all CoVs that conferred up to 5.6-fold resistance to GS-5734, as determined by EC50. The resistant viruses were unable to compete with WT in direct coinfection passage in the absence of GS-5734. Introduction of the MHV resistance mutations into SARS-CoV resulted in the same in vitro resistance phenotype and attenuated SARS-CoV pathogenesis in a mouse model. Finally, we demonstrate that an MHV mutant lacking ExoN proofreading was significantly more sensitive to GS-5734. Combined, the results indicate that GS-5734 interferes with the nsp12 polymerase even in the setting of intact ExoN proofreading activity and that resistance can be overcome with increased, nontoxic concentrations of GS-5734, further supporting the development of GS-5734 as a broad-spectrum therapeutic to protect against contemporary and emerging CoVs. IMPORTANCE Coronaviruses (CoVs) cause severe human infections, but there are no approved antivirals to treat these infections. Development of nucleoside-based therapeutics for CoV infections has been hampered by the presence of a proofreading exoribonuclease. Here, we expand the known efficacy of the nucleotide prodrug remdesivir (GS-5734) to include a group β-2a CoV. Further, GS-5734 potently inhibits CoVs with intact proofreading. Following selection with the GS-5734 parent nucleoside, 2 amino acid substitutions in the nsp12 polymerase at residues that are identical across CoVs provide low-level resistance to GS-5734. The resistance mutations decrease viral fitness of MHV in vitro and attenuate pathogenesis in a SARS-CoV ani…","author":[{"dropping-particle":"","family":"Agostini","given":"Maria L.","non-dropping-particle":"","parse-names":false,"suffix":""},{"dropping-particle":"","family":"Andres","given":"Erica L.","non-dropping-particle":"","parse-names":false,"suffix":""},{"dropping-particle":"","family":"Sims","given":"Amy C.","non-dropping-particle":"","parse-names":false,"suffix":""},{"dropping-particle":"","family":"Graham","given":"Rachel L.","non-dropping-particle":"","parse-names":false,"suffix":""},{"dropping-particle":"","family":"Sheahan","given":"Timothy P.","non-dropping-particle":"","parse-names":false,"suffix":""},{"dropping-particle":"","family":"Lu","given":"Xiaotao","non-dropping-particle":"","parse-names":false,"suffix":""},{"dropping-particle":"","family":"Smith","given":"Everett Clinton","non-dropping-particle":"","parse-names":false,"suffix":""},{"dropping-particle":"","family":"Case","given":"James Brett","non-dropping-particle":"","parse-names":false,"suffix":""},{"dropping-particle":"","family":"Feng","given":"Joy Y.","non-dropping-particle":"","parse-names":false,"suffix":""},{"dropping-particle":"","family":"Jordan","given":"Robert","non-dropping-particle":"","parse-names":false,"suffix":""},{"dropping-particle":"","family":"Ray","given":"Adrian S.","non-dropping-particle":"","parse-names":false,"suffix":""},{"dropping-particle":"","family":"Cihlar","given":"Tomas","non-dropping-particle":"","parse-names":false,"suffix":""},{"dropping-particle":"","family":"Siegel","given":"Dustin","non-dropping-particle":"","parse-names":false,"suffix":""},{"dropping-particle":"","family":"Mackman","given":"Richard L.","non-dropping-particle":"","parse-names":false,"suffix":""},{"dropping-particle":"","family":"Clarke","given":"Michael O.","non-dropping-particle":"","parse-names":false,"suffix":""},{"dropping-particle":"","family":"Baric","given":"Ralph S.","non-dropping-particle":"","parse-names":false,"suffix":""},{"dropping-particle":"","family":"Denison","given":"Mark R.","non-dropping-particle":"","parse-names":false,"suffix":""}],"container-title":"mBio","id":"ITEM-1","issue":"2","issued":{"date-parts":[["2018"]]},"title":"Coronavirus susceptibility to the antiviral remdesivir (GS-5734) is mediated by the viral polymerase and the proofreading exoribonuclease","type":"article-journal","volume":"9"},"uris":["http://www.mendeley.com/documents/?uuid=b1ba073e-0997-4005-918b-e626bb2731a1","http://www.mendeley.com/documents/?uuid=7b7e81fd-a913-4cca-b338-bf50ad3953cf"]},{"id":"ITEM-2","itemData":{"DOI":"10.1038/s41422-020-0282-0","ISSN":"17487838","PMID":"32020029","author":[{"dropping-particle":"","family":"Wang","given":"Manli","non-dropping-particle":"","parse-names":false,"suffix":""},{"dropping-particle":"","family":"Cao","given":"Ruiyuan","non-dropping-particle":"","parse-names":false,"suffix":""},{"dropping-particle":"","family":"Zhang","given":"Leike","non-dropping-particle":"","parse-names":false,"suffix":""},{"dropping-particle":"","family":"Yang","given":"Xinglou","non-dropping-particle":"","parse-names":false,"suffix":""},{"dropping-particle":"","family":"Liu","given":"Jia","non-dropping-particle":"","parse-names":false,"suffix":""},{"dropping-particle":"","family":"Xu","given":"Mingyue","non-dropping-particle":"","parse-names":false,"suffix":""},{"dropping-particle":"","family":"Shi","given":"Zhengli","non-dropping-particle":"","parse-names":false,"suffix":""},{"dropping-particle":"","family":"Hu","given":"Zhihong","non-dropping-particle":"","parse-names":false,"suffix":""},{"dropping-particle":"","family":"Zhong","given":"Wu","non-dropping-particle":"","parse-names":false,"suffix":""},{"dropping-particle":"","family":"Xiao","given":"Gengfu","non-dropping-particle":"","parse-names":false,"suffix":""}],"container-title":"Cell Research","id":"ITEM-2","issued":{"date-parts":[["2020"]]},"page":"269-271","title":"Remdesivir and chloroquine effectively inhibit the recently emerged novel coronavirus (2019-nCoV) in vitro","type":"article-journal","volume":"30"},"uris":["http://www.mendeley.com/documents/?uuid=b6fd793e-e2fc-43a0-8dee-b69c24fe893e","http://www.mendeley.com/documents/?uuid=782ce1d6-9577-4154-b5bb-300074431de1","http://www.mendeley.com/documents/?uuid=e5380cab-e6c2-4d06-9df3-e5f729b33b46"]}],"mendeley":{"formattedCitation":"[9], [12]","manualFormatting":" [23,25]","plainTextFormattedCitation":"[9], [12]","previouslyFormattedCitation":"[9], [12]"},"properties":{"noteIndex":0},"schema":"https://github.com/citation-style-language/schema/raw/master/csl-citation.json"}</w:instrText>
            </w:r>
            <w:r w:rsidRPr="00510915">
              <w:rPr>
                <w:sz w:val="20"/>
                <w:szCs w:val="20"/>
              </w:rPr>
              <w:fldChar w:fldCharType="separate"/>
            </w:r>
            <w:r w:rsidRPr="00510915">
              <w:rPr>
                <w:noProof/>
                <w:sz w:val="20"/>
                <w:szCs w:val="20"/>
              </w:rPr>
              <w:t xml:space="preserve"> [23,</w:t>
            </w:r>
            <w:r w:rsidRPr="009D43F2">
              <w:rPr>
                <w:noProof/>
                <w:sz w:val="20"/>
                <w:szCs w:val="20"/>
              </w:rPr>
              <w:t>25]</w:t>
            </w:r>
            <w:r w:rsidRPr="00510915">
              <w:rPr>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9B229AB" w14:textId="77777777" w:rsidR="00752AC4" w:rsidRPr="009D43F2" w:rsidRDefault="00752AC4" w:rsidP="003730D5">
            <w:pPr>
              <w:pStyle w:val="NormalWeb"/>
              <w:spacing w:before="0" w:beforeAutospacing="0" w:after="0" w:afterAutospacing="0"/>
              <w:ind w:left="40"/>
              <w:jc w:val="both"/>
              <w:rPr>
                <w:sz w:val="20"/>
                <w:szCs w:val="20"/>
              </w:rPr>
            </w:pPr>
            <w:r w:rsidRPr="00510915">
              <w:rPr>
                <w:color w:val="000000"/>
                <w:sz w:val="20"/>
                <w:szCs w:val="20"/>
              </w:rPr>
              <w:t>Saquinavir</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2F55CA4" w14:textId="1C3A17FC"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3DC2F79A"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C9AE76B" w14:textId="77777777" w:rsidR="00752AC4" w:rsidRPr="00696794" w:rsidRDefault="00752AC4" w:rsidP="003730D5">
            <w:pPr>
              <w:pStyle w:val="NormalWeb"/>
              <w:spacing w:before="0" w:beforeAutospacing="0" w:after="0" w:afterAutospacing="0"/>
              <w:ind w:left="40"/>
              <w:jc w:val="both"/>
              <w:rPr>
                <w:sz w:val="20"/>
                <w:szCs w:val="20"/>
              </w:rPr>
            </w:pPr>
            <w:proofErr w:type="spellStart"/>
            <w:r w:rsidRPr="00696794">
              <w:rPr>
                <w:color w:val="000000"/>
                <w:sz w:val="20"/>
                <w:szCs w:val="20"/>
              </w:rPr>
              <w:t>Fenoterol</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DACA71E" w14:textId="101E0538"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3943364"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Silybin</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7846928" w14:textId="7FBBDAE0"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4BC24129"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BA1A123"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Flavin mononucleotide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2AFC5E3" w14:textId="6A96BA4C"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C4746D8"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Sulfasalazine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5759AD9" w14:textId="6C4DE4F4"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0643AE65" w14:textId="77777777" w:rsidTr="003730D5">
        <w:trPr>
          <w:trHeight w:val="36"/>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64AA2EC"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Floxuridine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859408E" w14:textId="6CF8E8B7"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30E5524"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Telmisartan</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7E4F97A" w14:textId="7C110473"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6F132105" w14:textId="77777777" w:rsidTr="003730D5">
        <w:trPr>
          <w:trHeight w:val="170"/>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D86007A"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Fludarabine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8CD3378" w14:textId="62F47A41"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33C52D9"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Tibolone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C42F08D" w14:textId="20201B9E"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2B47E395" w14:textId="77777777" w:rsidTr="003730D5">
        <w:trPr>
          <w:trHeight w:val="148"/>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BE6BED1" w14:textId="77777777" w:rsidR="00752AC4" w:rsidRPr="00696794" w:rsidRDefault="00752AC4" w:rsidP="003730D5">
            <w:pPr>
              <w:pStyle w:val="NormalWeb"/>
              <w:spacing w:before="0" w:beforeAutospacing="0" w:after="0" w:afterAutospacing="0"/>
              <w:ind w:left="40"/>
              <w:jc w:val="both"/>
              <w:rPr>
                <w:sz w:val="20"/>
                <w:szCs w:val="20"/>
              </w:rPr>
            </w:pPr>
            <w:proofErr w:type="spellStart"/>
            <w:r w:rsidRPr="00696794">
              <w:rPr>
                <w:color w:val="000000"/>
                <w:sz w:val="20"/>
                <w:szCs w:val="20"/>
              </w:rPr>
              <w:t>fosamprenavir</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E333775" w14:textId="0BCCC77A"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DE3740C" w14:textId="77777777" w:rsidR="00752AC4" w:rsidRPr="00510915" w:rsidRDefault="00752AC4" w:rsidP="003730D5">
            <w:pPr>
              <w:pStyle w:val="NormalWeb"/>
              <w:spacing w:before="0" w:beforeAutospacing="0" w:after="0" w:afterAutospacing="0"/>
              <w:ind w:left="40"/>
              <w:jc w:val="both"/>
              <w:rPr>
                <w:sz w:val="20"/>
                <w:szCs w:val="20"/>
              </w:rPr>
            </w:pPr>
            <w:r w:rsidRPr="00510915">
              <w:rPr>
                <w:color w:val="000000"/>
                <w:sz w:val="20"/>
                <w:szCs w:val="20"/>
              </w:rPr>
              <w:t>Tigecycline</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9E7C39A" w14:textId="6F4B1AD7"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291C29A3"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FF28F89" w14:textId="77777777" w:rsidR="00752AC4" w:rsidRPr="00696794" w:rsidRDefault="00752AC4" w:rsidP="003730D5">
            <w:pPr>
              <w:pStyle w:val="NormalWeb"/>
              <w:spacing w:before="0" w:beforeAutospacing="0" w:after="0" w:afterAutospacing="0"/>
              <w:ind w:left="40"/>
              <w:jc w:val="both"/>
              <w:rPr>
                <w:sz w:val="20"/>
                <w:szCs w:val="20"/>
              </w:rPr>
            </w:pPr>
            <w:proofErr w:type="spellStart"/>
            <w:r w:rsidRPr="00696794">
              <w:rPr>
                <w:color w:val="000000"/>
                <w:sz w:val="20"/>
                <w:szCs w:val="20"/>
              </w:rPr>
              <w:t>Galidesivir</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77974C1" w14:textId="2EB5FA57" w:rsidR="00752AC4" w:rsidRPr="00510915" w:rsidRDefault="00752AC4" w:rsidP="003730D5">
            <w:pPr>
              <w:pStyle w:val="NormalWeb"/>
              <w:spacing w:before="0" w:beforeAutospacing="0" w:after="0" w:afterAutospacing="0"/>
              <w:ind w:left="40"/>
              <w:jc w:val="center"/>
              <w:rPr>
                <w:sz w:val="20"/>
                <w:szCs w:val="20"/>
              </w:rPr>
            </w:pPr>
            <w:r w:rsidRPr="00510915">
              <w:rPr>
                <w:sz w:val="20"/>
                <w:szCs w:val="20"/>
              </w:rPr>
              <w:fldChar w:fldCharType="begin" w:fldLock="1"/>
            </w:r>
            <w:r w:rsidR="00B95A78">
              <w:rPr>
                <w:sz w:val="20"/>
                <w:szCs w:val="20"/>
              </w:rPr>
              <w:instrText>ADDIN CSL_CITATION {"citationItems":[{"id":"ITEM-1","itemData":{"DOI":"10.1038/nature13027","ISSN":"14764687","abstract":"Filoviruses are emerging pathogens and causative agents of viral haemorrhagic fever. Case fatality rates of filovirus disease outbreaks are among the highest reported for any human pathogen, exceeding 90% (ref. 1). Licensed therapeutic or vaccine products are not available to treat filovirus diseases. Candidate therapeutics previously shown to be efficacious in non-human primate disease models are based on virus-specific designs and have limited broad-spectrum antiviral potential. Here we show that BCX4430, a novel synthetic adenosine analogue, inhibits infection of distinct filoviruses in human cells. Biochemical, reporter-based and primer-extension assays indicate that BCX4430 inhibits viral RNA polymerase function, acting as a non-obligate RNA chain terminator. Post-exposure intramuscular administration of BCX4430 protects against Ebola virus and Marburg virus disease in rodent models. Most importantly, BCX4430 completely protects cynomolgus macaques from Marburg virus infection when administered as late as 48 hours after infection. In addition, BCX4430 exhibits broad-spectrum antiviral activity against numerous viruses, including bunyaviruses, arenaviruses, paramyxoviruses, coronaviruses and flaviviruses. This is the first report, to our knowledge, of non-human primate protection from filovirus disease by a synthetic drug-like small molecule. We provide additional pharmacological characterizations supporting the potential development of BCX4430 as a countermeasure against human filovirus diseases and other viral diseases representing major public health threats. © 2014 Macmillan Publishers Limited. All rights reserved.","author":[{"dropping-particle":"","family":"Warren","given":"Travis K.","non-dropping-particle":"","parse-names":false,"suffix":""},{"dropping-particle":"","family":"Wells","given":"Jay","non-dropping-particle":"","parse-names":false,"suffix":""},{"dropping-particle":"","family":"Panchal","given":"Rekha G.","non-dropping-particle":"","parse-names":false,"suffix":""},{"dropping-particle":"","family":"Stuthman","given":"Kelly S.","non-dropping-particle":"","parse-names":false,"suffix":""},{"dropping-particle":"","family":"Garza","given":"Nicole L.","non-dropping-particle":"","parse-names":false,"suffix":""},{"dropping-particle":"","family":"Tongeren","given":"Sean A.","non-dropping-particle":"Van","parse-names":false,"suffix":""},{"dropping-particle":"","family":"Dong","given":"Lian","non-dropping-particle":"","parse-names":false,"suffix":""},{"dropping-particle":"","family":"Retterer","given":"Cary J.","non-dropping-particle":"","parse-names":false,"suffix":""},{"dropping-particle":"","family":"Eaton","given":"Brett P.","non-dropping-particle":"","parse-names":false,"suffix":""},{"dropping-particle":"","family":"Pegoraro","given":"Gianluca","non-dropping-particle":"","parse-names":false,"suffix":""},{"dropping-particle":"","family":"Honnold","given":"Shelley","non-dropping-particle":"","parse-names":false,"suffix":""},{"dropping-particle":"","family":"Bantia","given":"Shanta","non-dropping-particle":"","parse-names":false,"suffix":""},{"dropping-particle":"","family":"Kotian","given":"Pravin","non-dropping-particle":"","parse-names":false,"suffix":""},{"dropping-particle":"","family":"Chen","given":"Xilin","non-dropping-particle":"","parse-names":false,"suffix":""},{"dropping-particle":"","family":"Taubenheim","given":"Brian R.","non-dropping-particle":"","parse-names":false,"suffix":""},{"dropping-particle":"","family":"Welch","given":"Lisa S.","non-dropping-particle":"","parse-names":false,"suffix":""},{"dropping-particle":"","family":"Minning","given":"Dena M.","non-dropping-particle":"","parse-names":false,"suffix":""},{"dropping-particle":"","family":"Babu","given":"Yarlagadda S.","non-dropping-particle":"","parse-names":false,"suffix":""},{"dropping-particle":"","family":"Sheridan","given":"William P.","non-dropping-particle":"","parse-names":false,"suffix":""},{"dropping-particle":"","family":"Bavari","given":"Sina","non-dropping-particle":"","parse-names":false,"suffix":""}],"container-title":"Nature","id":"ITEM-1","issue":"7496","issued":{"date-parts":[["2014"]]},"page":"402-5","title":"Protection against filovirus diseases by a novel broad-spectrum nucleoside analogue BCX4430","type":"article-journal","volume":"508"},"uris":["http://www.mendeley.com/documents/?uuid=b339e6f6-c475-4302-9f62-4ee624f48897","http://www.mendeley.com/documents/?uuid=22554346-11d0-4ca7-bc8f-db3909d94c64"]}],"mendeley":{"formattedCitation":"[5]","manualFormatting":" [26]","plainTextFormattedCitation":"[5]","previouslyFormattedCitation":"[5]"},"properties":{"noteIndex":0},"schema":"https://github.com/citation-style-language/schema/raw/master/csl-citation.json"}</w:instrText>
            </w:r>
            <w:r w:rsidRPr="00510915">
              <w:rPr>
                <w:sz w:val="20"/>
                <w:szCs w:val="20"/>
              </w:rPr>
              <w:fldChar w:fldCharType="separate"/>
            </w:r>
            <w:r w:rsidRPr="00510915">
              <w:rPr>
                <w:noProof/>
                <w:sz w:val="20"/>
                <w:szCs w:val="20"/>
              </w:rPr>
              <w:t xml:space="preserve"> [26]</w:t>
            </w:r>
            <w:r w:rsidRPr="00510915">
              <w:rPr>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980DEDD" w14:textId="77777777" w:rsidR="00752AC4" w:rsidRPr="00510915" w:rsidRDefault="00752AC4" w:rsidP="003730D5">
            <w:pPr>
              <w:pStyle w:val="NormalWeb"/>
              <w:spacing w:before="0" w:beforeAutospacing="0" w:after="0" w:afterAutospacing="0"/>
              <w:jc w:val="both"/>
              <w:rPr>
                <w:sz w:val="20"/>
                <w:szCs w:val="20"/>
              </w:rPr>
            </w:pPr>
            <w:r w:rsidRPr="00510915">
              <w:rPr>
                <w:color w:val="000000"/>
                <w:sz w:val="20"/>
                <w:szCs w:val="20"/>
              </w:rPr>
              <w:t xml:space="preserve"> Tipranavir</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FF29A74" w14:textId="47A16186"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r w:rsidR="00752AC4" w:rsidRPr="00696794" w14:paraId="32A5B1CE" w14:textId="77777777" w:rsidTr="003730D5">
        <w:trPr>
          <w:trHeight w:val="104"/>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8760F5B" w14:textId="77777777" w:rsidR="00752AC4" w:rsidRPr="00696794" w:rsidRDefault="00752AC4" w:rsidP="003730D5">
            <w:pPr>
              <w:pStyle w:val="NormalWeb"/>
              <w:spacing w:before="0" w:beforeAutospacing="0" w:after="0" w:afterAutospacing="0"/>
              <w:ind w:left="40"/>
              <w:jc w:val="both"/>
              <w:rPr>
                <w:sz w:val="20"/>
                <w:szCs w:val="20"/>
              </w:rPr>
            </w:pPr>
            <w:r w:rsidRPr="00696794">
              <w:rPr>
                <w:color w:val="000000"/>
                <w:sz w:val="20"/>
                <w:szCs w:val="20"/>
              </w:rPr>
              <w:t>Gemcitabine Hydrochloride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437F84B" w14:textId="57047392" w:rsidR="00752AC4" w:rsidRPr="00510915" w:rsidRDefault="00752AC4" w:rsidP="003730D5">
            <w:pPr>
              <w:pStyle w:val="NormalWeb"/>
              <w:spacing w:before="0" w:beforeAutospacing="0" w:after="0" w:afterAutospacing="0"/>
              <w:ind w:left="40"/>
              <w:jc w:val="center"/>
              <w:rPr>
                <w:sz w:val="20"/>
                <w:szCs w:val="20"/>
              </w:rPr>
            </w:pPr>
            <w:r w:rsidRPr="00510915">
              <w:rPr>
                <w:sz w:val="20"/>
                <w:szCs w:val="20"/>
              </w:rPr>
              <w:fldChar w:fldCharType="begin" w:fldLock="1"/>
            </w:r>
            <w:r w:rsidR="00B95A78">
              <w:rPr>
                <w:sz w:val="20"/>
                <w:szCs w:val="20"/>
              </w:rPr>
              <w:instrText>ADDIN CSL_CITATION {"citationItems":[{"id":"ITEM-1","itemData":{"DOI":"10.1186/s12879-017-2253-8","ISSN":"14712334","abstract":"Background: Middle East Respiratory Syndrome coronavirus (MERS-CoV) is an emerging viral pathogen that causes severe morbidity and mortality. Up to date, there is no approved or licensed vaccine or antiviral medicines can be used to treat MERS-CoV-infected patients. Here, we analyzed the antiviral activities of resveratrol, a natural compound found in grape seeds and skin and in red wine, against MERS-CoV infection. Methods: We performed MTT and neutral red uptake assays to assess the survival rates of MERS-infected Vero E6 cells. In addition, quantitative PCR, western blotting, and immunofluorescent assays determined the intracellular viral RNA and protein expression. For viral productivity, we utilized plaque assays to confirm the antiviral properties of resveratrol against MERS-CoV. Results: Resveratrol significantly inhibited MERS-CoV infection and prolonged cellular survival after virus infection. We also found that the expression of nucleocapsid (N) protein essential for MERS-CoV replication was decreased after resveratrol treatment. Furthermore, resveratrol down-regulated the apoptosis induced by MERS-CoV in vitro. By consecutive administration of resveratrol, we were able to reduce the concentration of resveratrol while achieving inhibitory effectiveness against MERS-CoV. Conclusion: In this study, we first demonstrated that resveratrol is a potent anti-MERS agent in vitro. We perceive that resveratrol can be a potential antiviral agent against MERS-CoV infection in the near future.","author":[{"dropping-particle":"","family":"Lin","given":"Shih Chao","non-dropping-particle":"","parse-names":false,"suffix":""},{"dropping-particle":"","family":"Ho","given":"Chi Tang","non-dropping-particle":"","parse-names":false,"suffix":""},{"dropping-particle":"","family":"Chuo","given":"Wen Ho","non-dropping-particle":"","parse-names":false,"suffix":""},{"dropping-particle":"","family":"Li","given":"Shiming","non-dropping-particle":"","parse-names":false,"suffix":""},{"dropping-particle":"","family":"Wang","given":"Tony T.","non-dropping-particle":"","parse-names":false,"suffix":""},{"dropping-particle":"","family":"Lin","given":"Chi Chen","non-dropping-particle":"","parse-names":false,"suffix":""}],"container-title":"BMC Infectious Diseases","id":"ITEM-1","issue":"1","issued":{"date-parts":[["2017"]]},"page":"144","title":"Effective inhibition of MERS-CoV infection by resveratrol","type":"article-journal","volume":"17"},"uris":["http://www.mendeley.com/documents/?uuid=0c33ee54-0796-4fc8-a35f-31875dec96f7","http://www.mendeley.com/documents/?uuid=b86c2cec-878a-4a66-954a-31b0d02e47d1"]}],"mendeley":{"formattedCitation":"[8]","manualFormatting":" [29]","plainTextFormattedCitation":"[8]","previouslyFormattedCitation":"[8]"},"properties":{"noteIndex":0},"schema":"https://github.com/citation-style-language/schema/raw/master/csl-citation.json"}</w:instrText>
            </w:r>
            <w:r w:rsidRPr="00510915">
              <w:rPr>
                <w:sz w:val="20"/>
                <w:szCs w:val="20"/>
              </w:rPr>
              <w:fldChar w:fldCharType="separate"/>
            </w:r>
            <w:r w:rsidRPr="00510915">
              <w:rPr>
                <w:noProof/>
                <w:sz w:val="20"/>
                <w:szCs w:val="20"/>
              </w:rPr>
              <w:t xml:space="preserve"> [29</w:t>
            </w:r>
            <w:r w:rsidRPr="009D43F2">
              <w:rPr>
                <w:noProof/>
                <w:sz w:val="20"/>
                <w:szCs w:val="20"/>
              </w:rPr>
              <w:t>]</w:t>
            </w:r>
            <w:r w:rsidRPr="00510915">
              <w:rPr>
                <w:sz w:val="20"/>
                <w:szCs w:val="20"/>
              </w:rPr>
              <w:fldChar w:fldCharType="end"/>
            </w:r>
          </w:p>
        </w:tc>
        <w:tc>
          <w:tcPr>
            <w:tcW w:w="269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23D0DBF" w14:textId="77777777" w:rsidR="00752AC4" w:rsidRPr="009D43F2" w:rsidRDefault="00752AC4" w:rsidP="003730D5">
            <w:pPr>
              <w:pStyle w:val="NormalWeb"/>
              <w:spacing w:before="0" w:beforeAutospacing="0" w:after="0" w:afterAutospacing="0"/>
              <w:ind w:left="40"/>
              <w:jc w:val="both"/>
              <w:rPr>
                <w:sz w:val="20"/>
                <w:szCs w:val="20"/>
              </w:rPr>
            </w:pPr>
            <w:r w:rsidRPr="00510915">
              <w:rPr>
                <w:color w:val="000000"/>
                <w:sz w:val="20"/>
                <w:szCs w:val="20"/>
              </w:rPr>
              <w:t>Valganciclovir</w:t>
            </w:r>
          </w:p>
        </w:tc>
        <w:tc>
          <w:tcPr>
            <w:tcW w:w="178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B450A37" w14:textId="67436BB4" w:rsidR="00752AC4" w:rsidRPr="00510915" w:rsidRDefault="00752AC4" w:rsidP="003730D5">
            <w:pPr>
              <w:pStyle w:val="NormalWeb"/>
              <w:spacing w:before="0" w:beforeAutospacing="0" w:after="0" w:afterAutospacing="0"/>
              <w:ind w:left="40"/>
              <w:jc w:val="center"/>
              <w:rPr>
                <w:sz w:val="20"/>
                <w:szCs w:val="20"/>
              </w:rPr>
            </w:pPr>
            <w:r w:rsidRPr="00510915">
              <w:rPr>
                <w:color w:val="000000"/>
                <w:sz w:val="20"/>
                <w:szCs w:val="20"/>
              </w:rPr>
              <w:fldChar w:fldCharType="begin" w:fldLock="1"/>
            </w:r>
            <w:r w:rsidR="00B95A78">
              <w:rPr>
                <w:color w:val="000000"/>
                <w:sz w:val="20"/>
                <w:szCs w:val="20"/>
              </w:rPr>
              <w:instrText>ADDIN CSL_CITATION {"citationItems":[{"id":"ITEM-1","itemData":{"DOI":"https://doi.org/10.1016/j.apsb.2020.02.008","ISSN":"2211-3835","abstract":"SARS-CoV-2 has caused tens of thousands of infections and more than one thousand deaths. There are currently no registered therapies for treating coronavirus infections. Because of time consuming process of new drug development, drug repositioning may be the only solution to the epidemic of sudden infectious diseases. We systematically analyzed all the proteins encoded by SARS-CoV-2 genes, compared them with proteins from other coronaviruses, predicted their structures, and built 19 structures that could be done by homology modeling. By performing target-based virtual ligand screening, a total of 21 targets (including two human targets) were screened against compound libraries including ZINC drug database and our own database of natural products. Structure and screening results of important targets such as 3-chymotrypsin-like protease (3CLpro), Spike, RNA-dependent RNA polymerase (RdRp), and papain like protease (PLpro) were discussed in detail. In addition, a database of 78 commonly used anti-viral drugs including those currently on the market and undergoing clinical trials for SARS-CoV-2 was constructed. Possible targets of these compounds and potential drugs acting on a certain target were predicted. This study will provide new lead compounds and targets for further in vitro and in vivo studies of SARS-CoV-2, new insights for those drugs currently ongoing clinical studies, and also possible new strategies for drug repositioning to treat SARS-CoV-2 infections.","author":[{"dropping-particle":"","family":"Wu","given":"Canrong","non-dropping-particle":"","parse-names":false,"suffix":""},{"dropping-particle":"","family":"Liu","given":"Yang","non-dropping-particle":"","parse-names":false,"suffix":""},{"dropping-particle":"","family":"Yang","given":"Yueying","non-dropping-particle":"","parse-names":false,"suffix":""},{"dropping-particle":"","family":"Zhang","given":"Peng","non-dropping-particle":"","parse-names":false,"suffix":""},{"dropping-particle":"","family":"Zhong","given":"Wu","non-dropping-particle":"","parse-names":false,"suffix":""},{"dropping-particle":"","family":"Wang","given":"Yali","non-dropping-particle":"","parse-names":false,"suffix":""},{"dropping-particle":"","family":"Wang","given":"Qiqi","non-dropping-particle":"","parse-names":false,"suffix":""},{"dropping-particle":"","family":"Xu","given":"Yang","non-dropping-particle":"","parse-names":false,"suffix":""},{"dropping-particle":"","family":"Li","given":"Mingxue","non-dropping-particle":"","parse-names":false,"suffix":""},{"dropping-particle":"","family":"Li","given":"Xingzhou","non-dropping-particle":"","parse-names":false,"suffix":""},{"dropping-particle":"","family":"Zheng","given":"Mengzhu","non-dropping-particle":"","parse-names":false,"suffix":""},{"dropping-particle":"","family":"Chen","given":"Lixia","non-dropping-particle":"","parse-names":false,"suffix":""},{"dropping-particle":"","family":"Li","given":"Hua","non-dropping-particle":"","parse-names":false,"suffix":""}],"container-title":"Acta Pharmaceutica Sinica B","id":"ITEM-1","issue":" PG  -","issued":{"date-parts":[["2020"]]},"publisher":"Chinese Pharmaceutical Association and Institute of Materia Medica, Chinese Academy of Medical Sciences","title":"Analysis of therapeutic targets for SARS-CoV-2 and discovery of potential drugs by computational methods","type":"article-journal"},"uris":["http://www.mendeley.com/documents/?uuid=fe97980e-40d3-46ff-a4e4-e2e63a4bf117"]}],"mendeley":{"formattedCitation":"[1]","manualFormatting":" [5]","plainTextFormattedCitation":"[1]","previouslyFormattedCitation":"[1]"},"properties":{"noteIndex":0},"schema":"https://github.com/citation-style-language/schema/raw/master/csl-citation.json"}</w:instrText>
            </w:r>
            <w:r w:rsidRPr="00510915">
              <w:rPr>
                <w:color w:val="000000"/>
                <w:sz w:val="20"/>
                <w:szCs w:val="20"/>
              </w:rPr>
              <w:fldChar w:fldCharType="separate"/>
            </w:r>
            <w:r w:rsidRPr="00510915">
              <w:rPr>
                <w:noProof/>
                <w:color w:val="000000"/>
                <w:sz w:val="20"/>
                <w:szCs w:val="20"/>
              </w:rPr>
              <w:t xml:space="preserve"> [5]</w:t>
            </w:r>
            <w:r w:rsidRPr="00510915">
              <w:rPr>
                <w:color w:val="000000"/>
                <w:sz w:val="20"/>
                <w:szCs w:val="20"/>
              </w:rPr>
              <w:fldChar w:fldCharType="end"/>
            </w:r>
          </w:p>
        </w:tc>
      </w:tr>
    </w:tbl>
    <w:p w14:paraId="19A2ECCD" w14:textId="2C0D7F5F" w:rsidR="00752AC4" w:rsidRDefault="00752AC4" w:rsidP="00752AC4">
      <w:pPr>
        <w:pStyle w:val="NormalWeb"/>
        <w:spacing w:before="0" w:beforeAutospacing="0" w:after="0" w:afterAutospacing="0"/>
        <w:jc w:val="both"/>
        <w:rPr>
          <w:color w:val="000000"/>
          <w:sz w:val="20"/>
          <w:szCs w:val="20"/>
        </w:rPr>
      </w:pPr>
      <w:r w:rsidRPr="00696794">
        <w:rPr>
          <w:color w:val="000000"/>
          <w:sz w:val="20"/>
          <w:szCs w:val="20"/>
        </w:rPr>
        <w:t> </w:t>
      </w:r>
    </w:p>
    <w:p w14:paraId="1CDC2D4A" w14:textId="7D89F8A8" w:rsidR="00B95A78" w:rsidRPr="00B95A78" w:rsidRDefault="00B95A78" w:rsidP="00752AC4">
      <w:pPr>
        <w:pStyle w:val="NormalWeb"/>
        <w:spacing w:before="0" w:beforeAutospacing="0" w:after="0" w:afterAutospacing="0"/>
        <w:jc w:val="both"/>
        <w:rPr>
          <w:b/>
          <w:bCs/>
        </w:rPr>
      </w:pPr>
      <w:r w:rsidRPr="00B95A78">
        <w:rPr>
          <w:b/>
          <w:bCs/>
          <w:color w:val="000000"/>
        </w:rPr>
        <w:t>References</w:t>
      </w:r>
    </w:p>
    <w:p w14:paraId="2C25A787" w14:textId="4487E29D" w:rsidR="00B95A78" w:rsidRPr="00B95A78" w:rsidRDefault="00B95A78" w:rsidP="00B95A78">
      <w:pPr>
        <w:widowControl w:val="0"/>
        <w:autoSpaceDE w:val="0"/>
        <w:autoSpaceDN w:val="0"/>
        <w:adjustRightInd w:val="0"/>
        <w:ind w:left="640" w:hanging="640"/>
        <w:rPr>
          <w:noProof/>
          <w:sz w:val="20"/>
          <w:szCs w:val="20"/>
          <w:lang w:val="en-US"/>
        </w:rPr>
      </w:pPr>
      <w:r w:rsidRPr="00B95A78">
        <w:rPr>
          <w:sz w:val="20"/>
          <w:szCs w:val="20"/>
        </w:rPr>
        <w:fldChar w:fldCharType="begin" w:fldLock="1"/>
      </w:r>
      <w:r w:rsidRPr="00B95A78">
        <w:rPr>
          <w:sz w:val="20"/>
          <w:szCs w:val="20"/>
        </w:rPr>
        <w:instrText xml:space="preserve">ADDIN Mendeley Bibliography CSL_BIBLIOGRAPHY </w:instrText>
      </w:r>
      <w:r w:rsidRPr="00B95A78">
        <w:rPr>
          <w:sz w:val="20"/>
          <w:szCs w:val="20"/>
        </w:rPr>
        <w:fldChar w:fldCharType="separate"/>
      </w:r>
      <w:r w:rsidRPr="00B95A78">
        <w:rPr>
          <w:noProof/>
          <w:sz w:val="20"/>
          <w:szCs w:val="20"/>
          <w:lang w:val="en-US"/>
        </w:rPr>
        <w:t>[1]</w:t>
      </w:r>
      <w:r w:rsidRPr="00B95A78">
        <w:rPr>
          <w:noProof/>
          <w:sz w:val="20"/>
          <w:szCs w:val="20"/>
          <w:lang w:val="en-US"/>
        </w:rPr>
        <w:tab/>
        <w:t xml:space="preserve">C. Wu </w:t>
      </w:r>
      <w:r w:rsidRPr="00B95A78">
        <w:rPr>
          <w:i/>
          <w:iCs/>
          <w:noProof/>
          <w:sz w:val="20"/>
          <w:szCs w:val="20"/>
          <w:lang w:val="en-US"/>
        </w:rPr>
        <w:t>et al.</w:t>
      </w:r>
      <w:r w:rsidRPr="00B95A78">
        <w:rPr>
          <w:noProof/>
          <w:sz w:val="20"/>
          <w:szCs w:val="20"/>
          <w:lang w:val="en-US"/>
        </w:rPr>
        <w:t xml:space="preserve">, “Analysis of therapeutic targets for SARS-CoV-2 and discovery of potential drugs by computational methods,” </w:t>
      </w:r>
      <w:r w:rsidRPr="00B95A78">
        <w:rPr>
          <w:i/>
          <w:iCs/>
          <w:noProof/>
          <w:sz w:val="20"/>
          <w:szCs w:val="20"/>
          <w:lang w:val="en-US"/>
        </w:rPr>
        <w:t>Acta Pharm. Sin. B</w:t>
      </w:r>
      <w:r w:rsidRPr="00B95A78">
        <w:rPr>
          <w:noProof/>
          <w:sz w:val="20"/>
          <w:szCs w:val="20"/>
          <w:lang w:val="en-US"/>
        </w:rPr>
        <w:t>, no. PG-, 2020, doi: https://doi.org/10.1016/j.apsb.2020.02.008.</w:t>
      </w:r>
    </w:p>
    <w:p w14:paraId="3B98C008"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[2]</w:t>
      </w:r>
      <w:r w:rsidRPr="00B95A78">
        <w:rPr>
          <w:noProof/>
          <w:sz w:val="20"/>
          <w:szCs w:val="20"/>
          <w:lang w:val="en-US"/>
        </w:rPr>
        <w:tab/>
        <w:t xml:space="preserve">P. B. Madrid </w:t>
      </w:r>
      <w:r w:rsidRPr="00B95A78">
        <w:rPr>
          <w:i/>
          <w:iCs/>
          <w:noProof/>
          <w:sz w:val="20"/>
          <w:szCs w:val="20"/>
          <w:lang w:val="en-US"/>
        </w:rPr>
        <w:t>et al.</w:t>
      </w:r>
      <w:r w:rsidRPr="00B95A78">
        <w:rPr>
          <w:noProof/>
          <w:sz w:val="20"/>
          <w:szCs w:val="20"/>
          <w:lang w:val="en-US"/>
        </w:rPr>
        <w:t xml:space="preserve">, “A Systematic Screen of FDA-Approved Drugs for Inhibitors of Biological Threat Agents,” </w:t>
      </w:r>
      <w:r w:rsidRPr="00B95A78">
        <w:rPr>
          <w:i/>
          <w:iCs/>
          <w:noProof/>
          <w:sz w:val="20"/>
          <w:szCs w:val="20"/>
          <w:lang w:val="en-US"/>
        </w:rPr>
        <w:t>PLoS One</w:t>
      </w:r>
      <w:r w:rsidRPr="00B95A78">
        <w:rPr>
          <w:noProof/>
          <w:sz w:val="20"/>
          <w:szCs w:val="20"/>
          <w:lang w:val="en-US"/>
        </w:rPr>
        <w:t>, vol. 8, no. 4, 2013, doi: 10.1371/journal.pone.0060579.</w:t>
      </w:r>
    </w:p>
    <w:p w14:paraId="6E0BD283"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[3]</w:t>
      </w:r>
      <w:r w:rsidRPr="00B95A78">
        <w:rPr>
          <w:noProof/>
          <w:sz w:val="20"/>
          <w:szCs w:val="20"/>
          <w:lang w:val="en-US"/>
        </w:rPr>
        <w:tab/>
        <w:t xml:space="preserve">A. H. De Wilde </w:t>
      </w:r>
      <w:r w:rsidRPr="00B95A78">
        <w:rPr>
          <w:i/>
          <w:iCs/>
          <w:noProof/>
          <w:sz w:val="20"/>
          <w:szCs w:val="20"/>
          <w:lang w:val="en-US"/>
        </w:rPr>
        <w:t>et al.</w:t>
      </w:r>
      <w:r w:rsidRPr="00B95A78">
        <w:rPr>
          <w:noProof/>
          <w:sz w:val="20"/>
          <w:szCs w:val="20"/>
          <w:lang w:val="en-US"/>
        </w:rPr>
        <w:t xml:space="preserve">, “Screening of an FDA-approved compound library identifies four small-molecule inhibitors of Middle East respiratory syndrome coronavirus replication in cell culture,” </w:t>
      </w:r>
      <w:r w:rsidRPr="00B95A78">
        <w:rPr>
          <w:i/>
          <w:iCs/>
          <w:noProof/>
          <w:sz w:val="20"/>
          <w:szCs w:val="20"/>
          <w:lang w:val="en-US"/>
        </w:rPr>
        <w:t>Antimicrob. Agents Chemother.</w:t>
      </w:r>
      <w:r w:rsidRPr="00B95A78">
        <w:rPr>
          <w:noProof/>
          <w:sz w:val="20"/>
          <w:szCs w:val="20"/>
          <w:lang w:val="en-US"/>
        </w:rPr>
        <w:t>, vol. 58, no. 8, pp. 4875–84, 2014, doi: 10.1128/AAC.03011-14.</w:t>
      </w:r>
    </w:p>
    <w:p w14:paraId="5697E319"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[4]</w:t>
      </w:r>
      <w:r w:rsidRPr="00B95A78">
        <w:rPr>
          <w:noProof/>
          <w:sz w:val="20"/>
          <w:szCs w:val="20"/>
          <w:lang w:val="en-US"/>
        </w:rPr>
        <w:tab/>
        <w:t xml:space="preserve">T. P. Sheahan </w:t>
      </w:r>
      <w:r w:rsidRPr="00B95A78">
        <w:rPr>
          <w:i/>
          <w:iCs/>
          <w:noProof/>
          <w:sz w:val="20"/>
          <w:szCs w:val="20"/>
          <w:lang w:val="en-US"/>
        </w:rPr>
        <w:t>et al.</w:t>
      </w:r>
      <w:r w:rsidRPr="00B95A78">
        <w:rPr>
          <w:noProof/>
          <w:sz w:val="20"/>
          <w:szCs w:val="20"/>
          <w:lang w:val="en-US"/>
        </w:rPr>
        <w:t xml:space="preserve">, “Comparative therapeutic efficacy of remdesivir and combination lopinavir, ritonavir, and interferon beta against MERS-CoV,” </w:t>
      </w:r>
      <w:r w:rsidRPr="00B95A78">
        <w:rPr>
          <w:i/>
          <w:iCs/>
          <w:noProof/>
          <w:sz w:val="20"/>
          <w:szCs w:val="20"/>
          <w:lang w:val="en-US"/>
        </w:rPr>
        <w:t>Nat. Commun.</w:t>
      </w:r>
      <w:r w:rsidRPr="00B95A78">
        <w:rPr>
          <w:noProof/>
          <w:sz w:val="20"/>
          <w:szCs w:val="20"/>
          <w:lang w:val="en-US"/>
        </w:rPr>
        <w:t>, vol. 11, no. 1, p. 222, 2020, doi: 10.1038/s41467-019-13940-6.</w:t>
      </w:r>
    </w:p>
    <w:p w14:paraId="1BF02B7F"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[5]</w:t>
      </w:r>
      <w:r w:rsidRPr="00B95A78">
        <w:rPr>
          <w:noProof/>
          <w:sz w:val="20"/>
          <w:szCs w:val="20"/>
          <w:lang w:val="en-US"/>
        </w:rPr>
        <w:tab/>
        <w:t xml:space="preserve">T. K. Warren </w:t>
      </w:r>
      <w:r w:rsidRPr="00B95A78">
        <w:rPr>
          <w:i/>
          <w:iCs/>
          <w:noProof/>
          <w:sz w:val="20"/>
          <w:szCs w:val="20"/>
          <w:lang w:val="en-US"/>
        </w:rPr>
        <w:t>et al.</w:t>
      </w:r>
      <w:r w:rsidRPr="00B95A78">
        <w:rPr>
          <w:noProof/>
          <w:sz w:val="20"/>
          <w:szCs w:val="20"/>
          <w:lang w:val="en-US"/>
        </w:rPr>
        <w:t xml:space="preserve">, “Protection against filovirus diseases by a novel broad-spectrum nucleoside analogue BCX4430,” </w:t>
      </w:r>
      <w:r w:rsidRPr="00B95A78">
        <w:rPr>
          <w:i/>
          <w:iCs/>
          <w:noProof/>
          <w:sz w:val="20"/>
          <w:szCs w:val="20"/>
          <w:lang w:val="en-US"/>
        </w:rPr>
        <w:t>Nature</w:t>
      </w:r>
      <w:r w:rsidRPr="00B95A78">
        <w:rPr>
          <w:noProof/>
          <w:sz w:val="20"/>
          <w:szCs w:val="20"/>
          <w:lang w:val="en-US"/>
        </w:rPr>
        <w:t>, vol. 508, no. 7496, pp. 402–5, 2014, doi: 10.1038/nature13027.</w:t>
      </w:r>
    </w:p>
    <w:p w14:paraId="67C172D0"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[6]</w:t>
      </w:r>
      <w:r w:rsidRPr="00B95A78">
        <w:rPr>
          <w:noProof/>
          <w:sz w:val="20"/>
          <w:szCs w:val="20"/>
          <w:lang w:val="en-US"/>
        </w:rPr>
        <w:tab/>
        <w:t xml:space="preserve">J. F. W. Chan </w:t>
      </w:r>
      <w:r w:rsidRPr="00B95A78">
        <w:rPr>
          <w:i/>
          <w:iCs/>
          <w:noProof/>
          <w:sz w:val="20"/>
          <w:szCs w:val="20"/>
          <w:lang w:val="en-US"/>
        </w:rPr>
        <w:t>et al.</w:t>
      </w:r>
      <w:r w:rsidRPr="00B95A78">
        <w:rPr>
          <w:noProof/>
          <w:sz w:val="20"/>
          <w:szCs w:val="20"/>
          <w:lang w:val="en-US"/>
        </w:rPr>
        <w:t xml:space="preserve">, “Treatment with lopinavir/ritonavir or interferon-β1b improves outcome of MERSCoV infection in a nonhuman primate model of common marmoset,” </w:t>
      </w:r>
      <w:r w:rsidRPr="00B95A78">
        <w:rPr>
          <w:i/>
          <w:iCs/>
          <w:noProof/>
          <w:sz w:val="20"/>
          <w:szCs w:val="20"/>
          <w:lang w:val="en-US"/>
        </w:rPr>
        <w:t>J. Infect. Dis.</w:t>
      </w:r>
      <w:r w:rsidRPr="00B95A78">
        <w:rPr>
          <w:noProof/>
          <w:sz w:val="20"/>
          <w:szCs w:val="20"/>
          <w:lang w:val="en-US"/>
        </w:rPr>
        <w:t>, vol. 212, no. 12, pp. 1904–1913, 2015, doi: 10.1093/infdis/jiv392.</w:t>
      </w:r>
    </w:p>
    <w:p w14:paraId="035E80F0"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[7]</w:t>
      </w:r>
      <w:r w:rsidRPr="00B95A78">
        <w:rPr>
          <w:noProof/>
          <w:sz w:val="20"/>
          <w:szCs w:val="20"/>
          <w:lang w:val="en-US"/>
        </w:rPr>
        <w:tab/>
        <w:t xml:space="preserve">U. J. Kim, E. J. Won, S. J. Kee, S. I. Jung, and H. C. Jang, “Combination therapy with lopinavir/ritonavir, ribavirin and interferon-a for Middle East respiratory syndrome,” </w:t>
      </w:r>
      <w:r w:rsidRPr="00B95A78">
        <w:rPr>
          <w:i/>
          <w:iCs/>
          <w:noProof/>
          <w:sz w:val="20"/>
          <w:szCs w:val="20"/>
          <w:lang w:val="en-US"/>
        </w:rPr>
        <w:t>Antivir. Ther.</w:t>
      </w:r>
      <w:r w:rsidRPr="00B95A78">
        <w:rPr>
          <w:noProof/>
          <w:sz w:val="20"/>
          <w:szCs w:val="20"/>
          <w:lang w:val="en-US"/>
        </w:rPr>
        <w:t>, vol. 21, no. 5, pp. 455–459, 2016, doi: 10.3851/IMP3002.</w:t>
      </w:r>
    </w:p>
    <w:p w14:paraId="5B8535D4"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[8]</w:t>
      </w:r>
      <w:r w:rsidRPr="00B95A78">
        <w:rPr>
          <w:noProof/>
          <w:sz w:val="20"/>
          <w:szCs w:val="20"/>
          <w:lang w:val="en-US"/>
        </w:rPr>
        <w:tab/>
        <w:t xml:space="preserve">S. C. Lin, C. T. Ho, W. H. Chuo, S. Li, T. T. Wang, and C. C. Lin, “Effective inhibition of MERS-CoV infection by resveratrol,” </w:t>
      </w:r>
      <w:r w:rsidRPr="00B95A78">
        <w:rPr>
          <w:i/>
          <w:iCs/>
          <w:noProof/>
          <w:sz w:val="20"/>
          <w:szCs w:val="20"/>
          <w:lang w:val="en-US"/>
        </w:rPr>
        <w:t>BMC Infect. Dis.</w:t>
      </w:r>
      <w:r w:rsidRPr="00B95A78">
        <w:rPr>
          <w:noProof/>
          <w:sz w:val="20"/>
          <w:szCs w:val="20"/>
          <w:lang w:val="en-US"/>
        </w:rPr>
        <w:t>, vol. 17, no. 1, p. 144, 2017, doi: 10.1186/s12879-017-2253-8.</w:t>
      </w:r>
    </w:p>
    <w:p w14:paraId="206EDA2A"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[9]</w:t>
      </w:r>
      <w:r w:rsidRPr="00B95A78">
        <w:rPr>
          <w:noProof/>
          <w:sz w:val="20"/>
          <w:szCs w:val="20"/>
          <w:lang w:val="en-US"/>
        </w:rPr>
        <w:tab/>
        <w:t xml:space="preserve">M. Wang </w:t>
      </w:r>
      <w:r w:rsidRPr="00B95A78">
        <w:rPr>
          <w:i/>
          <w:iCs/>
          <w:noProof/>
          <w:sz w:val="20"/>
          <w:szCs w:val="20"/>
          <w:lang w:val="en-US"/>
        </w:rPr>
        <w:t>et al.</w:t>
      </w:r>
      <w:r w:rsidRPr="00B95A78">
        <w:rPr>
          <w:noProof/>
          <w:sz w:val="20"/>
          <w:szCs w:val="20"/>
          <w:lang w:val="en-US"/>
        </w:rPr>
        <w:t xml:space="preserve">, “Remdesivir and chloroquine effectively inhibit the recently emerged novel coronavirus (2019-nCoV) in vitro,” </w:t>
      </w:r>
      <w:r w:rsidRPr="00B95A78">
        <w:rPr>
          <w:i/>
          <w:iCs/>
          <w:noProof/>
          <w:sz w:val="20"/>
          <w:szCs w:val="20"/>
          <w:lang w:val="en-US"/>
        </w:rPr>
        <w:t>Cell Res.</w:t>
      </w:r>
      <w:r w:rsidRPr="00B95A78">
        <w:rPr>
          <w:noProof/>
          <w:sz w:val="20"/>
          <w:szCs w:val="20"/>
          <w:lang w:val="en-US"/>
        </w:rPr>
        <w:t>, vol. 30, pp. 269–271, 2020, doi: 10.1038/s41422-020-0282-0.</w:t>
      </w:r>
    </w:p>
    <w:p w14:paraId="57B4300F"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[10]</w:t>
      </w:r>
      <w:r w:rsidRPr="00B95A78">
        <w:rPr>
          <w:noProof/>
          <w:sz w:val="20"/>
          <w:szCs w:val="20"/>
          <w:lang w:val="en-US"/>
        </w:rPr>
        <w:tab/>
        <w:t xml:space="preserve">K. Ito </w:t>
      </w:r>
      <w:r w:rsidRPr="00B95A78">
        <w:rPr>
          <w:i/>
          <w:iCs/>
          <w:noProof/>
          <w:sz w:val="20"/>
          <w:szCs w:val="20"/>
          <w:lang w:val="en-US"/>
        </w:rPr>
        <w:t>et al.</w:t>
      </w:r>
      <w:r w:rsidRPr="00B95A78">
        <w:rPr>
          <w:noProof/>
          <w:sz w:val="20"/>
          <w:szCs w:val="20"/>
          <w:lang w:val="en-US"/>
        </w:rPr>
        <w:t xml:space="preserve">, “Geographic distribution and characteristics of genotype A hepatitis B virus infection in acute and chronic hepatitis B patients in Japan,” </w:t>
      </w:r>
      <w:r w:rsidRPr="00B95A78">
        <w:rPr>
          <w:i/>
          <w:iCs/>
          <w:noProof/>
          <w:sz w:val="20"/>
          <w:szCs w:val="20"/>
          <w:lang w:val="en-US"/>
        </w:rPr>
        <w:t>J. Gastroenterol. Hepatol.</w:t>
      </w:r>
      <w:r w:rsidRPr="00B95A78">
        <w:rPr>
          <w:noProof/>
          <w:sz w:val="20"/>
          <w:szCs w:val="20"/>
          <w:lang w:val="en-US"/>
        </w:rPr>
        <w:t>, vol. 31, no. 1, pp. 180–9, 2016, doi: 10.1111/jgh.13030.</w:t>
      </w:r>
    </w:p>
    <w:p w14:paraId="36A48F22"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lastRenderedPageBreak/>
        <w:t>[11]</w:t>
      </w:r>
      <w:r w:rsidRPr="00B95A78">
        <w:rPr>
          <w:noProof/>
          <w:sz w:val="20"/>
          <w:szCs w:val="20"/>
          <w:lang w:val="en-US"/>
        </w:rPr>
        <w:tab/>
        <w:t xml:space="preserve">G. Li and E. De Clercq, “Therapeutic options for the 2019 novel coronavirus (2019-nCoV),” </w:t>
      </w:r>
      <w:r w:rsidRPr="00B95A78">
        <w:rPr>
          <w:i/>
          <w:iCs/>
          <w:noProof/>
          <w:sz w:val="20"/>
          <w:szCs w:val="20"/>
          <w:lang w:val="en-US"/>
        </w:rPr>
        <w:t>Nat. Rev. Drug Discov.</w:t>
      </w:r>
      <w:r w:rsidRPr="00B95A78">
        <w:rPr>
          <w:noProof/>
          <w:sz w:val="20"/>
          <w:szCs w:val="20"/>
          <w:lang w:val="en-US"/>
        </w:rPr>
        <w:t>, vol. 19, pp. 149–150, 2020, doi: 10.1038/d41573-020-00016-0.</w:t>
      </w:r>
    </w:p>
    <w:p w14:paraId="6213E377"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[12]</w:t>
      </w:r>
      <w:r w:rsidRPr="00B95A78">
        <w:rPr>
          <w:noProof/>
          <w:sz w:val="20"/>
          <w:szCs w:val="20"/>
          <w:lang w:val="en-US"/>
        </w:rPr>
        <w:tab/>
        <w:t xml:space="preserve">M. L. Agostini </w:t>
      </w:r>
      <w:r w:rsidRPr="00B95A78">
        <w:rPr>
          <w:i/>
          <w:iCs/>
          <w:noProof/>
          <w:sz w:val="20"/>
          <w:szCs w:val="20"/>
          <w:lang w:val="en-US"/>
        </w:rPr>
        <w:t>et al.</w:t>
      </w:r>
      <w:r w:rsidRPr="00B95A78">
        <w:rPr>
          <w:noProof/>
          <w:sz w:val="20"/>
          <w:szCs w:val="20"/>
          <w:lang w:val="en-US"/>
        </w:rPr>
        <w:t xml:space="preserve">, “Coronavirus susceptibility to the antiviral remdesivir (GS-5734) is mediated by the viral polymerase and the proofreading exoribonuclease,” </w:t>
      </w:r>
      <w:r w:rsidRPr="00B95A78">
        <w:rPr>
          <w:i/>
          <w:iCs/>
          <w:noProof/>
          <w:sz w:val="20"/>
          <w:szCs w:val="20"/>
          <w:lang w:val="en-US"/>
        </w:rPr>
        <w:t>MBio</w:t>
      </w:r>
      <w:r w:rsidRPr="00B95A78">
        <w:rPr>
          <w:noProof/>
          <w:sz w:val="20"/>
          <w:szCs w:val="20"/>
          <w:lang w:val="en-US"/>
        </w:rPr>
        <w:t>, vol. 9, no. 2, 2018, doi: 10.1128/mBio.00221-18.</w:t>
      </w:r>
    </w:p>
    <w:p w14:paraId="300A3D73"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[13]</w:t>
      </w:r>
      <w:r w:rsidRPr="00B95A78">
        <w:rPr>
          <w:noProof/>
          <w:sz w:val="20"/>
          <w:szCs w:val="20"/>
          <w:lang w:val="en-US"/>
        </w:rPr>
        <w:tab/>
        <w:t xml:space="preserve">T. P. Sheahan </w:t>
      </w:r>
      <w:r w:rsidRPr="00B95A78">
        <w:rPr>
          <w:i/>
          <w:iCs/>
          <w:noProof/>
          <w:sz w:val="20"/>
          <w:szCs w:val="20"/>
          <w:lang w:val="en-US"/>
        </w:rPr>
        <w:t>et al.</w:t>
      </w:r>
      <w:r w:rsidRPr="00B95A78">
        <w:rPr>
          <w:noProof/>
          <w:sz w:val="20"/>
          <w:szCs w:val="20"/>
          <w:lang w:val="en-US"/>
        </w:rPr>
        <w:t xml:space="preserve">, “Broad-spectrum antiviral GS-5734 inhibits both epidemic and zoonotic coronaviruses,” </w:t>
      </w:r>
      <w:r w:rsidRPr="00B95A78">
        <w:rPr>
          <w:i/>
          <w:iCs/>
          <w:noProof/>
          <w:sz w:val="20"/>
          <w:szCs w:val="20"/>
          <w:lang w:val="en-US"/>
        </w:rPr>
        <w:t>Sci. Transl. Med.</w:t>
      </w:r>
      <w:r w:rsidRPr="00B95A78">
        <w:rPr>
          <w:noProof/>
          <w:sz w:val="20"/>
          <w:szCs w:val="20"/>
          <w:lang w:val="en-US"/>
        </w:rPr>
        <w:t>, vol. 9, no. 396, 2017, doi: 10.1126/scitranslmed.aal3653.</w:t>
      </w:r>
    </w:p>
    <w:p w14:paraId="13E429DD"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[14]</w:t>
      </w:r>
      <w:r w:rsidRPr="00B95A78">
        <w:rPr>
          <w:noProof/>
          <w:sz w:val="20"/>
          <w:szCs w:val="20"/>
          <w:lang w:val="en-US"/>
        </w:rPr>
        <w:tab/>
        <w:t xml:space="preserve">A. J. Brown </w:t>
      </w:r>
      <w:r w:rsidRPr="00B95A78">
        <w:rPr>
          <w:i/>
          <w:iCs/>
          <w:noProof/>
          <w:sz w:val="20"/>
          <w:szCs w:val="20"/>
          <w:lang w:val="en-US"/>
        </w:rPr>
        <w:t>et al.</w:t>
      </w:r>
      <w:r w:rsidRPr="00B95A78">
        <w:rPr>
          <w:noProof/>
          <w:sz w:val="20"/>
          <w:szCs w:val="20"/>
          <w:lang w:val="en-US"/>
        </w:rPr>
        <w:t xml:space="preserve">, “Broad spectrum antiviral remdesivir inhibits human endemic and zoonotic deltacoronaviruses with a highly divergent RNA dependent RNA polymerase,” </w:t>
      </w:r>
      <w:r w:rsidRPr="00B95A78">
        <w:rPr>
          <w:i/>
          <w:iCs/>
          <w:noProof/>
          <w:sz w:val="20"/>
          <w:szCs w:val="20"/>
          <w:lang w:val="en-US"/>
        </w:rPr>
        <w:t>Antiviral Res.</w:t>
      </w:r>
      <w:r w:rsidRPr="00B95A78">
        <w:rPr>
          <w:noProof/>
          <w:sz w:val="20"/>
          <w:szCs w:val="20"/>
          <w:lang w:val="en-US"/>
        </w:rPr>
        <w:t>, vol. 169, 2019, doi: 10.1016/j.antiviral.2019.104541.</w:t>
      </w:r>
    </w:p>
    <w:p w14:paraId="3326C8E5"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[15]</w:t>
      </w:r>
      <w:r w:rsidRPr="00B95A78">
        <w:rPr>
          <w:noProof/>
          <w:sz w:val="20"/>
          <w:szCs w:val="20"/>
          <w:lang w:val="en-US"/>
        </w:rPr>
        <w:tab/>
        <w:t xml:space="preserve">M. H. Lin </w:t>
      </w:r>
      <w:r w:rsidRPr="00B95A78">
        <w:rPr>
          <w:i/>
          <w:iCs/>
          <w:noProof/>
          <w:sz w:val="20"/>
          <w:szCs w:val="20"/>
          <w:lang w:val="en-US"/>
        </w:rPr>
        <w:t>et al.</w:t>
      </w:r>
      <w:r w:rsidRPr="00B95A78">
        <w:rPr>
          <w:noProof/>
          <w:sz w:val="20"/>
          <w:szCs w:val="20"/>
          <w:lang w:val="en-US"/>
        </w:rPr>
        <w:t xml:space="preserve">, “Disulfiram can inhibit MERS and SARS coronavirus papain-like proteases via different modes,” </w:t>
      </w:r>
      <w:r w:rsidRPr="00B95A78">
        <w:rPr>
          <w:i/>
          <w:iCs/>
          <w:noProof/>
          <w:sz w:val="20"/>
          <w:szCs w:val="20"/>
          <w:lang w:val="en-US"/>
        </w:rPr>
        <w:t>Antiviral Res.</w:t>
      </w:r>
      <w:r w:rsidRPr="00B95A78">
        <w:rPr>
          <w:noProof/>
          <w:sz w:val="20"/>
          <w:szCs w:val="20"/>
          <w:lang w:val="en-US"/>
        </w:rPr>
        <w:t>, vol. 150, pp. 155–163, 2018, doi: 10.1016/j.antiviral.2017.12.015.</w:t>
      </w:r>
    </w:p>
    <w:p w14:paraId="71F5C936"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[16]</w:t>
      </w:r>
      <w:r w:rsidRPr="00B95A78">
        <w:rPr>
          <w:noProof/>
          <w:sz w:val="20"/>
          <w:szCs w:val="20"/>
          <w:lang w:val="en-US"/>
        </w:rPr>
        <w:tab/>
        <w:t xml:space="preserve">D. Falzarano </w:t>
      </w:r>
      <w:r w:rsidRPr="00B95A78">
        <w:rPr>
          <w:i/>
          <w:iCs/>
          <w:noProof/>
          <w:sz w:val="20"/>
          <w:szCs w:val="20"/>
          <w:lang w:val="en-US"/>
        </w:rPr>
        <w:t>et al.</w:t>
      </w:r>
      <w:r w:rsidRPr="00B95A78">
        <w:rPr>
          <w:noProof/>
          <w:sz w:val="20"/>
          <w:szCs w:val="20"/>
          <w:lang w:val="en-US"/>
        </w:rPr>
        <w:t xml:space="preserve">, “Treatment with interferon-α2b and ribavirin improves outcome in MERS-CoV-infected rhesus macaques,” </w:t>
      </w:r>
      <w:r w:rsidRPr="00B95A78">
        <w:rPr>
          <w:i/>
          <w:iCs/>
          <w:noProof/>
          <w:sz w:val="20"/>
          <w:szCs w:val="20"/>
          <w:lang w:val="en-US"/>
        </w:rPr>
        <w:t>Nat. Med.</w:t>
      </w:r>
      <w:r w:rsidRPr="00B95A78">
        <w:rPr>
          <w:noProof/>
          <w:sz w:val="20"/>
          <w:szCs w:val="20"/>
          <w:lang w:val="en-US"/>
        </w:rPr>
        <w:t>, vol. 19, no. 10, 2013, doi: 10.1038/nm.3362.</w:t>
      </w:r>
    </w:p>
    <w:p w14:paraId="7D351C84"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[17]</w:t>
      </w:r>
      <w:r w:rsidRPr="00B95A78">
        <w:rPr>
          <w:noProof/>
          <w:sz w:val="20"/>
          <w:szCs w:val="20"/>
          <w:lang w:val="en-US"/>
        </w:rPr>
        <w:tab/>
        <w:t xml:space="preserve">S. Shalhoub </w:t>
      </w:r>
      <w:r w:rsidRPr="00B95A78">
        <w:rPr>
          <w:i/>
          <w:iCs/>
          <w:noProof/>
          <w:sz w:val="20"/>
          <w:szCs w:val="20"/>
          <w:lang w:val="en-US"/>
        </w:rPr>
        <w:t>et al.</w:t>
      </w:r>
      <w:r w:rsidRPr="00B95A78">
        <w:rPr>
          <w:noProof/>
          <w:sz w:val="20"/>
          <w:szCs w:val="20"/>
          <w:lang w:val="en-US"/>
        </w:rPr>
        <w:t xml:space="preserve">, “IFN-α2a or IFN-β1a in combination with ribavirin to treat Middle East respiratory syndrome coronavirus pneumonia: A retrospective study,” </w:t>
      </w:r>
      <w:r w:rsidRPr="00B95A78">
        <w:rPr>
          <w:i/>
          <w:iCs/>
          <w:noProof/>
          <w:sz w:val="20"/>
          <w:szCs w:val="20"/>
          <w:lang w:val="en-US"/>
        </w:rPr>
        <w:t>J. Antimicrob. Chemother.</w:t>
      </w:r>
      <w:r w:rsidRPr="00B95A78">
        <w:rPr>
          <w:noProof/>
          <w:sz w:val="20"/>
          <w:szCs w:val="20"/>
          <w:lang w:val="en-US"/>
        </w:rPr>
        <w:t>, vol. 70, no. 7, 2015, doi: 10.1093/jac/dkv085.</w:t>
      </w:r>
    </w:p>
    <w:p w14:paraId="7993F68D"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[18]</w:t>
      </w:r>
      <w:r w:rsidRPr="00B95A78">
        <w:rPr>
          <w:noProof/>
          <w:sz w:val="20"/>
          <w:szCs w:val="20"/>
          <w:lang w:val="en-US"/>
        </w:rPr>
        <w:tab/>
        <w:t xml:space="preserve">J. A. Al-Tawfiq, H. Momattin, J. Dib, and Z. A. Memish, “Ribavirin and interferon therapy in patients infected with the Middle East respiratory syndrome coronavirus: An observational study,” </w:t>
      </w:r>
      <w:r w:rsidRPr="00B95A78">
        <w:rPr>
          <w:i/>
          <w:iCs/>
          <w:noProof/>
          <w:sz w:val="20"/>
          <w:szCs w:val="20"/>
          <w:lang w:val="en-US"/>
        </w:rPr>
        <w:t>Int. J. Infect. Dis.</w:t>
      </w:r>
      <w:r w:rsidRPr="00B95A78">
        <w:rPr>
          <w:noProof/>
          <w:sz w:val="20"/>
          <w:szCs w:val="20"/>
          <w:lang w:val="en-US"/>
        </w:rPr>
        <w:t>, vol. 20, pp. 42–6, 2014, doi: 10.1016/j.ijid.2013.12.003.</w:t>
      </w:r>
    </w:p>
    <w:p w14:paraId="3C667024"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[19]</w:t>
      </w:r>
      <w:r w:rsidRPr="00B95A78">
        <w:rPr>
          <w:noProof/>
          <w:sz w:val="20"/>
          <w:szCs w:val="20"/>
          <w:lang w:val="en-US"/>
        </w:rPr>
        <w:tab/>
        <w:t xml:space="preserve">J. F. W. Chan </w:t>
      </w:r>
      <w:r w:rsidRPr="00B95A78">
        <w:rPr>
          <w:i/>
          <w:iCs/>
          <w:noProof/>
          <w:sz w:val="20"/>
          <w:szCs w:val="20"/>
          <w:lang w:val="en-US"/>
        </w:rPr>
        <w:t>et al.</w:t>
      </w:r>
      <w:r w:rsidRPr="00B95A78">
        <w:rPr>
          <w:noProof/>
          <w:sz w:val="20"/>
          <w:szCs w:val="20"/>
          <w:lang w:val="en-US"/>
        </w:rPr>
        <w:t xml:space="preserve">, “Broad-spectrum antivirals for the emerging Middle East respiratory syndrome coronavirus,” </w:t>
      </w:r>
      <w:r w:rsidRPr="00B95A78">
        <w:rPr>
          <w:i/>
          <w:iCs/>
          <w:noProof/>
          <w:sz w:val="20"/>
          <w:szCs w:val="20"/>
          <w:lang w:val="en-US"/>
        </w:rPr>
        <w:t>J. Infect.</w:t>
      </w:r>
      <w:r w:rsidRPr="00B95A78">
        <w:rPr>
          <w:noProof/>
          <w:sz w:val="20"/>
          <w:szCs w:val="20"/>
          <w:lang w:val="en-US"/>
        </w:rPr>
        <w:t>, vol. 67, no. 6, pp. 606–16, 2013, doi: 10.1016/j.jinf.2013.09.029.</w:t>
      </w:r>
    </w:p>
    <w:p w14:paraId="40E8E4BA" w14:textId="77777777" w:rsidR="00B95A78" w:rsidRPr="00B95A78" w:rsidRDefault="00B95A78" w:rsidP="00B95A78">
      <w:pPr>
        <w:widowControl w:val="0"/>
        <w:autoSpaceDE w:val="0"/>
        <w:autoSpaceDN w:val="0"/>
        <w:adjustRightInd w:val="0"/>
        <w:ind w:left="640" w:hanging="640"/>
        <w:rPr>
          <w:noProof/>
          <w:sz w:val="20"/>
          <w:szCs w:val="20"/>
          <w:lang w:val="en-US"/>
        </w:rPr>
      </w:pPr>
      <w:r w:rsidRPr="00B95A78">
        <w:rPr>
          <w:noProof/>
          <w:sz w:val="20"/>
          <w:szCs w:val="20"/>
          <w:lang w:val="en-US"/>
        </w:rPr>
        <w:t>[20]</w:t>
      </w:r>
      <w:r w:rsidRPr="00B95A78">
        <w:rPr>
          <w:noProof/>
          <w:sz w:val="20"/>
          <w:szCs w:val="20"/>
          <w:lang w:val="en-US"/>
        </w:rPr>
        <w:tab/>
        <w:t xml:space="preserve">A. S. Omrani </w:t>
      </w:r>
      <w:r w:rsidRPr="00B95A78">
        <w:rPr>
          <w:i/>
          <w:iCs/>
          <w:noProof/>
          <w:sz w:val="20"/>
          <w:szCs w:val="20"/>
          <w:lang w:val="en-US"/>
        </w:rPr>
        <w:t>et al.</w:t>
      </w:r>
      <w:r w:rsidRPr="00B95A78">
        <w:rPr>
          <w:noProof/>
          <w:sz w:val="20"/>
          <w:szCs w:val="20"/>
          <w:lang w:val="en-US"/>
        </w:rPr>
        <w:t xml:space="preserve">, “Ribavirin and interferon alfa-2a for severe Middle East respiratory syndrome coronavirus infection: A retrospective cohort study,” </w:t>
      </w:r>
      <w:r w:rsidRPr="00B95A78">
        <w:rPr>
          <w:i/>
          <w:iCs/>
          <w:noProof/>
          <w:sz w:val="20"/>
          <w:szCs w:val="20"/>
          <w:lang w:val="en-US"/>
        </w:rPr>
        <w:t>Lancet Infect. Dis.</w:t>
      </w:r>
      <w:r w:rsidRPr="00B95A78">
        <w:rPr>
          <w:noProof/>
          <w:sz w:val="20"/>
          <w:szCs w:val="20"/>
          <w:lang w:val="en-US"/>
        </w:rPr>
        <w:t>, vol. 14, no. 11, pp. 1090–1095, 2014, doi: 10.1016/S1473-3099(14)70920-X.</w:t>
      </w:r>
    </w:p>
    <w:p w14:paraId="419B90A2" w14:textId="77777777" w:rsidR="00B95A78" w:rsidRPr="00B95A78" w:rsidRDefault="00B95A78" w:rsidP="00B95A78">
      <w:pPr>
        <w:widowControl w:val="0"/>
        <w:autoSpaceDE w:val="0"/>
        <w:autoSpaceDN w:val="0"/>
        <w:adjustRightInd w:val="0"/>
        <w:ind w:left="640" w:hanging="640"/>
        <w:rPr>
          <w:noProof/>
          <w:sz w:val="20"/>
          <w:szCs w:val="20"/>
        </w:rPr>
      </w:pPr>
      <w:r w:rsidRPr="00B95A78">
        <w:rPr>
          <w:noProof/>
          <w:sz w:val="20"/>
          <w:szCs w:val="20"/>
          <w:lang w:val="en-US"/>
        </w:rPr>
        <w:t>[21]</w:t>
      </w:r>
      <w:r w:rsidRPr="00B95A78">
        <w:rPr>
          <w:noProof/>
          <w:sz w:val="20"/>
          <w:szCs w:val="20"/>
          <w:lang w:val="en-US"/>
        </w:rPr>
        <w:tab/>
        <w:t xml:space="preserve">Y. M. Arabi </w:t>
      </w:r>
      <w:r w:rsidRPr="00B95A78">
        <w:rPr>
          <w:i/>
          <w:iCs/>
          <w:noProof/>
          <w:sz w:val="20"/>
          <w:szCs w:val="20"/>
          <w:lang w:val="en-US"/>
        </w:rPr>
        <w:t>et al.</w:t>
      </w:r>
      <w:r w:rsidRPr="00B95A78">
        <w:rPr>
          <w:noProof/>
          <w:sz w:val="20"/>
          <w:szCs w:val="20"/>
          <w:lang w:val="en-US"/>
        </w:rPr>
        <w:t xml:space="preserve">, “Treatment of Middle East Respiratory Syndrome with a combination of lopinavir-ritonavir and interferon-β1b (MIRACLE trial): Study protocol for a randomized controlled trial,” </w:t>
      </w:r>
      <w:r w:rsidRPr="00B95A78">
        <w:rPr>
          <w:i/>
          <w:iCs/>
          <w:noProof/>
          <w:sz w:val="20"/>
          <w:szCs w:val="20"/>
          <w:lang w:val="en-US"/>
        </w:rPr>
        <w:t>Trials</w:t>
      </w:r>
      <w:r w:rsidRPr="00B95A78">
        <w:rPr>
          <w:noProof/>
          <w:sz w:val="20"/>
          <w:szCs w:val="20"/>
          <w:lang w:val="en-US"/>
        </w:rPr>
        <w:t>, vol. 19, no. 1, 2018, doi: 10.1186/s13063-017-2427-0.</w:t>
      </w:r>
    </w:p>
    <w:p w14:paraId="6726F808" w14:textId="08086142" w:rsidR="00752AC4" w:rsidRPr="00B95A78" w:rsidRDefault="00B95A78" w:rsidP="00B95A78">
      <w:pPr>
        <w:widowControl w:val="0"/>
        <w:autoSpaceDE w:val="0"/>
        <w:autoSpaceDN w:val="0"/>
        <w:adjustRightInd w:val="0"/>
        <w:ind w:left="640" w:hanging="640"/>
        <w:rPr>
          <w:sz w:val="20"/>
          <w:szCs w:val="20"/>
        </w:rPr>
      </w:pPr>
      <w:r w:rsidRPr="00B95A78">
        <w:rPr>
          <w:sz w:val="20"/>
          <w:szCs w:val="20"/>
        </w:rPr>
        <w:fldChar w:fldCharType="end"/>
      </w:r>
    </w:p>
    <w:sectPr w:rsidR="00752AC4" w:rsidRPr="00B95A7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CC333C"/>
    <w:multiLevelType w:val="hybridMultilevel"/>
    <w:tmpl w:val="C84CB6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FC2245"/>
    <w:multiLevelType w:val="hybridMultilevel"/>
    <w:tmpl w:val="F35CB0DA"/>
    <w:lvl w:ilvl="0" w:tplc="37D43072">
      <w:start w:val="1"/>
      <w:numFmt w:val="bullet"/>
      <w:lvlText w:val="•"/>
      <w:lvlJc w:val="left"/>
      <w:pPr>
        <w:tabs>
          <w:tab w:val="num" w:pos="720"/>
        </w:tabs>
        <w:ind w:left="720" w:hanging="360"/>
      </w:pPr>
      <w:rPr>
        <w:rFonts w:ascii="Arial" w:hAnsi="Arial" w:hint="default"/>
      </w:rPr>
    </w:lvl>
    <w:lvl w:ilvl="1" w:tplc="0EFE9BF6" w:tentative="1">
      <w:start w:val="1"/>
      <w:numFmt w:val="bullet"/>
      <w:lvlText w:val="•"/>
      <w:lvlJc w:val="left"/>
      <w:pPr>
        <w:tabs>
          <w:tab w:val="num" w:pos="1440"/>
        </w:tabs>
        <w:ind w:left="1440" w:hanging="360"/>
      </w:pPr>
      <w:rPr>
        <w:rFonts w:ascii="Arial" w:hAnsi="Arial" w:hint="default"/>
      </w:rPr>
    </w:lvl>
    <w:lvl w:ilvl="2" w:tplc="CF964F8E" w:tentative="1">
      <w:start w:val="1"/>
      <w:numFmt w:val="bullet"/>
      <w:lvlText w:val="•"/>
      <w:lvlJc w:val="left"/>
      <w:pPr>
        <w:tabs>
          <w:tab w:val="num" w:pos="2160"/>
        </w:tabs>
        <w:ind w:left="2160" w:hanging="360"/>
      </w:pPr>
      <w:rPr>
        <w:rFonts w:ascii="Arial" w:hAnsi="Arial" w:hint="default"/>
      </w:rPr>
    </w:lvl>
    <w:lvl w:ilvl="3" w:tplc="53CAFC26" w:tentative="1">
      <w:start w:val="1"/>
      <w:numFmt w:val="bullet"/>
      <w:lvlText w:val="•"/>
      <w:lvlJc w:val="left"/>
      <w:pPr>
        <w:tabs>
          <w:tab w:val="num" w:pos="2880"/>
        </w:tabs>
        <w:ind w:left="2880" w:hanging="360"/>
      </w:pPr>
      <w:rPr>
        <w:rFonts w:ascii="Arial" w:hAnsi="Arial" w:hint="default"/>
      </w:rPr>
    </w:lvl>
    <w:lvl w:ilvl="4" w:tplc="F63A9654" w:tentative="1">
      <w:start w:val="1"/>
      <w:numFmt w:val="bullet"/>
      <w:lvlText w:val="•"/>
      <w:lvlJc w:val="left"/>
      <w:pPr>
        <w:tabs>
          <w:tab w:val="num" w:pos="3600"/>
        </w:tabs>
        <w:ind w:left="3600" w:hanging="360"/>
      </w:pPr>
      <w:rPr>
        <w:rFonts w:ascii="Arial" w:hAnsi="Arial" w:hint="default"/>
      </w:rPr>
    </w:lvl>
    <w:lvl w:ilvl="5" w:tplc="A768CE0E" w:tentative="1">
      <w:start w:val="1"/>
      <w:numFmt w:val="bullet"/>
      <w:lvlText w:val="•"/>
      <w:lvlJc w:val="left"/>
      <w:pPr>
        <w:tabs>
          <w:tab w:val="num" w:pos="4320"/>
        </w:tabs>
        <w:ind w:left="4320" w:hanging="360"/>
      </w:pPr>
      <w:rPr>
        <w:rFonts w:ascii="Arial" w:hAnsi="Arial" w:hint="default"/>
      </w:rPr>
    </w:lvl>
    <w:lvl w:ilvl="6" w:tplc="ABDA643C" w:tentative="1">
      <w:start w:val="1"/>
      <w:numFmt w:val="bullet"/>
      <w:lvlText w:val="•"/>
      <w:lvlJc w:val="left"/>
      <w:pPr>
        <w:tabs>
          <w:tab w:val="num" w:pos="5040"/>
        </w:tabs>
        <w:ind w:left="5040" w:hanging="360"/>
      </w:pPr>
      <w:rPr>
        <w:rFonts w:ascii="Arial" w:hAnsi="Arial" w:hint="default"/>
      </w:rPr>
    </w:lvl>
    <w:lvl w:ilvl="7" w:tplc="CBAAD126" w:tentative="1">
      <w:start w:val="1"/>
      <w:numFmt w:val="bullet"/>
      <w:lvlText w:val="•"/>
      <w:lvlJc w:val="left"/>
      <w:pPr>
        <w:tabs>
          <w:tab w:val="num" w:pos="5760"/>
        </w:tabs>
        <w:ind w:left="5760" w:hanging="360"/>
      </w:pPr>
      <w:rPr>
        <w:rFonts w:ascii="Arial" w:hAnsi="Arial" w:hint="default"/>
      </w:rPr>
    </w:lvl>
    <w:lvl w:ilvl="8" w:tplc="3DE25A4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4B759B8"/>
    <w:multiLevelType w:val="hybridMultilevel"/>
    <w:tmpl w:val="6E702A02"/>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17B64477"/>
    <w:multiLevelType w:val="hybridMultilevel"/>
    <w:tmpl w:val="922E76B8"/>
    <w:lvl w:ilvl="0" w:tplc="F114344E">
      <w:start w:val="1"/>
      <w:numFmt w:val="bullet"/>
      <w:lvlText w:val="•"/>
      <w:lvlJc w:val="left"/>
      <w:pPr>
        <w:tabs>
          <w:tab w:val="num" w:pos="720"/>
        </w:tabs>
        <w:ind w:left="720" w:hanging="360"/>
      </w:pPr>
      <w:rPr>
        <w:rFonts w:ascii="Arial" w:hAnsi="Arial" w:hint="default"/>
      </w:rPr>
    </w:lvl>
    <w:lvl w:ilvl="1" w:tplc="1D4E929E" w:tentative="1">
      <w:start w:val="1"/>
      <w:numFmt w:val="bullet"/>
      <w:lvlText w:val="•"/>
      <w:lvlJc w:val="left"/>
      <w:pPr>
        <w:tabs>
          <w:tab w:val="num" w:pos="1440"/>
        </w:tabs>
        <w:ind w:left="1440" w:hanging="360"/>
      </w:pPr>
      <w:rPr>
        <w:rFonts w:ascii="Arial" w:hAnsi="Arial" w:hint="default"/>
      </w:rPr>
    </w:lvl>
    <w:lvl w:ilvl="2" w:tplc="225EC44A" w:tentative="1">
      <w:start w:val="1"/>
      <w:numFmt w:val="bullet"/>
      <w:lvlText w:val="•"/>
      <w:lvlJc w:val="left"/>
      <w:pPr>
        <w:tabs>
          <w:tab w:val="num" w:pos="2160"/>
        </w:tabs>
        <w:ind w:left="2160" w:hanging="360"/>
      </w:pPr>
      <w:rPr>
        <w:rFonts w:ascii="Arial" w:hAnsi="Arial" w:hint="default"/>
      </w:rPr>
    </w:lvl>
    <w:lvl w:ilvl="3" w:tplc="EA987EAC" w:tentative="1">
      <w:start w:val="1"/>
      <w:numFmt w:val="bullet"/>
      <w:lvlText w:val="•"/>
      <w:lvlJc w:val="left"/>
      <w:pPr>
        <w:tabs>
          <w:tab w:val="num" w:pos="2880"/>
        </w:tabs>
        <w:ind w:left="2880" w:hanging="360"/>
      </w:pPr>
      <w:rPr>
        <w:rFonts w:ascii="Arial" w:hAnsi="Arial" w:hint="default"/>
      </w:rPr>
    </w:lvl>
    <w:lvl w:ilvl="4" w:tplc="FB9AEC96" w:tentative="1">
      <w:start w:val="1"/>
      <w:numFmt w:val="bullet"/>
      <w:lvlText w:val="•"/>
      <w:lvlJc w:val="left"/>
      <w:pPr>
        <w:tabs>
          <w:tab w:val="num" w:pos="3600"/>
        </w:tabs>
        <w:ind w:left="3600" w:hanging="360"/>
      </w:pPr>
      <w:rPr>
        <w:rFonts w:ascii="Arial" w:hAnsi="Arial" w:hint="default"/>
      </w:rPr>
    </w:lvl>
    <w:lvl w:ilvl="5" w:tplc="C8A4B87C" w:tentative="1">
      <w:start w:val="1"/>
      <w:numFmt w:val="bullet"/>
      <w:lvlText w:val="•"/>
      <w:lvlJc w:val="left"/>
      <w:pPr>
        <w:tabs>
          <w:tab w:val="num" w:pos="4320"/>
        </w:tabs>
        <w:ind w:left="4320" w:hanging="360"/>
      </w:pPr>
      <w:rPr>
        <w:rFonts w:ascii="Arial" w:hAnsi="Arial" w:hint="default"/>
      </w:rPr>
    </w:lvl>
    <w:lvl w:ilvl="6" w:tplc="0A384404" w:tentative="1">
      <w:start w:val="1"/>
      <w:numFmt w:val="bullet"/>
      <w:lvlText w:val="•"/>
      <w:lvlJc w:val="left"/>
      <w:pPr>
        <w:tabs>
          <w:tab w:val="num" w:pos="5040"/>
        </w:tabs>
        <w:ind w:left="5040" w:hanging="360"/>
      </w:pPr>
      <w:rPr>
        <w:rFonts w:ascii="Arial" w:hAnsi="Arial" w:hint="default"/>
      </w:rPr>
    </w:lvl>
    <w:lvl w:ilvl="7" w:tplc="AAC6166C" w:tentative="1">
      <w:start w:val="1"/>
      <w:numFmt w:val="bullet"/>
      <w:lvlText w:val="•"/>
      <w:lvlJc w:val="left"/>
      <w:pPr>
        <w:tabs>
          <w:tab w:val="num" w:pos="5760"/>
        </w:tabs>
        <w:ind w:left="5760" w:hanging="360"/>
      </w:pPr>
      <w:rPr>
        <w:rFonts w:ascii="Arial" w:hAnsi="Arial" w:hint="default"/>
      </w:rPr>
    </w:lvl>
    <w:lvl w:ilvl="8" w:tplc="8368A57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3A06A9B"/>
    <w:multiLevelType w:val="hybridMultilevel"/>
    <w:tmpl w:val="E83262B8"/>
    <w:lvl w:ilvl="0" w:tplc="5F1AF05E">
      <w:start w:val="1"/>
      <w:numFmt w:val="decimal"/>
      <w:lvlText w:val="%1."/>
      <w:lvlJc w:val="left"/>
      <w:pPr>
        <w:ind w:left="480" w:hanging="420"/>
      </w:pPr>
      <w:rPr>
        <w:rFonts w:hint="default"/>
        <w:color w:val="000000"/>
        <w:sz w:val="20"/>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28E217AE"/>
    <w:multiLevelType w:val="hybridMultilevel"/>
    <w:tmpl w:val="694C25F4"/>
    <w:lvl w:ilvl="0" w:tplc="73FE3226">
      <w:start w:val="1"/>
      <w:numFmt w:val="bullet"/>
      <w:lvlText w:val="•"/>
      <w:lvlJc w:val="left"/>
      <w:pPr>
        <w:tabs>
          <w:tab w:val="num" w:pos="720"/>
        </w:tabs>
        <w:ind w:left="720" w:hanging="360"/>
      </w:pPr>
      <w:rPr>
        <w:rFonts w:ascii="Arial" w:hAnsi="Arial" w:hint="default"/>
      </w:rPr>
    </w:lvl>
    <w:lvl w:ilvl="1" w:tplc="4E1ABE28" w:tentative="1">
      <w:start w:val="1"/>
      <w:numFmt w:val="bullet"/>
      <w:lvlText w:val="•"/>
      <w:lvlJc w:val="left"/>
      <w:pPr>
        <w:tabs>
          <w:tab w:val="num" w:pos="1440"/>
        </w:tabs>
        <w:ind w:left="1440" w:hanging="360"/>
      </w:pPr>
      <w:rPr>
        <w:rFonts w:ascii="Arial" w:hAnsi="Arial" w:hint="default"/>
      </w:rPr>
    </w:lvl>
    <w:lvl w:ilvl="2" w:tplc="BE9E4BFA" w:tentative="1">
      <w:start w:val="1"/>
      <w:numFmt w:val="bullet"/>
      <w:lvlText w:val="•"/>
      <w:lvlJc w:val="left"/>
      <w:pPr>
        <w:tabs>
          <w:tab w:val="num" w:pos="2160"/>
        </w:tabs>
        <w:ind w:left="2160" w:hanging="360"/>
      </w:pPr>
      <w:rPr>
        <w:rFonts w:ascii="Arial" w:hAnsi="Arial" w:hint="default"/>
      </w:rPr>
    </w:lvl>
    <w:lvl w:ilvl="3" w:tplc="29E2233E" w:tentative="1">
      <w:start w:val="1"/>
      <w:numFmt w:val="bullet"/>
      <w:lvlText w:val="•"/>
      <w:lvlJc w:val="left"/>
      <w:pPr>
        <w:tabs>
          <w:tab w:val="num" w:pos="2880"/>
        </w:tabs>
        <w:ind w:left="2880" w:hanging="360"/>
      </w:pPr>
      <w:rPr>
        <w:rFonts w:ascii="Arial" w:hAnsi="Arial" w:hint="default"/>
      </w:rPr>
    </w:lvl>
    <w:lvl w:ilvl="4" w:tplc="7E749312" w:tentative="1">
      <w:start w:val="1"/>
      <w:numFmt w:val="bullet"/>
      <w:lvlText w:val="•"/>
      <w:lvlJc w:val="left"/>
      <w:pPr>
        <w:tabs>
          <w:tab w:val="num" w:pos="3600"/>
        </w:tabs>
        <w:ind w:left="3600" w:hanging="360"/>
      </w:pPr>
      <w:rPr>
        <w:rFonts w:ascii="Arial" w:hAnsi="Arial" w:hint="default"/>
      </w:rPr>
    </w:lvl>
    <w:lvl w:ilvl="5" w:tplc="BD060FD6" w:tentative="1">
      <w:start w:val="1"/>
      <w:numFmt w:val="bullet"/>
      <w:lvlText w:val="•"/>
      <w:lvlJc w:val="left"/>
      <w:pPr>
        <w:tabs>
          <w:tab w:val="num" w:pos="4320"/>
        </w:tabs>
        <w:ind w:left="4320" w:hanging="360"/>
      </w:pPr>
      <w:rPr>
        <w:rFonts w:ascii="Arial" w:hAnsi="Arial" w:hint="default"/>
      </w:rPr>
    </w:lvl>
    <w:lvl w:ilvl="6" w:tplc="FFE6CE2A" w:tentative="1">
      <w:start w:val="1"/>
      <w:numFmt w:val="bullet"/>
      <w:lvlText w:val="•"/>
      <w:lvlJc w:val="left"/>
      <w:pPr>
        <w:tabs>
          <w:tab w:val="num" w:pos="5040"/>
        </w:tabs>
        <w:ind w:left="5040" w:hanging="360"/>
      </w:pPr>
      <w:rPr>
        <w:rFonts w:ascii="Arial" w:hAnsi="Arial" w:hint="default"/>
      </w:rPr>
    </w:lvl>
    <w:lvl w:ilvl="7" w:tplc="AB1E297A" w:tentative="1">
      <w:start w:val="1"/>
      <w:numFmt w:val="bullet"/>
      <w:lvlText w:val="•"/>
      <w:lvlJc w:val="left"/>
      <w:pPr>
        <w:tabs>
          <w:tab w:val="num" w:pos="5760"/>
        </w:tabs>
        <w:ind w:left="5760" w:hanging="360"/>
      </w:pPr>
      <w:rPr>
        <w:rFonts w:ascii="Arial" w:hAnsi="Arial" w:hint="default"/>
      </w:rPr>
    </w:lvl>
    <w:lvl w:ilvl="8" w:tplc="79FE6A9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3080127"/>
    <w:multiLevelType w:val="hybridMultilevel"/>
    <w:tmpl w:val="16947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7A3ABE"/>
    <w:multiLevelType w:val="hybridMultilevel"/>
    <w:tmpl w:val="AFA00758"/>
    <w:lvl w:ilvl="0" w:tplc="1FA6752A">
      <w:start w:val="1"/>
      <w:numFmt w:val="bullet"/>
      <w:lvlText w:val="•"/>
      <w:lvlJc w:val="left"/>
      <w:pPr>
        <w:tabs>
          <w:tab w:val="num" w:pos="720"/>
        </w:tabs>
        <w:ind w:left="720" w:hanging="360"/>
      </w:pPr>
      <w:rPr>
        <w:rFonts w:ascii="Arial" w:hAnsi="Arial" w:hint="default"/>
      </w:rPr>
    </w:lvl>
    <w:lvl w:ilvl="1" w:tplc="4D7C0DE8">
      <w:start w:val="1"/>
      <w:numFmt w:val="bullet"/>
      <w:lvlText w:val="•"/>
      <w:lvlJc w:val="left"/>
      <w:pPr>
        <w:tabs>
          <w:tab w:val="num" w:pos="1440"/>
        </w:tabs>
        <w:ind w:left="1440" w:hanging="360"/>
      </w:pPr>
      <w:rPr>
        <w:rFonts w:ascii="Arial" w:hAnsi="Arial" w:hint="default"/>
      </w:rPr>
    </w:lvl>
    <w:lvl w:ilvl="2" w:tplc="F90251F4" w:tentative="1">
      <w:start w:val="1"/>
      <w:numFmt w:val="bullet"/>
      <w:lvlText w:val="•"/>
      <w:lvlJc w:val="left"/>
      <w:pPr>
        <w:tabs>
          <w:tab w:val="num" w:pos="2160"/>
        </w:tabs>
        <w:ind w:left="2160" w:hanging="360"/>
      </w:pPr>
      <w:rPr>
        <w:rFonts w:ascii="Arial" w:hAnsi="Arial" w:hint="default"/>
      </w:rPr>
    </w:lvl>
    <w:lvl w:ilvl="3" w:tplc="51ACAB64" w:tentative="1">
      <w:start w:val="1"/>
      <w:numFmt w:val="bullet"/>
      <w:lvlText w:val="•"/>
      <w:lvlJc w:val="left"/>
      <w:pPr>
        <w:tabs>
          <w:tab w:val="num" w:pos="2880"/>
        </w:tabs>
        <w:ind w:left="2880" w:hanging="360"/>
      </w:pPr>
      <w:rPr>
        <w:rFonts w:ascii="Arial" w:hAnsi="Arial" w:hint="default"/>
      </w:rPr>
    </w:lvl>
    <w:lvl w:ilvl="4" w:tplc="B8900AB0" w:tentative="1">
      <w:start w:val="1"/>
      <w:numFmt w:val="bullet"/>
      <w:lvlText w:val="•"/>
      <w:lvlJc w:val="left"/>
      <w:pPr>
        <w:tabs>
          <w:tab w:val="num" w:pos="3600"/>
        </w:tabs>
        <w:ind w:left="3600" w:hanging="360"/>
      </w:pPr>
      <w:rPr>
        <w:rFonts w:ascii="Arial" w:hAnsi="Arial" w:hint="default"/>
      </w:rPr>
    </w:lvl>
    <w:lvl w:ilvl="5" w:tplc="6A22F6EA" w:tentative="1">
      <w:start w:val="1"/>
      <w:numFmt w:val="bullet"/>
      <w:lvlText w:val="•"/>
      <w:lvlJc w:val="left"/>
      <w:pPr>
        <w:tabs>
          <w:tab w:val="num" w:pos="4320"/>
        </w:tabs>
        <w:ind w:left="4320" w:hanging="360"/>
      </w:pPr>
      <w:rPr>
        <w:rFonts w:ascii="Arial" w:hAnsi="Arial" w:hint="default"/>
      </w:rPr>
    </w:lvl>
    <w:lvl w:ilvl="6" w:tplc="24E48B0C" w:tentative="1">
      <w:start w:val="1"/>
      <w:numFmt w:val="bullet"/>
      <w:lvlText w:val="•"/>
      <w:lvlJc w:val="left"/>
      <w:pPr>
        <w:tabs>
          <w:tab w:val="num" w:pos="5040"/>
        </w:tabs>
        <w:ind w:left="5040" w:hanging="360"/>
      </w:pPr>
      <w:rPr>
        <w:rFonts w:ascii="Arial" w:hAnsi="Arial" w:hint="default"/>
      </w:rPr>
    </w:lvl>
    <w:lvl w:ilvl="7" w:tplc="F378C5D2" w:tentative="1">
      <w:start w:val="1"/>
      <w:numFmt w:val="bullet"/>
      <w:lvlText w:val="•"/>
      <w:lvlJc w:val="left"/>
      <w:pPr>
        <w:tabs>
          <w:tab w:val="num" w:pos="5760"/>
        </w:tabs>
        <w:ind w:left="5760" w:hanging="360"/>
      </w:pPr>
      <w:rPr>
        <w:rFonts w:ascii="Arial" w:hAnsi="Arial" w:hint="default"/>
      </w:rPr>
    </w:lvl>
    <w:lvl w:ilvl="8" w:tplc="A35C9D3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04305D1"/>
    <w:multiLevelType w:val="hybridMultilevel"/>
    <w:tmpl w:val="BD084E5C"/>
    <w:lvl w:ilvl="0" w:tplc="9F7C0202">
      <w:start w:val="1"/>
      <w:numFmt w:val="bullet"/>
      <w:lvlText w:val="•"/>
      <w:lvlJc w:val="left"/>
      <w:pPr>
        <w:tabs>
          <w:tab w:val="num" w:pos="720"/>
        </w:tabs>
        <w:ind w:left="720" w:hanging="360"/>
      </w:pPr>
      <w:rPr>
        <w:rFonts w:ascii="Arial" w:hAnsi="Arial" w:hint="default"/>
      </w:rPr>
    </w:lvl>
    <w:lvl w:ilvl="1" w:tplc="3D8210F2" w:tentative="1">
      <w:start w:val="1"/>
      <w:numFmt w:val="bullet"/>
      <w:lvlText w:val="•"/>
      <w:lvlJc w:val="left"/>
      <w:pPr>
        <w:tabs>
          <w:tab w:val="num" w:pos="1440"/>
        </w:tabs>
        <w:ind w:left="1440" w:hanging="360"/>
      </w:pPr>
      <w:rPr>
        <w:rFonts w:ascii="Arial" w:hAnsi="Arial" w:hint="default"/>
      </w:rPr>
    </w:lvl>
    <w:lvl w:ilvl="2" w:tplc="94A03AE4" w:tentative="1">
      <w:start w:val="1"/>
      <w:numFmt w:val="bullet"/>
      <w:lvlText w:val="•"/>
      <w:lvlJc w:val="left"/>
      <w:pPr>
        <w:tabs>
          <w:tab w:val="num" w:pos="2160"/>
        </w:tabs>
        <w:ind w:left="2160" w:hanging="360"/>
      </w:pPr>
      <w:rPr>
        <w:rFonts w:ascii="Arial" w:hAnsi="Arial" w:hint="default"/>
      </w:rPr>
    </w:lvl>
    <w:lvl w:ilvl="3" w:tplc="9F74B512" w:tentative="1">
      <w:start w:val="1"/>
      <w:numFmt w:val="bullet"/>
      <w:lvlText w:val="•"/>
      <w:lvlJc w:val="left"/>
      <w:pPr>
        <w:tabs>
          <w:tab w:val="num" w:pos="2880"/>
        </w:tabs>
        <w:ind w:left="2880" w:hanging="360"/>
      </w:pPr>
      <w:rPr>
        <w:rFonts w:ascii="Arial" w:hAnsi="Arial" w:hint="default"/>
      </w:rPr>
    </w:lvl>
    <w:lvl w:ilvl="4" w:tplc="E4B0E034" w:tentative="1">
      <w:start w:val="1"/>
      <w:numFmt w:val="bullet"/>
      <w:lvlText w:val="•"/>
      <w:lvlJc w:val="left"/>
      <w:pPr>
        <w:tabs>
          <w:tab w:val="num" w:pos="3600"/>
        </w:tabs>
        <w:ind w:left="3600" w:hanging="360"/>
      </w:pPr>
      <w:rPr>
        <w:rFonts w:ascii="Arial" w:hAnsi="Arial" w:hint="default"/>
      </w:rPr>
    </w:lvl>
    <w:lvl w:ilvl="5" w:tplc="C16CE35A" w:tentative="1">
      <w:start w:val="1"/>
      <w:numFmt w:val="bullet"/>
      <w:lvlText w:val="•"/>
      <w:lvlJc w:val="left"/>
      <w:pPr>
        <w:tabs>
          <w:tab w:val="num" w:pos="4320"/>
        </w:tabs>
        <w:ind w:left="4320" w:hanging="360"/>
      </w:pPr>
      <w:rPr>
        <w:rFonts w:ascii="Arial" w:hAnsi="Arial" w:hint="default"/>
      </w:rPr>
    </w:lvl>
    <w:lvl w:ilvl="6" w:tplc="9A9A9572" w:tentative="1">
      <w:start w:val="1"/>
      <w:numFmt w:val="bullet"/>
      <w:lvlText w:val="•"/>
      <w:lvlJc w:val="left"/>
      <w:pPr>
        <w:tabs>
          <w:tab w:val="num" w:pos="5040"/>
        </w:tabs>
        <w:ind w:left="5040" w:hanging="360"/>
      </w:pPr>
      <w:rPr>
        <w:rFonts w:ascii="Arial" w:hAnsi="Arial" w:hint="default"/>
      </w:rPr>
    </w:lvl>
    <w:lvl w:ilvl="7" w:tplc="BF70BC8A" w:tentative="1">
      <w:start w:val="1"/>
      <w:numFmt w:val="bullet"/>
      <w:lvlText w:val="•"/>
      <w:lvlJc w:val="left"/>
      <w:pPr>
        <w:tabs>
          <w:tab w:val="num" w:pos="5760"/>
        </w:tabs>
        <w:ind w:left="5760" w:hanging="360"/>
      </w:pPr>
      <w:rPr>
        <w:rFonts w:ascii="Arial" w:hAnsi="Arial" w:hint="default"/>
      </w:rPr>
    </w:lvl>
    <w:lvl w:ilvl="8" w:tplc="A1EE8EE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4426432"/>
    <w:multiLevelType w:val="hybridMultilevel"/>
    <w:tmpl w:val="3A343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C52700"/>
    <w:multiLevelType w:val="hybridMultilevel"/>
    <w:tmpl w:val="1AA80ED6"/>
    <w:lvl w:ilvl="0" w:tplc="A94A118A">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50ED52B0"/>
    <w:multiLevelType w:val="hybridMultilevel"/>
    <w:tmpl w:val="E4A404B4"/>
    <w:lvl w:ilvl="0" w:tplc="ACAA9206">
      <w:start w:val="1"/>
      <w:numFmt w:val="bullet"/>
      <w:lvlText w:val="•"/>
      <w:lvlJc w:val="left"/>
      <w:pPr>
        <w:tabs>
          <w:tab w:val="num" w:pos="720"/>
        </w:tabs>
        <w:ind w:left="720" w:hanging="360"/>
      </w:pPr>
      <w:rPr>
        <w:rFonts w:ascii="Arial" w:hAnsi="Arial" w:hint="default"/>
      </w:rPr>
    </w:lvl>
    <w:lvl w:ilvl="1" w:tplc="990C0344" w:tentative="1">
      <w:start w:val="1"/>
      <w:numFmt w:val="bullet"/>
      <w:lvlText w:val="•"/>
      <w:lvlJc w:val="left"/>
      <w:pPr>
        <w:tabs>
          <w:tab w:val="num" w:pos="1440"/>
        </w:tabs>
        <w:ind w:left="1440" w:hanging="360"/>
      </w:pPr>
      <w:rPr>
        <w:rFonts w:ascii="Arial" w:hAnsi="Arial" w:hint="default"/>
      </w:rPr>
    </w:lvl>
    <w:lvl w:ilvl="2" w:tplc="8C7E5588" w:tentative="1">
      <w:start w:val="1"/>
      <w:numFmt w:val="bullet"/>
      <w:lvlText w:val="•"/>
      <w:lvlJc w:val="left"/>
      <w:pPr>
        <w:tabs>
          <w:tab w:val="num" w:pos="2160"/>
        </w:tabs>
        <w:ind w:left="2160" w:hanging="360"/>
      </w:pPr>
      <w:rPr>
        <w:rFonts w:ascii="Arial" w:hAnsi="Arial" w:hint="default"/>
      </w:rPr>
    </w:lvl>
    <w:lvl w:ilvl="3" w:tplc="D23E39AC" w:tentative="1">
      <w:start w:val="1"/>
      <w:numFmt w:val="bullet"/>
      <w:lvlText w:val="•"/>
      <w:lvlJc w:val="left"/>
      <w:pPr>
        <w:tabs>
          <w:tab w:val="num" w:pos="2880"/>
        </w:tabs>
        <w:ind w:left="2880" w:hanging="360"/>
      </w:pPr>
      <w:rPr>
        <w:rFonts w:ascii="Arial" w:hAnsi="Arial" w:hint="default"/>
      </w:rPr>
    </w:lvl>
    <w:lvl w:ilvl="4" w:tplc="DE46B472" w:tentative="1">
      <w:start w:val="1"/>
      <w:numFmt w:val="bullet"/>
      <w:lvlText w:val="•"/>
      <w:lvlJc w:val="left"/>
      <w:pPr>
        <w:tabs>
          <w:tab w:val="num" w:pos="3600"/>
        </w:tabs>
        <w:ind w:left="3600" w:hanging="360"/>
      </w:pPr>
      <w:rPr>
        <w:rFonts w:ascii="Arial" w:hAnsi="Arial" w:hint="default"/>
      </w:rPr>
    </w:lvl>
    <w:lvl w:ilvl="5" w:tplc="F2984CBC" w:tentative="1">
      <w:start w:val="1"/>
      <w:numFmt w:val="bullet"/>
      <w:lvlText w:val="•"/>
      <w:lvlJc w:val="left"/>
      <w:pPr>
        <w:tabs>
          <w:tab w:val="num" w:pos="4320"/>
        </w:tabs>
        <w:ind w:left="4320" w:hanging="360"/>
      </w:pPr>
      <w:rPr>
        <w:rFonts w:ascii="Arial" w:hAnsi="Arial" w:hint="default"/>
      </w:rPr>
    </w:lvl>
    <w:lvl w:ilvl="6" w:tplc="1FD231F0" w:tentative="1">
      <w:start w:val="1"/>
      <w:numFmt w:val="bullet"/>
      <w:lvlText w:val="•"/>
      <w:lvlJc w:val="left"/>
      <w:pPr>
        <w:tabs>
          <w:tab w:val="num" w:pos="5040"/>
        </w:tabs>
        <w:ind w:left="5040" w:hanging="360"/>
      </w:pPr>
      <w:rPr>
        <w:rFonts w:ascii="Arial" w:hAnsi="Arial" w:hint="default"/>
      </w:rPr>
    </w:lvl>
    <w:lvl w:ilvl="7" w:tplc="155CC378" w:tentative="1">
      <w:start w:val="1"/>
      <w:numFmt w:val="bullet"/>
      <w:lvlText w:val="•"/>
      <w:lvlJc w:val="left"/>
      <w:pPr>
        <w:tabs>
          <w:tab w:val="num" w:pos="5760"/>
        </w:tabs>
        <w:ind w:left="5760" w:hanging="360"/>
      </w:pPr>
      <w:rPr>
        <w:rFonts w:ascii="Arial" w:hAnsi="Arial" w:hint="default"/>
      </w:rPr>
    </w:lvl>
    <w:lvl w:ilvl="8" w:tplc="55A2A17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6CC92F5A"/>
    <w:multiLevelType w:val="hybridMultilevel"/>
    <w:tmpl w:val="9FC02DE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78BE5739"/>
    <w:multiLevelType w:val="hybridMultilevel"/>
    <w:tmpl w:val="2908699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E7A6447"/>
    <w:multiLevelType w:val="hybridMultilevel"/>
    <w:tmpl w:val="80269D26"/>
    <w:lvl w:ilvl="0" w:tplc="4678D1F0">
      <w:start w:val="1"/>
      <w:numFmt w:val="bullet"/>
      <w:lvlText w:val="•"/>
      <w:lvlJc w:val="left"/>
      <w:pPr>
        <w:tabs>
          <w:tab w:val="num" w:pos="720"/>
        </w:tabs>
        <w:ind w:left="720" w:hanging="360"/>
      </w:pPr>
      <w:rPr>
        <w:rFonts w:ascii="Arial" w:hAnsi="Arial" w:hint="default"/>
      </w:rPr>
    </w:lvl>
    <w:lvl w:ilvl="1" w:tplc="711E1AE4">
      <w:start w:val="1"/>
      <w:numFmt w:val="bullet"/>
      <w:lvlText w:val="•"/>
      <w:lvlJc w:val="left"/>
      <w:pPr>
        <w:tabs>
          <w:tab w:val="num" w:pos="1440"/>
        </w:tabs>
        <w:ind w:left="1440" w:hanging="360"/>
      </w:pPr>
      <w:rPr>
        <w:rFonts w:ascii="Arial" w:hAnsi="Arial" w:hint="default"/>
      </w:rPr>
    </w:lvl>
    <w:lvl w:ilvl="2" w:tplc="F1B43CAC" w:tentative="1">
      <w:start w:val="1"/>
      <w:numFmt w:val="bullet"/>
      <w:lvlText w:val="•"/>
      <w:lvlJc w:val="left"/>
      <w:pPr>
        <w:tabs>
          <w:tab w:val="num" w:pos="2160"/>
        </w:tabs>
        <w:ind w:left="2160" w:hanging="360"/>
      </w:pPr>
      <w:rPr>
        <w:rFonts w:ascii="Arial" w:hAnsi="Arial" w:hint="default"/>
      </w:rPr>
    </w:lvl>
    <w:lvl w:ilvl="3" w:tplc="DE5AD300" w:tentative="1">
      <w:start w:val="1"/>
      <w:numFmt w:val="bullet"/>
      <w:lvlText w:val="•"/>
      <w:lvlJc w:val="left"/>
      <w:pPr>
        <w:tabs>
          <w:tab w:val="num" w:pos="2880"/>
        </w:tabs>
        <w:ind w:left="2880" w:hanging="360"/>
      </w:pPr>
      <w:rPr>
        <w:rFonts w:ascii="Arial" w:hAnsi="Arial" w:hint="default"/>
      </w:rPr>
    </w:lvl>
    <w:lvl w:ilvl="4" w:tplc="3C4A6BB6" w:tentative="1">
      <w:start w:val="1"/>
      <w:numFmt w:val="bullet"/>
      <w:lvlText w:val="•"/>
      <w:lvlJc w:val="left"/>
      <w:pPr>
        <w:tabs>
          <w:tab w:val="num" w:pos="3600"/>
        </w:tabs>
        <w:ind w:left="3600" w:hanging="360"/>
      </w:pPr>
      <w:rPr>
        <w:rFonts w:ascii="Arial" w:hAnsi="Arial" w:hint="default"/>
      </w:rPr>
    </w:lvl>
    <w:lvl w:ilvl="5" w:tplc="92D44BE2" w:tentative="1">
      <w:start w:val="1"/>
      <w:numFmt w:val="bullet"/>
      <w:lvlText w:val="•"/>
      <w:lvlJc w:val="left"/>
      <w:pPr>
        <w:tabs>
          <w:tab w:val="num" w:pos="4320"/>
        </w:tabs>
        <w:ind w:left="4320" w:hanging="360"/>
      </w:pPr>
      <w:rPr>
        <w:rFonts w:ascii="Arial" w:hAnsi="Arial" w:hint="default"/>
      </w:rPr>
    </w:lvl>
    <w:lvl w:ilvl="6" w:tplc="8402DC6C" w:tentative="1">
      <w:start w:val="1"/>
      <w:numFmt w:val="bullet"/>
      <w:lvlText w:val="•"/>
      <w:lvlJc w:val="left"/>
      <w:pPr>
        <w:tabs>
          <w:tab w:val="num" w:pos="5040"/>
        </w:tabs>
        <w:ind w:left="5040" w:hanging="360"/>
      </w:pPr>
      <w:rPr>
        <w:rFonts w:ascii="Arial" w:hAnsi="Arial" w:hint="default"/>
      </w:rPr>
    </w:lvl>
    <w:lvl w:ilvl="7" w:tplc="A0B4CAF2" w:tentative="1">
      <w:start w:val="1"/>
      <w:numFmt w:val="bullet"/>
      <w:lvlText w:val="•"/>
      <w:lvlJc w:val="left"/>
      <w:pPr>
        <w:tabs>
          <w:tab w:val="num" w:pos="5760"/>
        </w:tabs>
        <w:ind w:left="5760" w:hanging="360"/>
      </w:pPr>
      <w:rPr>
        <w:rFonts w:ascii="Arial" w:hAnsi="Arial" w:hint="default"/>
      </w:rPr>
    </w:lvl>
    <w:lvl w:ilvl="8" w:tplc="380A3CE4"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6"/>
  </w:num>
  <w:num w:numId="3">
    <w:abstractNumId w:val="0"/>
  </w:num>
  <w:num w:numId="4">
    <w:abstractNumId w:val="7"/>
  </w:num>
  <w:num w:numId="5">
    <w:abstractNumId w:val="13"/>
  </w:num>
  <w:num w:numId="6">
    <w:abstractNumId w:val="5"/>
  </w:num>
  <w:num w:numId="7">
    <w:abstractNumId w:val="11"/>
  </w:num>
  <w:num w:numId="8">
    <w:abstractNumId w:val="8"/>
  </w:num>
  <w:num w:numId="9">
    <w:abstractNumId w:val="3"/>
  </w:num>
  <w:num w:numId="10">
    <w:abstractNumId w:val="1"/>
  </w:num>
  <w:num w:numId="11">
    <w:abstractNumId w:val="14"/>
  </w:num>
  <w:num w:numId="12">
    <w:abstractNumId w:val="2"/>
  </w:num>
  <w:num w:numId="13">
    <w:abstractNumId w:val="4"/>
  </w:num>
  <w:num w:numId="14">
    <w:abstractNumId w:val="1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AC4"/>
    <w:rsid w:val="00752AC4"/>
    <w:rsid w:val="00B95A78"/>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46613"/>
  <w15:chartTrackingRefBased/>
  <w15:docId w15:val="{2DA8CC84-3234-A644-B69F-9DC011E35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2AC4"/>
    <w:rPr>
      <w:rFonts w:ascii="Times New Roman" w:eastAsia="Times New Roman" w:hAnsi="Times New Roman" w:cs="Times New Roman"/>
    </w:rPr>
  </w:style>
  <w:style w:type="paragraph" w:styleId="Heading1">
    <w:name w:val="heading 1"/>
    <w:basedOn w:val="Normal"/>
    <w:link w:val="Heading1Char"/>
    <w:uiPriority w:val="9"/>
    <w:qFormat/>
    <w:rsid w:val="00752AC4"/>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752AC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2AC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752AC4"/>
    <w:rPr>
      <w:rFonts w:asciiTheme="majorHAnsi" w:eastAsiaTheme="majorEastAsia" w:hAnsiTheme="majorHAnsi" w:cstheme="majorBidi"/>
      <w:color w:val="2F5496" w:themeColor="accent1" w:themeShade="BF"/>
      <w:sz w:val="26"/>
      <w:szCs w:val="26"/>
    </w:rPr>
  </w:style>
  <w:style w:type="character" w:styleId="Hyperlink">
    <w:name w:val="Hyperlink"/>
    <w:uiPriority w:val="99"/>
    <w:unhideWhenUsed/>
    <w:rsid w:val="00752AC4"/>
    <w:rPr>
      <w:color w:val="0000FF"/>
      <w:u w:val="single"/>
    </w:rPr>
  </w:style>
  <w:style w:type="paragraph" w:customStyle="1" w:styleId="Kursor-Normal">
    <w:name w:val="Kursor - Normal"/>
    <w:basedOn w:val="Normal"/>
    <w:link w:val="Kursor-NormalChar"/>
    <w:qFormat/>
    <w:rsid w:val="00752AC4"/>
    <w:pPr>
      <w:overflowPunct w:val="0"/>
      <w:autoSpaceDE w:val="0"/>
      <w:autoSpaceDN w:val="0"/>
      <w:adjustRightInd w:val="0"/>
      <w:ind w:firstLine="288"/>
      <w:jc w:val="both"/>
    </w:pPr>
    <w:rPr>
      <w:sz w:val="22"/>
      <w:szCs w:val="22"/>
      <w:lang w:val="fi-FI"/>
    </w:rPr>
  </w:style>
  <w:style w:type="character" w:customStyle="1" w:styleId="Kursor-NormalChar">
    <w:name w:val="Kursor - Normal Char"/>
    <w:link w:val="Kursor-Normal"/>
    <w:rsid w:val="00752AC4"/>
    <w:rPr>
      <w:rFonts w:ascii="Times New Roman" w:eastAsia="Times New Roman" w:hAnsi="Times New Roman" w:cs="Times New Roman"/>
      <w:sz w:val="22"/>
      <w:szCs w:val="22"/>
      <w:lang w:val="fi-FI"/>
    </w:rPr>
  </w:style>
  <w:style w:type="paragraph" w:customStyle="1" w:styleId="Kursor-Heading2">
    <w:name w:val="Kursor - Heading 2"/>
    <w:basedOn w:val="Normal"/>
    <w:link w:val="Kursor-Heading2Char"/>
    <w:qFormat/>
    <w:rsid w:val="00752AC4"/>
    <w:pPr>
      <w:overflowPunct w:val="0"/>
      <w:autoSpaceDE w:val="0"/>
      <w:autoSpaceDN w:val="0"/>
      <w:adjustRightInd w:val="0"/>
      <w:spacing w:before="120"/>
    </w:pPr>
    <w:rPr>
      <w:b/>
      <w:szCs w:val="22"/>
      <w:lang w:val="fi-FI"/>
    </w:rPr>
  </w:style>
  <w:style w:type="character" w:customStyle="1" w:styleId="Kursor-Heading2Char">
    <w:name w:val="Kursor - Heading 2 Char"/>
    <w:link w:val="Kursor-Heading2"/>
    <w:rsid w:val="00752AC4"/>
    <w:rPr>
      <w:rFonts w:ascii="Times New Roman" w:eastAsia="Times New Roman" w:hAnsi="Times New Roman" w:cs="Times New Roman"/>
      <w:b/>
      <w:szCs w:val="22"/>
      <w:lang w:val="fi-FI"/>
    </w:rPr>
  </w:style>
  <w:style w:type="paragraph" w:customStyle="1" w:styleId="Kursor-authorname">
    <w:name w:val="Kursor - author name"/>
    <w:basedOn w:val="Normal"/>
    <w:link w:val="Kursor-authornameChar"/>
    <w:qFormat/>
    <w:rsid w:val="00752AC4"/>
    <w:pPr>
      <w:overflowPunct w:val="0"/>
      <w:autoSpaceDE w:val="0"/>
      <w:autoSpaceDN w:val="0"/>
      <w:adjustRightInd w:val="0"/>
      <w:ind w:firstLine="288"/>
      <w:jc w:val="center"/>
    </w:pPr>
    <w:rPr>
      <w:rFonts w:eastAsia="MS Mincho"/>
      <w:b/>
      <w:sz w:val="22"/>
      <w:szCs w:val="22"/>
      <w:lang w:val="fi-FI" w:eastAsia="zh-CN"/>
    </w:rPr>
  </w:style>
  <w:style w:type="character" w:customStyle="1" w:styleId="Kursor-authornameChar">
    <w:name w:val="Kursor - author name Char"/>
    <w:link w:val="Kursor-authorname"/>
    <w:rsid w:val="00752AC4"/>
    <w:rPr>
      <w:rFonts w:ascii="Times New Roman" w:eastAsia="MS Mincho" w:hAnsi="Times New Roman" w:cs="Times New Roman"/>
      <w:b/>
      <w:sz w:val="22"/>
      <w:szCs w:val="22"/>
      <w:lang w:val="fi-FI" w:eastAsia="zh-CN"/>
    </w:rPr>
  </w:style>
  <w:style w:type="paragraph" w:customStyle="1" w:styleId="Kursor-affiliation">
    <w:name w:val="Kursor - affiliation"/>
    <w:basedOn w:val="Normal"/>
    <w:link w:val="Kursor-affiliationChar"/>
    <w:qFormat/>
    <w:rsid w:val="00752AC4"/>
    <w:pPr>
      <w:suppressAutoHyphens/>
      <w:jc w:val="center"/>
    </w:pPr>
    <w:rPr>
      <w:rFonts w:eastAsia="MS Mincho"/>
      <w:sz w:val="22"/>
      <w:szCs w:val="22"/>
      <w:lang w:val="en-US" w:eastAsia="zh-CN"/>
    </w:rPr>
  </w:style>
  <w:style w:type="character" w:customStyle="1" w:styleId="Kursor-affiliationChar">
    <w:name w:val="Kursor - affiliation Char"/>
    <w:link w:val="Kursor-affiliation"/>
    <w:rsid w:val="00752AC4"/>
    <w:rPr>
      <w:rFonts w:ascii="Times New Roman" w:eastAsia="MS Mincho" w:hAnsi="Times New Roman" w:cs="Times New Roman"/>
      <w:sz w:val="22"/>
      <w:szCs w:val="22"/>
      <w:lang w:val="en-US" w:eastAsia="zh-CN"/>
    </w:rPr>
  </w:style>
  <w:style w:type="character" w:customStyle="1" w:styleId="UnresolvedMention1">
    <w:name w:val="Unresolved Mention1"/>
    <w:basedOn w:val="DefaultParagraphFont"/>
    <w:uiPriority w:val="99"/>
    <w:semiHidden/>
    <w:unhideWhenUsed/>
    <w:rsid w:val="00752AC4"/>
    <w:rPr>
      <w:color w:val="605E5C"/>
      <w:shd w:val="clear" w:color="auto" w:fill="E1DFDD"/>
    </w:rPr>
  </w:style>
  <w:style w:type="paragraph" w:styleId="BalloonText">
    <w:name w:val="Balloon Text"/>
    <w:basedOn w:val="Normal"/>
    <w:link w:val="BalloonTextChar"/>
    <w:uiPriority w:val="99"/>
    <w:semiHidden/>
    <w:unhideWhenUsed/>
    <w:rsid w:val="00752AC4"/>
    <w:rPr>
      <w:sz w:val="18"/>
      <w:szCs w:val="18"/>
    </w:rPr>
  </w:style>
  <w:style w:type="character" w:customStyle="1" w:styleId="BalloonTextChar">
    <w:name w:val="Balloon Text Char"/>
    <w:basedOn w:val="DefaultParagraphFont"/>
    <w:link w:val="BalloonText"/>
    <w:uiPriority w:val="99"/>
    <w:semiHidden/>
    <w:rsid w:val="00752AC4"/>
    <w:rPr>
      <w:rFonts w:ascii="Times New Roman" w:eastAsia="Times New Roman" w:hAnsi="Times New Roman" w:cs="Times New Roman"/>
      <w:sz w:val="18"/>
      <w:szCs w:val="18"/>
    </w:rPr>
  </w:style>
  <w:style w:type="table" w:styleId="TableGrid">
    <w:name w:val="Table Grid"/>
    <w:basedOn w:val="TableNormal"/>
    <w:uiPriority w:val="39"/>
    <w:rsid w:val="00752AC4"/>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52AC4"/>
    <w:rPr>
      <w:sz w:val="16"/>
      <w:szCs w:val="16"/>
    </w:rPr>
  </w:style>
  <w:style w:type="paragraph" w:styleId="CommentText">
    <w:name w:val="annotation text"/>
    <w:basedOn w:val="Normal"/>
    <w:link w:val="CommentTextChar"/>
    <w:uiPriority w:val="99"/>
    <w:semiHidden/>
    <w:unhideWhenUsed/>
    <w:rsid w:val="00752AC4"/>
    <w:pPr>
      <w:spacing w:after="160"/>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semiHidden/>
    <w:rsid w:val="00752AC4"/>
    <w:rPr>
      <w:sz w:val="20"/>
      <w:szCs w:val="20"/>
      <w:lang w:val="en-US"/>
    </w:rPr>
  </w:style>
  <w:style w:type="character" w:styleId="Emphasis">
    <w:name w:val="Emphasis"/>
    <w:basedOn w:val="DefaultParagraphFont"/>
    <w:uiPriority w:val="20"/>
    <w:qFormat/>
    <w:rsid w:val="00752AC4"/>
    <w:rPr>
      <w:i/>
      <w:iCs/>
    </w:rPr>
  </w:style>
  <w:style w:type="paragraph" w:styleId="ListParagraph">
    <w:name w:val="List Paragraph"/>
    <w:basedOn w:val="Normal"/>
    <w:uiPriority w:val="34"/>
    <w:qFormat/>
    <w:rsid w:val="00752AC4"/>
    <w:pPr>
      <w:spacing w:after="160" w:line="259" w:lineRule="auto"/>
      <w:ind w:left="720"/>
      <w:contextualSpacing/>
    </w:pPr>
    <w:rPr>
      <w:rFonts w:asciiTheme="minorHAnsi" w:eastAsiaTheme="minorHAnsi" w:hAnsiTheme="minorHAnsi" w:cstheme="minorBidi"/>
      <w:sz w:val="22"/>
      <w:szCs w:val="22"/>
      <w:lang w:val="en-US"/>
    </w:rPr>
  </w:style>
  <w:style w:type="paragraph" w:styleId="CommentSubject">
    <w:name w:val="annotation subject"/>
    <w:basedOn w:val="CommentText"/>
    <w:next w:val="CommentText"/>
    <w:link w:val="CommentSubjectChar"/>
    <w:uiPriority w:val="99"/>
    <w:semiHidden/>
    <w:unhideWhenUsed/>
    <w:rsid w:val="00752AC4"/>
    <w:pPr>
      <w:spacing w:after="0"/>
    </w:pPr>
    <w:rPr>
      <w:rFonts w:ascii="Calibri" w:eastAsia="Calibri" w:hAnsi="Calibri" w:cs="Times New Roman"/>
      <w:b/>
      <w:bCs/>
    </w:rPr>
  </w:style>
  <w:style w:type="character" w:customStyle="1" w:styleId="CommentSubjectChar">
    <w:name w:val="Comment Subject Char"/>
    <w:basedOn w:val="CommentTextChar"/>
    <w:link w:val="CommentSubject"/>
    <w:uiPriority w:val="99"/>
    <w:semiHidden/>
    <w:rsid w:val="00752AC4"/>
    <w:rPr>
      <w:rFonts w:ascii="Calibri" w:eastAsia="Calibri" w:hAnsi="Calibri" w:cs="Times New Roman"/>
      <w:b/>
      <w:bCs/>
      <w:sz w:val="20"/>
      <w:szCs w:val="20"/>
      <w:lang w:val="en-US"/>
    </w:rPr>
  </w:style>
  <w:style w:type="character" w:styleId="FollowedHyperlink">
    <w:name w:val="FollowedHyperlink"/>
    <w:basedOn w:val="DefaultParagraphFont"/>
    <w:uiPriority w:val="99"/>
    <w:semiHidden/>
    <w:unhideWhenUsed/>
    <w:rsid w:val="00752AC4"/>
    <w:rPr>
      <w:color w:val="954F72" w:themeColor="followedHyperlink"/>
      <w:u w:val="single"/>
    </w:rPr>
  </w:style>
  <w:style w:type="paragraph" w:styleId="HTMLPreformatted">
    <w:name w:val="HTML Preformatted"/>
    <w:basedOn w:val="Normal"/>
    <w:link w:val="HTMLPreformattedChar"/>
    <w:uiPriority w:val="99"/>
    <w:unhideWhenUsed/>
    <w:rsid w:val="00752A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52AC4"/>
    <w:rPr>
      <w:rFonts w:ascii="Courier New" w:eastAsia="Times New Roman" w:hAnsi="Courier New" w:cs="Courier New"/>
      <w:sz w:val="20"/>
      <w:szCs w:val="20"/>
    </w:rPr>
  </w:style>
  <w:style w:type="paragraph" w:styleId="NormalWeb">
    <w:name w:val="Normal (Web)"/>
    <w:basedOn w:val="Normal"/>
    <w:uiPriority w:val="99"/>
    <w:unhideWhenUsed/>
    <w:rsid w:val="00752AC4"/>
    <w:pPr>
      <w:spacing w:before="100" w:beforeAutospacing="1" w:after="100" w:afterAutospacing="1"/>
    </w:pPr>
  </w:style>
  <w:style w:type="character" w:customStyle="1" w:styleId="tlid-translation">
    <w:name w:val="tlid-translation"/>
    <w:basedOn w:val="DefaultParagraphFont"/>
    <w:rsid w:val="00752AC4"/>
  </w:style>
  <w:style w:type="paragraph" w:customStyle="1" w:styleId="MDPI62Acknowledgments">
    <w:name w:val="MDPI_6.2_Acknowledgments"/>
    <w:qFormat/>
    <w:rsid w:val="00752AC4"/>
    <w:pPr>
      <w:adjustRightInd w:val="0"/>
      <w:snapToGrid w:val="0"/>
      <w:spacing w:before="120" w:line="200" w:lineRule="atLeast"/>
      <w:jc w:val="both"/>
    </w:pPr>
    <w:rPr>
      <w:rFonts w:ascii="Palatino Linotype" w:eastAsia="Times New Roman" w:hAnsi="Palatino Linotype" w:cs="Times New Roman"/>
      <w:snapToGrid w:val="0"/>
      <w:color w:val="000000"/>
      <w:sz w:val="18"/>
      <w:szCs w:val="20"/>
      <w:lang w:val="en-US" w:eastAsia="de-DE" w:bidi="en-US"/>
    </w:rPr>
  </w:style>
  <w:style w:type="paragraph" w:styleId="Revision">
    <w:name w:val="Revision"/>
    <w:hidden/>
    <w:uiPriority w:val="99"/>
    <w:semiHidden/>
    <w:rsid w:val="00752AC4"/>
    <w:rPr>
      <w:rFonts w:ascii="Times New Roman" w:eastAsia="Times New Roman" w:hAnsi="Times New Roman" w:cs="Times New Roman"/>
    </w:rPr>
  </w:style>
  <w:style w:type="character" w:customStyle="1" w:styleId="element-citation">
    <w:name w:val="element-citation"/>
    <w:basedOn w:val="DefaultParagraphFont"/>
    <w:rsid w:val="00752AC4"/>
  </w:style>
  <w:style w:type="character" w:customStyle="1" w:styleId="ref-journal">
    <w:name w:val="ref-journal"/>
    <w:basedOn w:val="DefaultParagraphFont"/>
    <w:rsid w:val="00752AC4"/>
  </w:style>
  <w:style w:type="character" w:customStyle="1" w:styleId="ref-vol">
    <w:name w:val="ref-vol"/>
    <w:basedOn w:val="DefaultParagraphFont"/>
    <w:rsid w:val="00752AC4"/>
  </w:style>
  <w:style w:type="paragraph" w:styleId="BodyText">
    <w:name w:val="Body Text"/>
    <w:basedOn w:val="Normal"/>
    <w:link w:val="BodyTextChar"/>
    <w:rsid w:val="00752AC4"/>
    <w:pPr>
      <w:tabs>
        <w:tab w:val="left" w:pos="288"/>
      </w:tabs>
      <w:spacing w:after="120" w:line="228" w:lineRule="auto"/>
      <w:ind w:firstLine="288"/>
      <w:jc w:val="both"/>
    </w:pPr>
    <w:rPr>
      <w:rFonts w:eastAsia="SimSun"/>
      <w:spacing w:val="-1"/>
      <w:sz w:val="20"/>
      <w:szCs w:val="20"/>
      <w:lang w:val="x-none" w:eastAsia="x-none"/>
    </w:rPr>
  </w:style>
  <w:style w:type="character" w:customStyle="1" w:styleId="BodyTextChar">
    <w:name w:val="Body Text Char"/>
    <w:basedOn w:val="DefaultParagraphFont"/>
    <w:link w:val="BodyText"/>
    <w:rsid w:val="00752AC4"/>
    <w:rPr>
      <w:rFonts w:ascii="Times New Roman" w:eastAsia="SimSun" w:hAnsi="Times New Roman" w:cs="Times New Roman"/>
      <w:spacing w:val="-1"/>
      <w:sz w:val="20"/>
      <w:szCs w:val="20"/>
      <w:lang w:val="x-none" w:eastAsia="x-none"/>
    </w:rPr>
  </w:style>
  <w:style w:type="paragraph" w:customStyle="1" w:styleId="equation">
    <w:name w:val="equation"/>
    <w:basedOn w:val="Normal"/>
    <w:rsid w:val="00752AC4"/>
    <w:pPr>
      <w:tabs>
        <w:tab w:val="center" w:pos="2520"/>
        <w:tab w:val="right" w:pos="5040"/>
      </w:tabs>
      <w:spacing w:before="240" w:after="240" w:line="216" w:lineRule="auto"/>
      <w:jc w:val="center"/>
    </w:pPr>
    <w:rPr>
      <w:rFonts w:ascii="Symbol" w:eastAsia="SimSun" w:hAnsi="Symbol" w:cs="Symbol"/>
      <w:sz w:val="20"/>
      <w:szCs w:val="20"/>
      <w:lang w:val="en-US"/>
    </w:rPr>
  </w:style>
  <w:style w:type="paragraph" w:styleId="Caption">
    <w:name w:val="caption"/>
    <w:aliases w:val="Judul Tabel,Gambar,dan Lampiran"/>
    <w:basedOn w:val="Normal"/>
    <w:next w:val="Normal"/>
    <w:link w:val="CaptionChar"/>
    <w:uiPriority w:val="35"/>
    <w:unhideWhenUsed/>
    <w:qFormat/>
    <w:rsid w:val="00752AC4"/>
    <w:pPr>
      <w:spacing w:before="60" w:after="200"/>
      <w:ind w:left="567" w:hanging="567"/>
    </w:pPr>
    <w:rPr>
      <w:rFonts w:eastAsiaTheme="minorEastAsia" w:cstheme="minorBidi"/>
      <w:bCs/>
      <w:szCs w:val="18"/>
      <w:lang w:val="en-US" w:eastAsia="ja-JP"/>
    </w:rPr>
  </w:style>
  <w:style w:type="character" w:customStyle="1" w:styleId="CaptionChar">
    <w:name w:val="Caption Char"/>
    <w:aliases w:val="Judul Tabel Char,Gambar Char,dan Lampiran Char"/>
    <w:link w:val="Caption"/>
    <w:uiPriority w:val="35"/>
    <w:rsid w:val="00752AC4"/>
    <w:rPr>
      <w:rFonts w:ascii="Times New Roman" w:eastAsiaTheme="minorEastAsia" w:hAnsi="Times New Roman"/>
      <w:bCs/>
      <w:szCs w:val="18"/>
      <w:lang w:val="en-US" w:eastAsia="ja-JP"/>
    </w:rPr>
  </w:style>
  <w:style w:type="paragraph" w:customStyle="1" w:styleId="Body">
    <w:name w:val="Body"/>
    <w:basedOn w:val="Normal"/>
    <w:link w:val="BodyChar"/>
    <w:qFormat/>
    <w:rsid w:val="00752AC4"/>
    <w:pPr>
      <w:ind w:firstLine="426"/>
      <w:jc w:val="both"/>
    </w:pPr>
    <w:rPr>
      <w:color w:val="000000"/>
      <w:sz w:val="20"/>
      <w:szCs w:val="20"/>
      <w:lang w:val="fi-FI" w:eastAsia="x-none"/>
    </w:rPr>
  </w:style>
  <w:style w:type="character" w:customStyle="1" w:styleId="BodyChar">
    <w:name w:val="Body Char"/>
    <w:link w:val="Body"/>
    <w:rsid w:val="00752AC4"/>
    <w:rPr>
      <w:rFonts w:ascii="Times New Roman" w:eastAsia="Times New Roman" w:hAnsi="Times New Roman" w:cs="Times New Roman"/>
      <w:color w:val="000000"/>
      <w:sz w:val="20"/>
      <w:szCs w:val="20"/>
      <w:lang w:val="fi-FI" w:eastAsia="x-none"/>
    </w:rPr>
  </w:style>
  <w:style w:type="character" w:customStyle="1" w:styleId="HeaderChar">
    <w:name w:val="Header Char"/>
    <w:basedOn w:val="DefaultParagraphFont"/>
    <w:link w:val="Header"/>
    <w:uiPriority w:val="99"/>
    <w:rsid w:val="00752AC4"/>
    <w:rPr>
      <w:rFonts w:ascii="Times New Roman" w:eastAsia="Times New Roman" w:hAnsi="Times New Roman" w:cs="Times New Roman"/>
    </w:rPr>
  </w:style>
  <w:style w:type="paragraph" w:styleId="Header">
    <w:name w:val="header"/>
    <w:basedOn w:val="Normal"/>
    <w:link w:val="HeaderChar"/>
    <w:uiPriority w:val="99"/>
    <w:unhideWhenUsed/>
    <w:rsid w:val="00752AC4"/>
    <w:pPr>
      <w:tabs>
        <w:tab w:val="center" w:pos="4680"/>
        <w:tab w:val="right" w:pos="9360"/>
      </w:tabs>
    </w:pPr>
  </w:style>
  <w:style w:type="character" w:customStyle="1" w:styleId="HeaderChar1">
    <w:name w:val="Header Char1"/>
    <w:basedOn w:val="DefaultParagraphFont"/>
    <w:uiPriority w:val="99"/>
    <w:semiHidden/>
    <w:rsid w:val="00752AC4"/>
    <w:rPr>
      <w:rFonts w:ascii="Times New Roman" w:eastAsia="Times New Roman" w:hAnsi="Times New Roman" w:cs="Times New Roman"/>
    </w:rPr>
  </w:style>
  <w:style w:type="character" w:customStyle="1" w:styleId="FooterChar">
    <w:name w:val="Footer Char"/>
    <w:basedOn w:val="DefaultParagraphFont"/>
    <w:link w:val="Footer"/>
    <w:uiPriority w:val="99"/>
    <w:rsid w:val="00752AC4"/>
    <w:rPr>
      <w:rFonts w:ascii="Times New Roman" w:eastAsia="Times New Roman" w:hAnsi="Times New Roman" w:cs="Times New Roman"/>
    </w:rPr>
  </w:style>
  <w:style w:type="paragraph" w:styleId="Footer">
    <w:name w:val="footer"/>
    <w:basedOn w:val="Normal"/>
    <w:link w:val="FooterChar"/>
    <w:uiPriority w:val="99"/>
    <w:unhideWhenUsed/>
    <w:rsid w:val="00752AC4"/>
    <w:pPr>
      <w:tabs>
        <w:tab w:val="center" w:pos="4680"/>
        <w:tab w:val="right" w:pos="9360"/>
      </w:tabs>
    </w:pPr>
  </w:style>
  <w:style w:type="character" w:customStyle="1" w:styleId="FooterChar1">
    <w:name w:val="Footer Char1"/>
    <w:basedOn w:val="DefaultParagraphFont"/>
    <w:uiPriority w:val="99"/>
    <w:semiHidden/>
    <w:rsid w:val="00752AC4"/>
    <w:rPr>
      <w:rFonts w:ascii="Times New Roman" w:eastAsia="Times New Roman" w:hAnsi="Times New Roman" w:cs="Times New Roman"/>
    </w:rPr>
  </w:style>
  <w:style w:type="character" w:customStyle="1" w:styleId="topic-highlight">
    <w:name w:val="topic-highlight"/>
    <w:basedOn w:val="DefaultParagraphFont"/>
    <w:rsid w:val="00752A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7788EA-33D2-7B40-B95E-346305E04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55503</Words>
  <Characters>316371</Characters>
  <Application>Microsoft Office Word</Application>
  <DocSecurity>0</DocSecurity>
  <Lines>2636</Lines>
  <Paragraphs>742</Paragraphs>
  <ScaleCrop>false</ScaleCrop>
  <Company/>
  <LinksUpToDate>false</LinksUpToDate>
  <CharactersWithSpaces>371132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Rafika Indah Paramita</dc:creator>
  <cp:keywords/>
  <dc:description/>
  <cp:lastModifiedBy>Rafika Indah Paramita</cp:lastModifiedBy>
  <cp:revision>2</cp:revision>
  <dcterms:created xsi:type="dcterms:W3CDTF">2020-09-30T15:47:00Z</dcterms:created>
  <dcterms:modified xsi:type="dcterms:W3CDTF">2020-09-30T15:54:00Z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http://www.zotero.org/styles/harvard1</vt:lpwstr>
  </property>
  <property fmtid="{D5CDD505-2E9C-101B-9397-08002B2CF9AE}" pid="9" name="Mendeley Recent Style Name 3_1">
    <vt:lpwstr>Harvard reference format 1 (deprecated)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http://www.zotero.org/styles/vancouver</vt:lpwstr>
  </property>
  <property fmtid="{D5CDD505-2E9C-101B-9397-08002B2CF9AE}" pid="15" name="Mendeley Recent Style Name 6_1">
    <vt:lpwstr>Vancouver</vt:lpwstr>
  </property>
  <property fmtid="{D5CDD505-2E9C-101B-9397-08002B2CF9AE}" pid="16" name="Mendeley Recent Style Id 7_1">
    <vt:lpwstr>http://www.zotero.org/styles/vancouver-author-date</vt:lpwstr>
  </property>
  <property fmtid="{D5CDD505-2E9C-101B-9397-08002B2CF9AE}" pid="17" name="Mendeley Recent Style Name 7_1">
    <vt:lpwstr>Vancouver (author-date)</vt:lpwstr>
  </property>
  <property fmtid="{D5CDD505-2E9C-101B-9397-08002B2CF9AE}" pid="18" name="Mendeley Recent Style Id 8_1">
    <vt:lpwstr>http://www.zotero.org/styles/vancouver-brackets</vt:lpwstr>
  </property>
  <property fmtid="{D5CDD505-2E9C-101B-9397-08002B2CF9AE}" pid="19" name="Mendeley Recent Style Name 8_1">
    <vt:lpwstr>Vancouver (brackets)</vt:lpwstr>
  </property>
  <property fmtid="{D5CDD505-2E9C-101B-9397-08002B2CF9AE}" pid="20" name="Mendeley Recent Style Id 9_1">
    <vt:lpwstr>http://csl.mendeley.com/styles/19302281/vancouver-2</vt:lpwstr>
  </property>
  <property fmtid="{D5CDD505-2E9C-101B-9397-08002B2CF9AE}" pid="21" name="Mendeley Recent Style Name 9_1">
    <vt:lpwstr>Vancouver - Linda Erlina</vt:lpwstr>
  </property>
  <property fmtid="{D5CDD505-2E9C-101B-9397-08002B2CF9AE}" pid="22" name="Mendeley Document_1">
    <vt:lpwstr>True</vt:lpwstr>
  </property>
  <property fmtid="{D5CDD505-2E9C-101B-9397-08002B2CF9AE}" pid="23" name="Mendeley Unique User Id_1">
    <vt:lpwstr>cc7db861-1cbb-3810-aa8c-7f9c98fd5259</vt:lpwstr>
  </property>
  <property fmtid="{D5CDD505-2E9C-101B-9397-08002B2CF9AE}" pid="24" name="Mendeley Citation Style_1">
    <vt:lpwstr>http://www.zotero.org/styles/ieee</vt:lpwstr>
  </property>
</Properties>
</file>