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BE74" w14:textId="693F167F" w:rsidR="00F13E67" w:rsidRPr="00762C03" w:rsidRDefault="00F13E67" w:rsidP="00F13E67">
      <w:pPr>
        <w:rPr>
          <w:rFonts w:asciiTheme="majorBidi" w:hAnsiTheme="majorBidi" w:cstheme="majorBidi"/>
          <w:sz w:val="24"/>
          <w:szCs w:val="24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 xml:space="preserve"> 1:</w:t>
      </w:r>
      <w:r w:rsidRPr="00762C03">
        <w:rPr>
          <w:rFonts w:asciiTheme="majorBidi" w:hAnsiTheme="majorBidi" w:cstheme="majorBidi"/>
          <w:sz w:val="24"/>
          <w:szCs w:val="24"/>
        </w:rPr>
        <w:t xml:space="preserve"> Summary of included studies.</w:t>
      </w:r>
    </w:p>
    <w:tbl>
      <w:tblPr>
        <w:tblStyle w:val="GridTable1Light"/>
        <w:tblW w:w="27601" w:type="dxa"/>
        <w:tblLook w:val="04A0" w:firstRow="1" w:lastRow="0" w:firstColumn="1" w:lastColumn="0" w:noHBand="0" w:noVBand="1"/>
      </w:tblPr>
      <w:tblGrid>
        <w:gridCol w:w="1757"/>
        <w:gridCol w:w="1344"/>
        <w:gridCol w:w="2230"/>
        <w:gridCol w:w="2454"/>
        <w:gridCol w:w="3399"/>
        <w:gridCol w:w="3032"/>
        <w:gridCol w:w="2691"/>
        <w:gridCol w:w="2418"/>
        <w:gridCol w:w="2426"/>
        <w:gridCol w:w="5850"/>
      </w:tblGrid>
      <w:tr w:rsidR="00F13E67" w:rsidRPr="00762C03" w14:paraId="4C3426B7" w14:textId="77777777" w:rsidTr="00DF6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hideMark/>
          </w:tcPr>
          <w:p w14:paraId="60D43D68" w14:textId="77777777" w:rsidR="00F13E67" w:rsidRPr="00762C03" w:rsidRDefault="00F13E67" w:rsidP="00DF6DD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Study ID</w:t>
            </w:r>
          </w:p>
        </w:tc>
        <w:tc>
          <w:tcPr>
            <w:tcW w:w="1356" w:type="dxa"/>
            <w:hideMark/>
          </w:tcPr>
          <w:p w14:paraId="4944B3BE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Site</w:t>
            </w:r>
          </w:p>
        </w:tc>
        <w:tc>
          <w:tcPr>
            <w:tcW w:w="1932" w:type="dxa"/>
            <w:hideMark/>
          </w:tcPr>
          <w:p w14:paraId="6BB06E9E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Protocol registration</w:t>
            </w:r>
          </w:p>
        </w:tc>
        <w:tc>
          <w:tcPr>
            <w:tcW w:w="2472" w:type="dxa"/>
            <w:hideMark/>
          </w:tcPr>
          <w:p w14:paraId="6A908122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Surgical procedure</w:t>
            </w:r>
          </w:p>
        </w:tc>
        <w:tc>
          <w:tcPr>
            <w:tcW w:w="3444" w:type="dxa"/>
            <w:hideMark/>
          </w:tcPr>
          <w:p w14:paraId="44B6D82F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General anesthesia protocol</w:t>
            </w:r>
          </w:p>
        </w:tc>
        <w:tc>
          <w:tcPr>
            <w:tcW w:w="3072" w:type="dxa"/>
            <w:hideMark/>
          </w:tcPr>
          <w:p w14:paraId="35904CF4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Ciprofol dose</w:t>
            </w:r>
          </w:p>
        </w:tc>
        <w:tc>
          <w:tcPr>
            <w:tcW w:w="2724" w:type="dxa"/>
            <w:hideMark/>
          </w:tcPr>
          <w:p w14:paraId="7BE50A39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Propofol dose</w:t>
            </w:r>
          </w:p>
        </w:tc>
        <w:tc>
          <w:tcPr>
            <w:tcW w:w="2436" w:type="dxa"/>
            <w:hideMark/>
          </w:tcPr>
          <w:p w14:paraId="1CC627E4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Muscle relaxant</w:t>
            </w:r>
          </w:p>
        </w:tc>
        <w:tc>
          <w:tcPr>
            <w:tcW w:w="2448" w:type="dxa"/>
            <w:hideMark/>
          </w:tcPr>
          <w:p w14:paraId="78F520FA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Primary outcomes</w:t>
            </w:r>
          </w:p>
        </w:tc>
        <w:tc>
          <w:tcPr>
            <w:tcW w:w="5940" w:type="dxa"/>
            <w:hideMark/>
          </w:tcPr>
          <w:p w14:paraId="6EFF1E23" w14:textId="77777777" w:rsidR="00F13E67" w:rsidRPr="00762C03" w:rsidRDefault="00F13E67" w:rsidP="00DF6D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Conclusion</w:t>
            </w:r>
          </w:p>
        </w:tc>
      </w:tr>
      <w:tr w:rsidR="00F13E67" w:rsidRPr="00762C03" w14:paraId="48D1E2F0" w14:textId="77777777" w:rsidTr="00DF6DD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hideMark/>
          </w:tcPr>
          <w:p w14:paraId="07BE1A05" w14:textId="77777777" w:rsidR="00F13E67" w:rsidRPr="00762C03" w:rsidRDefault="00F13E67" w:rsidP="00DF6DD3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Chen et al. 2022</w:t>
            </w:r>
          </w:p>
        </w:tc>
        <w:tc>
          <w:tcPr>
            <w:tcW w:w="1356" w:type="dxa"/>
            <w:hideMark/>
          </w:tcPr>
          <w:p w14:paraId="22F8D5A2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932" w:type="dxa"/>
            <w:hideMark/>
          </w:tcPr>
          <w:p w14:paraId="3F287AF3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ChiCTR2100045211</w:t>
            </w:r>
          </w:p>
        </w:tc>
        <w:tc>
          <w:tcPr>
            <w:tcW w:w="2472" w:type="dxa"/>
            <w:hideMark/>
          </w:tcPr>
          <w:p w14:paraId="0F01809E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Elective gynecological surgery</w:t>
            </w:r>
          </w:p>
        </w:tc>
        <w:tc>
          <w:tcPr>
            <w:tcW w:w="3444" w:type="dxa"/>
            <w:hideMark/>
          </w:tcPr>
          <w:p w14:paraId="47AFD3B0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Intravenous midazolam (0.03 mg/kg) and </w:t>
            </w: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sufentanil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(0.3 g/kg)</w:t>
            </w:r>
          </w:p>
        </w:tc>
        <w:tc>
          <w:tcPr>
            <w:tcW w:w="3072" w:type="dxa"/>
            <w:hideMark/>
          </w:tcPr>
          <w:p w14:paraId="3F58D9CF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 mg/kg</w:t>
            </w:r>
          </w:p>
        </w:tc>
        <w:tc>
          <w:tcPr>
            <w:tcW w:w="2724" w:type="dxa"/>
            <w:hideMark/>
          </w:tcPr>
          <w:p w14:paraId="4EA8AFFE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 mg/kg</w:t>
            </w:r>
          </w:p>
        </w:tc>
        <w:tc>
          <w:tcPr>
            <w:tcW w:w="2436" w:type="dxa"/>
            <w:hideMark/>
          </w:tcPr>
          <w:p w14:paraId="38747C4A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Rocuronium (0.6 mg/kg)</w:t>
            </w:r>
          </w:p>
        </w:tc>
        <w:tc>
          <w:tcPr>
            <w:tcW w:w="2448" w:type="dxa"/>
            <w:hideMark/>
          </w:tcPr>
          <w:p w14:paraId="67D0F4A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Percentage</w:t>
            </w: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of successful induction</w:t>
            </w:r>
          </w:p>
        </w:tc>
        <w:tc>
          <w:tcPr>
            <w:tcW w:w="5940" w:type="dxa"/>
            <w:hideMark/>
          </w:tcPr>
          <w:p w14:paraId="5645A4D8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Compared to propofol, ciprofol showed similar effectiveness for inducing general anesthesia in patients with gynecological surgery, and it was also linked with fewer side effects.</w:t>
            </w:r>
          </w:p>
        </w:tc>
      </w:tr>
      <w:tr w:rsidR="00F13E67" w:rsidRPr="00762C03" w14:paraId="15E77953" w14:textId="77777777" w:rsidTr="00DF6DD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hideMark/>
          </w:tcPr>
          <w:p w14:paraId="36FBDD51" w14:textId="77777777" w:rsidR="00F13E67" w:rsidRPr="00762C03" w:rsidRDefault="00F13E67" w:rsidP="00DF6DD3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Liang et al. 2023</w:t>
            </w:r>
          </w:p>
        </w:tc>
        <w:tc>
          <w:tcPr>
            <w:tcW w:w="1356" w:type="dxa"/>
            <w:hideMark/>
          </w:tcPr>
          <w:p w14:paraId="776634E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932" w:type="dxa"/>
            <w:hideMark/>
          </w:tcPr>
          <w:p w14:paraId="27078E6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NCT04511728</w:t>
            </w:r>
          </w:p>
        </w:tc>
        <w:tc>
          <w:tcPr>
            <w:tcW w:w="2472" w:type="dxa"/>
            <w:hideMark/>
          </w:tcPr>
          <w:p w14:paraId="67EDF5C7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Non-emergency, non-cardiothoracic, and non-brain elective surgeries</w:t>
            </w:r>
          </w:p>
        </w:tc>
        <w:tc>
          <w:tcPr>
            <w:tcW w:w="3444" w:type="dxa"/>
            <w:hideMark/>
          </w:tcPr>
          <w:p w14:paraId="2EFACBA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Intravenous midazolam (0.04 mg/kg) and </w:t>
            </w: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sufentanil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(0.3 g/kg)</w:t>
            </w:r>
          </w:p>
        </w:tc>
        <w:tc>
          <w:tcPr>
            <w:tcW w:w="3072" w:type="dxa"/>
            <w:hideMark/>
          </w:tcPr>
          <w:p w14:paraId="6662AE63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 mg/kg</w:t>
            </w:r>
          </w:p>
        </w:tc>
        <w:tc>
          <w:tcPr>
            <w:tcW w:w="2724" w:type="dxa"/>
            <w:hideMark/>
          </w:tcPr>
          <w:p w14:paraId="72C8F01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 mg/kg</w:t>
            </w:r>
          </w:p>
        </w:tc>
        <w:tc>
          <w:tcPr>
            <w:tcW w:w="2436" w:type="dxa"/>
            <w:hideMark/>
          </w:tcPr>
          <w:p w14:paraId="21AEAFCB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Rocuronium (0.6 mg/kg)</w:t>
            </w:r>
          </w:p>
        </w:tc>
        <w:tc>
          <w:tcPr>
            <w:tcW w:w="2448" w:type="dxa"/>
            <w:hideMark/>
          </w:tcPr>
          <w:p w14:paraId="459ABCB6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Rate of anesthetic maintenance</w:t>
            </w:r>
          </w:p>
        </w:tc>
        <w:tc>
          <w:tcPr>
            <w:tcW w:w="5940" w:type="dxa"/>
            <w:hideMark/>
          </w:tcPr>
          <w:p w14:paraId="5C467446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Compared to propofol, ciprofol showed a non-inferior effectiveness profile and tolerability.</w:t>
            </w:r>
          </w:p>
        </w:tc>
      </w:tr>
      <w:tr w:rsidR="00F13E67" w:rsidRPr="00762C03" w14:paraId="06A39986" w14:textId="77777777" w:rsidTr="00DF6DD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hideMark/>
          </w:tcPr>
          <w:p w14:paraId="6C261B19" w14:textId="77777777" w:rsidR="00F13E67" w:rsidRPr="00762C03" w:rsidRDefault="00F13E67" w:rsidP="00DF6DD3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Qin et al. 2022</w:t>
            </w:r>
          </w:p>
        </w:tc>
        <w:tc>
          <w:tcPr>
            <w:tcW w:w="1356" w:type="dxa"/>
            <w:hideMark/>
          </w:tcPr>
          <w:p w14:paraId="0CEA85E5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932" w:type="dxa"/>
            <w:hideMark/>
          </w:tcPr>
          <w:p w14:paraId="1C1F66C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ChiCTR2200058826</w:t>
            </w:r>
          </w:p>
        </w:tc>
        <w:tc>
          <w:tcPr>
            <w:tcW w:w="2472" w:type="dxa"/>
            <w:hideMark/>
          </w:tcPr>
          <w:p w14:paraId="7BB5B54E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Kidney transplantation under general anesthesia</w:t>
            </w:r>
          </w:p>
        </w:tc>
        <w:tc>
          <w:tcPr>
            <w:tcW w:w="3444" w:type="dxa"/>
            <w:hideMark/>
          </w:tcPr>
          <w:p w14:paraId="04F95E36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Sufentanil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(0.4-0.5 </w:t>
            </w: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μg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/kg)</w:t>
            </w:r>
          </w:p>
        </w:tc>
        <w:tc>
          <w:tcPr>
            <w:tcW w:w="3072" w:type="dxa"/>
            <w:hideMark/>
          </w:tcPr>
          <w:p w14:paraId="6D9FEE3E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 mg/kg</w:t>
            </w:r>
          </w:p>
        </w:tc>
        <w:tc>
          <w:tcPr>
            <w:tcW w:w="2724" w:type="dxa"/>
            <w:hideMark/>
          </w:tcPr>
          <w:p w14:paraId="2B83BC4E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 mg/kg</w:t>
            </w:r>
          </w:p>
        </w:tc>
        <w:tc>
          <w:tcPr>
            <w:tcW w:w="2436" w:type="dxa"/>
            <w:hideMark/>
          </w:tcPr>
          <w:p w14:paraId="77DBD8DF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Cisatracurium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(0.2 mg/kg)</w:t>
            </w:r>
          </w:p>
        </w:tc>
        <w:tc>
          <w:tcPr>
            <w:tcW w:w="2448" w:type="dxa"/>
            <w:hideMark/>
          </w:tcPr>
          <w:p w14:paraId="481BC95D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The success rate of sedation</w:t>
            </w:r>
          </w:p>
        </w:tc>
        <w:tc>
          <w:tcPr>
            <w:tcW w:w="5940" w:type="dxa"/>
            <w:hideMark/>
          </w:tcPr>
          <w:p w14:paraId="6D08D36B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The sedative impact of ciprofol was superior to propofol's, making it a preferable choice for anesthetic induction and maintenance after kidney transplantation.</w:t>
            </w:r>
          </w:p>
        </w:tc>
      </w:tr>
      <w:tr w:rsidR="00F13E67" w:rsidRPr="00762C03" w14:paraId="485C0189" w14:textId="77777777" w:rsidTr="00DF6DD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hideMark/>
          </w:tcPr>
          <w:p w14:paraId="4D4561A7" w14:textId="77777777" w:rsidR="00F13E67" w:rsidRPr="00762C03" w:rsidRDefault="00F13E67" w:rsidP="00DF6DD3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Wang et al. 2022</w:t>
            </w:r>
          </w:p>
        </w:tc>
        <w:tc>
          <w:tcPr>
            <w:tcW w:w="1356" w:type="dxa"/>
            <w:hideMark/>
          </w:tcPr>
          <w:p w14:paraId="79C01171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932" w:type="dxa"/>
            <w:hideMark/>
          </w:tcPr>
          <w:p w14:paraId="586A0AB8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NCT03808844</w:t>
            </w:r>
          </w:p>
        </w:tc>
        <w:tc>
          <w:tcPr>
            <w:tcW w:w="2472" w:type="dxa"/>
            <w:hideMark/>
          </w:tcPr>
          <w:p w14:paraId="772A199F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Elective surgeries under general anesthesia</w:t>
            </w:r>
          </w:p>
        </w:tc>
        <w:tc>
          <w:tcPr>
            <w:tcW w:w="3444" w:type="dxa"/>
            <w:hideMark/>
          </w:tcPr>
          <w:p w14:paraId="2525CE5E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Intravenous midazolam (0.04 mg/kg) and </w:t>
            </w: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sufentanil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(0.3 g/kg)</w:t>
            </w:r>
          </w:p>
        </w:tc>
        <w:tc>
          <w:tcPr>
            <w:tcW w:w="3072" w:type="dxa"/>
            <w:hideMark/>
          </w:tcPr>
          <w:p w14:paraId="366AAB50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 mg/kg</w:t>
            </w:r>
          </w:p>
        </w:tc>
        <w:tc>
          <w:tcPr>
            <w:tcW w:w="2724" w:type="dxa"/>
            <w:hideMark/>
          </w:tcPr>
          <w:p w14:paraId="353AFA9F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 mg/kg</w:t>
            </w:r>
          </w:p>
        </w:tc>
        <w:tc>
          <w:tcPr>
            <w:tcW w:w="2436" w:type="dxa"/>
            <w:hideMark/>
          </w:tcPr>
          <w:p w14:paraId="32AD8872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Rocuronium (0.6 mg/kg)</w:t>
            </w:r>
          </w:p>
        </w:tc>
        <w:tc>
          <w:tcPr>
            <w:tcW w:w="2448" w:type="dxa"/>
            <w:hideMark/>
          </w:tcPr>
          <w:p w14:paraId="4658395B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Percentage</w:t>
            </w: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of successful induction</w:t>
            </w:r>
          </w:p>
        </w:tc>
        <w:tc>
          <w:tcPr>
            <w:tcW w:w="5940" w:type="dxa"/>
            <w:hideMark/>
          </w:tcPr>
          <w:p w14:paraId="419D3DE3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For individuals having elective surgery, ciprofol has recently become a viable alternative to other drugs used to induce general anesthesia.</w:t>
            </w:r>
          </w:p>
        </w:tc>
      </w:tr>
      <w:tr w:rsidR="00F13E67" w:rsidRPr="00762C03" w14:paraId="45C16666" w14:textId="77777777" w:rsidTr="00DF6DD3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7" w:type="dxa"/>
            <w:hideMark/>
          </w:tcPr>
          <w:p w14:paraId="0CB3B6F8" w14:textId="77777777" w:rsidR="00F13E67" w:rsidRPr="00762C03" w:rsidRDefault="00F13E67" w:rsidP="00DF6DD3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Zeng et al. 2022</w:t>
            </w:r>
          </w:p>
        </w:tc>
        <w:tc>
          <w:tcPr>
            <w:tcW w:w="1356" w:type="dxa"/>
            <w:hideMark/>
          </w:tcPr>
          <w:p w14:paraId="657F0588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932" w:type="dxa"/>
            <w:hideMark/>
          </w:tcPr>
          <w:p w14:paraId="55043082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NCT03698617</w:t>
            </w:r>
          </w:p>
        </w:tc>
        <w:tc>
          <w:tcPr>
            <w:tcW w:w="2472" w:type="dxa"/>
            <w:hideMark/>
          </w:tcPr>
          <w:p w14:paraId="1CC5DFF8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Elective surgeries under general anesthesia</w:t>
            </w:r>
          </w:p>
        </w:tc>
        <w:tc>
          <w:tcPr>
            <w:tcW w:w="3444" w:type="dxa"/>
            <w:hideMark/>
          </w:tcPr>
          <w:p w14:paraId="6E2DE06B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Intravenous midazolam (0.04 mg/kg) and </w:t>
            </w:r>
            <w:proofErr w:type="spellStart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sufentanil</w:t>
            </w:r>
            <w:proofErr w:type="spellEnd"/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(0.3 g/kg)</w:t>
            </w:r>
          </w:p>
        </w:tc>
        <w:tc>
          <w:tcPr>
            <w:tcW w:w="3072" w:type="dxa"/>
            <w:hideMark/>
          </w:tcPr>
          <w:p w14:paraId="710752F8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 the dose escalation trial: 0.4 mg/kg, 0.5 mg/kg, and 0.3 mg/kg</w:t>
            </w: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In the dose-expansion trial: 0.3 mg/kg and 0.5 mg/kg</w:t>
            </w:r>
          </w:p>
        </w:tc>
        <w:tc>
          <w:tcPr>
            <w:tcW w:w="2724" w:type="dxa"/>
            <w:hideMark/>
          </w:tcPr>
          <w:p w14:paraId="4106D5BA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 the dose escalation trial: 2 mg/kg and 2.5 2 mg/kg</w:t>
            </w: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In the dose-expansion trial: 2 mg/kg</w:t>
            </w:r>
          </w:p>
        </w:tc>
        <w:tc>
          <w:tcPr>
            <w:tcW w:w="2436" w:type="dxa"/>
            <w:hideMark/>
          </w:tcPr>
          <w:p w14:paraId="3E420E1F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Rocuronium (not reported dose)</w:t>
            </w:r>
          </w:p>
        </w:tc>
        <w:tc>
          <w:tcPr>
            <w:tcW w:w="2448" w:type="dxa"/>
            <w:hideMark/>
          </w:tcPr>
          <w:p w14:paraId="07249508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Percentage</w:t>
            </w: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br/>
              <w:t>of successful induction</w:t>
            </w:r>
          </w:p>
        </w:tc>
        <w:tc>
          <w:tcPr>
            <w:tcW w:w="5940" w:type="dxa"/>
            <w:hideMark/>
          </w:tcPr>
          <w:p w14:paraId="2175F840" w14:textId="77777777" w:rsidR="00F13E67" w:rsidRPr="00762C03" w:rsidRDefault="00F13E67" w:rsidP="00DF6D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62C0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Inducing general anesthesia for patients undergoing selected surgery, a single bolus dosage of ciprofol was equally effective and safe as propofol.</w:t>
            </w:r>
          </w:p>
        </w:tc>
      </w:tr>
    </w:tbl>
    <w:p w14:paraId="278224E8" w14:textId="77777777" w:rsidR="00F13E67" w:rsidRPr="00762C03" w:rsidRDefault="00F13E67" w:rsidP="00F13E67">
      <w:pPr>
        <w:rPr>
          <w:rFonts w:asciiTheme="majorBidi" w:hAnsiTheme="majorBidi" w:cstheme="majorBidi"/>
          <w:sz w:val="24"/>
          <w:szCs w:val="24"/>
        </w:rPr>
      </w:pPr>
    </w:p>
    <w:p w14:paraId="524F1BD8" w14:textId="77777777" w:rsidR="00F13E67" w:rsidRPr="00762C03" w:rsidRDefault="00F13E67">
      <w:pPr>
        <w:rPr>
          <w:rFonts w:asciiTheme="majorBidi" w:hAnsiTheme="majorBidi" w:cstheme="majorBidi"/>
          <w:sz w:val="24"/>
          <w:szCs w:val="24"/>
        </w:rPr>
        <w:sectPr w:rsidR="00F13E67" w:rsidRPr="00762C03" w:rsidSect="00CE010D">
          <w:pgSz w:w="3168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78120992" w14:textId="1C6B673E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Figure 1: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Change in mean arterial pressure (MAP) (mmHg)</w:t>
      </w:r>
    </w:p>
    <w:p w14:paraId="1C8F8155" w14:textId="3BB86451" w:rsidR="00F13E67" w:rsidRPr="00762C03" w:rsidRDefault="00F13E67">
      <w:pPr>
        <w:rPr>
          <w:rFonts w:asciiTheme="majorBidi" w:hAnsiTheme="majorBidi" w:cstheme="majorBidi"/>
          <w:sz w:val="24"/>
          <w:szCs w:val="24"/>
        </w:rPr>
      </w:pPr>
      <w:r w:rsidRPr="00762C03">
        <w:rPr>
          <w:rFonts w:asciiTheme="majorBidi" w:hAnsiTheme="majorBidi" w:cstheme="majorBid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089AFF7C" wp14:editId="19943F69">
            <wp:extent cx="5969000" cy="58890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41" cy="589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C03">
        <w:rPr>
          <w:rFonts w:asciiTheme="majorBidi" w:hAnsiTheme="majorBidi" w:cstheme="majorBidi"/>
          <w:sz w:val="24"/>
          <w:szCs w:val="24"/>
        </w:rPr>
        <w:br w:type="page"/>
      </w:r>
    </w:p>
    <w:p w14:paraId="5D58A145" w14:textId="1FB807C8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Figure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Change in systolic blood pressure (SBP) (mmHg)</w:t>
      </w:r>
    </w:p>
    <w:p w14:paraId="43E30A61" w14:textId="29DA7CA9" w:rsidR="002F0952" w:rsidRPr="00762C03" w:rsidRDefault="00F13E67">
      <w:pPr>
        <w:rPr>
          <w:rFonts w:asciiTheme="majorBidi" w:hAnsiTheme="majorBidi" w:cstheme="majorBidi"/>
          <w:sz w:val="24"/>
          <w:szCs w:val="24"/>
        </w:rPr>
      </w:pPr>
      <w:r w:rsidRPr="00762C03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B4D2A0" wp14:editId="4FB81E14">
            <wp:extent cx="5727700" cy="5537130"/>
            <wp:effectExtent l="0" t="0" r="635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63" cy="553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2E4B" w14:textId="4F15D75A" w:rsidR="00F13E67" w:rsidRPr="00762C03" w:rsidRDefault="00F13E67">
      <w:pPr>
        <w:rPr>
          <w:rFonts w:asciiTheme="majorBidi" w:hAnsiTheme="majorBidi" w:cstheme="majorBidi"/>
          <w:sz w:val="24"/>
          <w:szCs w:val="24"/>
        </w:rPr>
      </w:pPr>
    </w:p>
    <w:p w14:paraId="13F364F3" w14:textId="7B747C2A" w:rsidR="00F13E67" w:rsidRPr="00762C03" w:rsidRDefault="00F13E67">
      <w:pPr>
        <w:rPr>
          <w:rFonts w:asciiTheme="majorBidi" w:hAnsiTheme="majorBidi" w:cstheme="majorBidi"/>
          <w:sz w:val="24"/>
          <w:szCs w:val="24"/>
        </w:rPr>
      </w:pPr>
    </w:p>
    <w:p w14:paraId="7E1D1341" w14:textId="4E949012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Figure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Change in diastolic blood pressure (DBP) (mmHg)</w:t>
      </w:r>
    </w:p>
    <w:p w14:paraId="3ECC58CF" w14:textId="3C789528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8C58AAF" wp14:editId="151E0562">
            <wp:extent cx="5905500" cy="57195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356" cy="572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F2C6" w14:textId="5775E991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p w14:paraId="3EEC2482" w14:textId="7B98D634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Figure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Incidence of h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ypotension</w:t>
      </w:r>
    </w:p>
    <w:p w14:paraId="618E3697" w14:textId="21B7C57B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D2450F2" wp14:editId="4DE1C3C7">
            <wp:extent cx="7239000" cy="167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4DD0" w14:textId="39A7C198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Incidence of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bradycardia</w:t>
      </w:r>
    </w:p>
    <w:p w14:paraId="73BAB54A" w14:textId="5670B411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6657DA9" wp14:editId="03AFADAC">
            <wp:extent cx="7239000" cy="1981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D5B1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90118DB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5FD4788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795883F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F52E565" w14:textId="60ADD371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Figure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Incidence of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tach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ycardia</w:t>
      </w:r>
    </w:p>
    <w:p w14:paraId="63383AFA" w14:textId="0E988579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442271A" wp14:editId="15F37831">
            <wp:extent cx="7239000" cy="1828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EABD3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762C0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762C03">
        <w:rPr>
          <w:rFonts w:asciiTheme="majorBidi" w:hAnsiTheme="majorBidi" w:cstheme="majorBidi"/>
          <w:sz w:val="24"/>
          <w:szCs w:val="24"/>
        </w:rPr>
        <w:t xml:space="preserve"> </w:t>
      </w:r>
      <w:r w:rsidRPr="00762C0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Incidence of Injection-site pain</w:t>
      </w:r>
      <w:r w:rsidRPr="00762C03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0C45295C" w14:textId="7B3D3319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762C03">
        <w:rPr>
          <w:rFonts w:asciiTheme="majorBidi" w:hAnsiTheme="majorBidi" w:cstheme="majorBid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4465214" wp14:editId="539AF887">
            <wp:extent cx="7239000" cy="1828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8DAE0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p w14:paraId="221FB748" w14:textId="77777777" w:rsidR="00F13E67" w:rsidRPr="00762C03" w:rsidRDefault="00F13E67" w:rsidP="00F13E67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sectPr w:rsidR="00F13E67" w:rsidRPr="00762C03" w:rsidSect="00F13E6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2NDIyNTYyNbU0tzBW0lEKTi0uzszPAykwrAUA5bM9pSwAAAA="/>
  </w:docVars>
  <w:rsids>
    <w:rsidRoot w:val="00605AE3"/>
    <w:rsid w:val="002F0952"/>
    <w:rsid w:val="00605AE3"/>
    <w:rsid w:val="00762C03"/>
    <w:rsid w:val="00F1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4E77"/>
  <w15:chartTrackingRefBased/>
  <w15:docId w15:val="{9C9988D0-B25D-4073-8579-D9996890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F13E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elsnhory</dc:creator>
  <cp:keywords/>
  <dc:description/>
  <cp:lastModifiedBy>ahmed elsnhory</cp:lastModifiedBy>
  <cp:revision>3</cp:revision>
  <dcterms:created xsi:type="dcterms:W3CDTF">2023-05-12T19:10:00Z</dcterms:created>
  <dcterms:modified xsi:type="dcterms:W3CDTF">2023-05-12T19:21:00Z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9b7ddf49bcca025259a44d2a46e3330a600b028ffe0fce612f77e2eff653d16d</vt:lpwstr>
  </property>
</Properties>
</file>