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480" w:lineRule="auto"/>
        <w:jc w:val="center"/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Times New Roman" w:cs="Times New Roman"/>
          <w:b/>
          <w:sz w:val="24"/>
          <w:szCs w:val="24"/>
          <w:lang w:val="en-GB" w:eastAsia="en-GB"/>
        </w:rPr>
        <w:t>rticle title</w:t>
      </w:r>
    </w:p>
    <w:p>
      <w:pPr>
        <w:spacing w:after="120" w:line="480" w:lineRule="auto"/>
        <w:jc w:val="center"/>
        <w:rPr>
          <w:rFonts w:hint="eastAsia" w:ascii="Times New Roman" w:hAnsi="Times New Roman" w:eastAsia="Times New Roman" w:cs="Times New Roman"/>
          <w:b/>
          <w:sz w:val="24"/>
          <w:szCs w:val="24"/>
          <w:lang w:val="en-GB" w:eastAsia="en-GB"/>
        </w:rPr>
      </w:pPr>
      <w:r>
        <w:rPr>
          <w:rFonts w:hint="eastAsia" w:ascii="Times New Roman" w:hAnsi="Times New Roman" w:eastAsia="Times New Roman" w:cs="Times New Roman"/>
          <w:b w:val="0"/>
          <w:bCs/>
          <w:sz w:val="24"/>
          <w:szCs w:val="24"/>
          <w:lang w:val="en-GB" w:eastAsia="en-GB"/>
        </w:rPr>
        <w:t>The Influence of Academic Stress on College Students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GB"/>
        </w:rPr>
        <w:t>'</w:t>
      </w:r>
      <w:r>
        <w:rPr>
          <w:rFonts w:hint="eastAsia" w:ascii="Times New Roman" w:hAnsi="Times New Roman" w:eastAsia="Times New Roman" w:cs="Times New Roman"/>
          <w:b w:val="0"/>
          <w:bCs/>
          <w:sz w:val="24"/>
          <w:szCs w:val="24"/>
          <w:lang w:val="en-GB" w:eastAsia="en-GB"/>
        </w:rPr>
        <w:t xml:space="preserve"> Learning Motivation: The Mediating Role of Academic Environment Satisfaction and the Moderating Role of Learning Adaptability</w:t>
      </w:r>
      <w:bookmarkStart w:id="0" w:name="_GoBack"/>
      <w:bookmarkEnd w:id="0"/>
    </w:p>
    <w:p>
      <w:pPr>
        <w:spacing w:after="120" w:line="480" w:lineRule="auto"/>
        <w:jc w:val="center"/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  <w:lang w:val="en-US" w:eastAsia="zh-CN"/>
        </w:rPr>
        <w:t>J</w:t>
      </w:r>
      <w:r>
        <w:rPr>
          <w:rFonts w:hint="eastAsia" w:ascii="Times New Roman" w:hAnsi="Times New Roman" w:eastAsia="Times New Roman" w:cs="Times New Roman"/>
          <w:b/>
          <w:i w:val="0"/>
          <w:iCs w:val="0"/>
          <w:sz w:val="24"/>
          <w:szCs w:val="24"/>
          <w:lang w:val="en-GB" w:eastAsia="en-GB"/>
        </w:rPr>
        <w:t>ournal name</w:t>
      </w:r>
    </w:p>
    <w:p>
      <w:pPr>
        <w:spacing w:after="120" w:line="480" w:lineRule="auto"/>
        <w:jc w:val="center"/>
        <w:rPr>
          <w:rFonts w:hint="eastAsia" w:ascii="Times New Roman" w:hAnsi="Times New Roman" w:eastAsia="Times New Roman" w:cs="Times New Roman"/>
          <w:b/>
          <w:i/>
          <w:iCs/>
          <w:sz w:val="24"/>
          <w:szCs w:val="24"/>
          <w:lang w:val="en-GB" w:eastAsia="en-GB"/>
        </w:rPr>
      </w:pPr>
      <w:r>
        <w:rPr>
          <w:rFonts w:hint="eastAsia" w:ascii="Times New Roman" w:hAnsi="Times New Roman" w:eastAsia="Times New Roman" w:cs="Times New Roman"/>
          <w:b w:val="0"/>
          <w:bCs/>
          <w:i/>
          <w:iCs/>
          <w:sz w:val="24"/>
          <w:szCs w:val="24"/>
          <w:lang w:val="en-GB" w:eastAsia="en-GB"/>
        </w:rPr>
        <w:t>Advances in Health Sciences Education</w:t>
      </w:r>
    </w:p>
    <w:p>
      <w:pPr>
        <w:spacing w:before="240" w:line="480" w:lineRule="auto"/>
        <w:jc w:val="center"/>
        <w:rPr>
          <w:rFonts w:hint="eastAsia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uthor names</w:t>
      </w:r>
    </w:p>
    <w:p>
      <w:pPr>
        <w:spacing w:before="240" w:line="480" w:lineRule="auto"/>
        <w:jc w:val="center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Chen Liu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val="en-GB" w:eastAsia="en-GB"/>
        </w:rPr>
        <w:t>a</w:t>
      </w:r>
      <w:r>
        <w:rPr>
          <w:rFonts w:hint="eastAsia" w:ascii="Times New Roman" w:hAnsi="Times New Roman" w:eastAsia="Times New Roman" w:cs="Times New Roman"/>
          <w:sz w:val="24"/>
          <w:szCs w:val="24"/>
          <w:vertAlign w:val="superscript"/>
          <w:lang w:val="en-GB" w:eastAsia="en-GB"/>
        </w:rPr>
        <w:t>#</w:t>
      </w:r>
      <w:r>
        <w:rPr>
          <w:rFonts w:hint="eastAsia" w:ascii="Times New Roman" w:hAnsi="Times New Roman" w:eastAsia="宋体" w:cs="Times New Roman"/>
          <w:sz w:val="24"/>
          <w:szCs w:val="24"/>
        </w:rPr>
        <w:t>, Jiayi Tang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Times New Roman" w:cs="Times New Roman"/>
          <w:sz w:val="24"/>
          <w:szCs w:val="24"/>
          <w:vertAlign w:val="superscript"/>
          <w:lang w:val="en-GB" w:eastAsia="en-GB"/>
        </w:rPr>
        <w:t>#</w:t>
      </w:r>
      <w:r>
        <w:rPr>
          <w:rFonts w:hint="eastAsia" w:ascii="Times New Roman" w:hAnsi="Times New Roman" w:eastAsia="宋体" w:cs="Times New Roman"/>
          <w:sz w:val="24"/>
          <w:szCs w:val="24"/>
        </w:rPr>
        <w:t>, Zhou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Jiang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宋体" w:cs="Times New Roman"/>
          <w:sz w:val="24"/>
          <w:szCs w:val="24"/>
        </w:rPr>
        <w:t>, Xingya Zhan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宋体" w:cs="Times New Roman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Junjie Shen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宋体" w:cs="Times New Roman"/>
          <w:sz w:val="24"/>
          <w:szCs w:val="24"/>
        </w:rPr>
        <w:t>, Mengying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Wang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宋体" w:cs="Times New Roman"/>
          <w:sz w:val="24"/>
          <w:szCs w:val="24"/>
        </w:rPr>
        <w:t>, Chao Shen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and </w:t>
      </w:r>
      <w:r>
        <w:rPr>
          <w:rFonts w:hint="eastAsia" w:ascii="Times New Roman" w:hAnsi="Times New Roman" w:eastAsia="宋体" w:cs="Times New Roman"/>
          <w:sz w:val="24"/>
          <w:szCs w:val="24"/>
        </w:rPr>
        <w:t>Xin Liu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e</w:t>
      </w:r>
      <w:r>
        <w:rPr>
          <w:rFonts w:hint="eastAsia" w:ascii="Times New Roman" w:hAnsi="Times New Roman" w:eastAsia="宋体" w:cs="Times New Roman"/>
          <w:sz w:val="24"/>
          <w:szCs w:val="24"/>
        </w:rPr>
        <w:t>*</w:t>
      </w:r>
    </w:p>
    <w:p>
      <w:pPr>
        <w:spacing w:before="240" w:line="480" w:lineRule="auto"/>
        <w:jc w:val="center"/>
        <w:rPr>
          <w:rFonts w:hint="eastAsia" w:ascii="Times New Roman" w:hAnsi="Times New Roman" w:eastAsia="宋体" w:cs="Times New Roman"/>
          <w:i/>
          <w:sz w:val="24"/>
          <w:szCs w:val="24"/>
          <w:lang w:val="en-GB" w:eastAsia="zh-CN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vertAlign w:val="superscript"/>
          <w:lang w:val="en-GB" w:eastAsia="en-GB"/>
        </w:rPr>
        <w:t>a</w:t>
      </w:r>
      <w:r>
        <w:rPr>
          <w:rFonts w:hint="eastAsia" w:ascii="Times New Roman" w:hAnsi="Times New Roman" w:eastAsia="Times New Roman" w:cs="Times New Roman"/>
          <w:i/>
          <w:sz w:val="24"/>
          <w:szCs w:val="24"/>
          <w:lang w:val="en-GB" w:eastAsia="en-GB"/>
        </w:rPr>
        <w:t xml:space="preserve">School of </w:t>
      </w:r>
      <w:r>
        <w:rPr>
          <w:rFonts w:hint="eastAsia" w:ascii="Times New Roman" w:hAnsi="Times New Roman" w:eastAsia="宋体" w:cs="Times New Roman"/>
          <w:i/>
          <w:sz w:val="24"/>
          <w:szCs w:val="24"/>
        </w:rPr>
        <w:t>international education</w:t>
      </w:r>
      <w:r>
        <w:rPr>
          <w:rFonts w:hint="eastAsia" w:ascii="Times New Roman" w:hAnsi="Times New Roman" w:eastAsia="Times New Roman" w:cs="Times New Roman"/>
          <w:i/>
          <w:sz w:val="24"/>
          <w:szCs w:val="24"/>
          <w:lang w:val="en-GB" w:eastAsia="en-GB"/>
        </w:rPr>
        <w:t>, Xuzhou Medical University, Xuzhou, China</w:t>
      </w:r>
    </w:p>
    <w:p>
      <w:pPr>
        <w:spacing w:before="240" w:line="480" w:lineRule="auto"/>
        <w:jc w:val="center"/>
        <w:rPr>
          <w:rFonts w:hint="eastAsia" w:ascii="Times New Roman" w:hAnsi="Times New Roman" w:eastAsia="宋体" w:cs="Times New Roman"/>
          <w:i/>
          <w:sz w:val="24"/>
          <w:szCs w:val="24"/>
          <w:lang w:val="en-GB" w:eastAsia="zh-CN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vertAlign w:val="superscript"/>
          <w:lang w:val="en-GB" w:eastAsia="en-GB"/>
        </w:rPr>
        <w:t>b</w:t>
      </w:r>
      <w:r>
        <w:rPr>
          <w:rFonts w:hint="eastAsia" w:ascii="Times New Roman" w:hAnsi="Times New Roman" w:eastAsia="Times New Roman" w:cs="Times New Roman"/>
          <w:i/>
          <w:sz w:val="24"/>
          <w:szCs w:val="24"/>
          <w:lang w:val="en-GB" w:eastAsia="en-GB"/>
        </w:rPr>
        <w:t>School of public health, Xuzhou Medical University, Xuzhou, China</w:t>
      </w:r>
    </w:p>
    <w:p>
      <w:pPr>
        <w:spacing w:before="240" w:line="480" w:lineRule="auto"/>
        <w:jc w:val="center"/>
        <w:rPr>
          <w:rFonts w:hint="eastAsia" w:ascii="Times New Roman" w:hAnsi="Times New Roman" w:eastAsia="宋体" w:cs="Times New Roman"/>
          <w:i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i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宋体" w:cs="Times New Roman"/>
          <w:i/>
          <w:sz w:val="24"/>
          <w:szCs w:val="24"/>
        </w:rPr>
        <w:t>Department of Epidemiology and Biostatistics, Key Laboratory of Infectious Diseases, School of Public Health, Nanjing Medical University, Nanjing, China</w:t>
      </w:r>
    </w:p>
    <w:p>
      <w:pPr>
        <w:spacing w:before="240" w:line="480" w:lineRule="auto"/>
        <w:jc w:val="center"/>
        <w:rPr>
          <w:rFonts w:hint="eastAsia" w:ascii="Times New Roman" w:hAnsi="Times New Roman" w:eastAsia="宋体" w:cs="Times New Roman"/>
          <w:sz w:val="24"/>
          <w:szCs w:val="24"/>
          <w:lang w:val="en-GB" w:eastAsia="en-GB"/>
        </w:rPr>
      </w:pPr>
      <w:r>
        <w:rPr>
          <w:rFonts w:hint="eastAsia" w:ascii="Times New Roman" w:hAnsi="Times New Roman" w:eastAsia="宋体" w:cs="Times New Roman"/>
          <w:i/>
          <w:sz w:val="24"/>
          <w:szCs w:val="24"/>
          <w:vertAlign w:val="superscript"/>
        </w:rPr>
        <w:t>e</w:t>
      </w:r>
      <w:r>
        <w:rPr>
          <w:rFonts w:hint="eastAsia" w:ascii="Times New Roman" w:hAnsi="Times New Roman" w:eastAsia="宋体" w:cs="Times New Roman"/>
          <w:i/>
          <w:sz w:val="24"/>
          <w:szCs w:val="24"/>
        </w:rPr>
        <w:t>Center for Mental Health Education and Research, Xuzhou medical University, Xuzhou, China</w:t>
      </w:r>
    </w:p>
    <w:p>
      <w:pPr>
        <w:spacing w:before="240" w:beforeLines="0" w:afterLines="0" w:line="480" w:lineRule="auto"/>
        <w:jc w:val="center"/>
        <w:rPr>
          <w:rFonts w:hint="eastAsia" w:ascii="Times New Roman" w:hAnsi="Times New Roman" w:eastAsia="Times New Roman"/>
          <w:b/>
          <w:sz w:val="24"/>
          <w:szCs w:val="24"/>
          <w:lang w:val="en-GB" w:eastAsia="en-GB"/>
        </w:rPr>
      </w:pPr>
      <w:r>
        <w:rPr>
          <w:rFonts w:hint="eastAsia" w:ascii="Times New Roman" w:hAnsi="Times New Roman" w:eastAsia="Times New Roman"/>
          <w:b/>
          <w:sz w:val="24"/>
          <w:szCs w:val="24"/>
          <w:lang w:val="en-GB" w:eastAsia="en-GB"/>
        </w:rPr>
        <w:t>Author Note</w:t>
      </w:r>
    </w:p>
    <w:p>
      <w:pPr>
        <w:spacing w:before="240" w:beforeLines="0" w:afterLines="0" w:line="480" w:lineRule="auto"/>
        <w:jc w:val="center"/>
        <w:rPr>
          <w:rFonts w:hint="eastAsia" w:ascii="Times New Roman" w:hAnsi="Times New Roman" w:eastAsia="Times New Roman"/>
          <w:sz w:val="24"/>
          <w:szCs w:val="24"/>
          <w:lang w:val="en-GB" w:eastAsia="en-GB"/>
        </w:rPr>
      </w:pPr>
      <w:r>
        <w:rPr>
          <w:rFonts w:hint="eastAsia" w:ascii="Times New Roman" w:hAnsi="Times New Roman" w:eastAsia="Times New Roman"/>
          <w:sz w:val="24"/>
          <w:szCs w:val="24"/>
          <w:lang w:val="en-GB" w:eastAsia="en-GB"/>
        </w:rPr>
        <w:t># These authors contributed equally to this work.</w:t>
      </w:r>
    </w:p>
    <w:p>
      <w:pPr>
        <w:spacing w:before="240" w:beforeLines="0" w:afterLines="0" w:line="480" w:lineRule="auto"/>
        <w:jc w:val="center"/>
        <w:rPr>
          <w:rFonts w:hint="eastAsia" w:ascii="Times New Roman" w:hAnsi="Times New Roman" w:eastAsia="Times New Roman"/>
          <w:sz w:val="24"/>
          <w:szCs w:val="24"/>
          <w:lang w:val="en-GB" w:eastAsia="en-GB"/>
        </w:rPr>
      </w:pPr>
      <w:r>
        <w:rPr>
          <w:rFonts w:hint="eastAsia" w:ascii="Times New Roman" w:hAnsi="Times New Roman" w:eastAsia="Times New Roman"/>
          <w:sz w:val="24"/>
          <w:szCs w:val="24"/>
          <w:lang w:val="en-GB" w:eastAsia="en-GB"/>
        </w:rPr>
        <w:t>We have no known conflict of interest to disclose.</w:t>
      </w:r>
    </w:p>
    <w:p>
      <w:pPr>
        <w:pStyle w:val="9"/>
        <w:spacing w:line="480" w:lineRule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t xml:space="preserve">Correspondence concerning this article should be addressed to </w:t>
      </w:r>
      <w:r>
        <w:rPr>
          <w:rFonts w:hint="eastAsia" w:ascii="Times New Roman" w:hAnsi="Times New Roman"/>
          <w:b w:val="0"/>
          <w:bCs/>
          <w:sz w:val="24"/>
          <w:szCs w:val="24"/>
        </w:rPr>
        <w:t>Xin Liu</w:t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t>,</w:t>
      </w:r>
      <w:r>
        <w:rPr>
          <w:rFonts w:hint="eastAsia" w:ascii="Times New Roman" w:hAnsi="Times New Roman"/>
          <w:b w:val="0"/>
          <w:bCs/>
          <w:sz w:val="24"/>
          <w:szCs w:val="24"/>
        </w:rPr>
        <w:t xml:space="preserve"> Xuzhou medical University</w:t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t>,</w:t>
      </w:r>
      <w:r>
        <w:rPr>
          <w:rFonts w:hint="eastAsia" w:ascii="Times New Roman" w:hAnsi="Times New Roman"/>
          <w:b w:val="0"/>
          <w:bCs/>
          <w:sz w:val="24"/>
          <w:szCs w:val="24"/>
        </w:rPr>
        <w:t xml:space="preserve"> Xuzhou,</w:t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t xml:space="preserve"> </w:t>
      </w:r>
      <w:r>
        <w:rPr>
          <w:rFonts w:hint="eastAsia" w:ascii="Times New Roman" w:hAnsi="Times New Roman"/>
          <w:b w:val="0"/>
          <w:bCs/>
          <w:sz w:val="24"/>
          <w:szCs w:val="24"/>
        </w:rPr>
        <w:t>Jiangsu Province,</w:t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t xml:space="preserve"> </w:t>
      </w:r>
      <w:r>
        <w:rPr>
          <w:rFonts w:hint="eastAsia" w:ascii="Times New Roman" w:hAnsi="Times New Roman"/>
          <w:b w:val="0"/>
          <w:bCs/>
          <w:sz w:val="24"/>
          <w:szCs w:val="24"/>
        </w:rPr>
        <w:t xml:space="preserve">China, </w:t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t>Email:</w:t>
      </w:r>
      <w:r>
        <w:rPr>
          <w:rFonts w:hint="eastAsia" w:ascii="Times New Roman" w:hAnsi="Times New Roman" w:eastAsia="Times New Roman"/>
          <w:b w:val="0"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fldChar w:fldCharType="begin"/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instrText xml:space="preserve"> HYPERLINK "mailto:lx@xzhmu.edu.cn" </w:instrText>
      </w:r>
      <w:r>
        <w:rPr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fldChar w:fldCharType="separate"/>
      </w:r>
      <w:r>
        <w:rPr>
          <w:rStyle w:val="8"/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t>lx@xzhmu.edu.cn</w:t>
      </w:r>
      <w:r>
        <w:rPr>
          <w:rStyle w:val="8"/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br w:type="page"/>
      </w:r>
      <w:r>
        <w:rPr>
          <w:rStyle w:val="8"/>
          <w:rFonts w:hint="eastAsia" w:ascii="Times New Roman" w:hAnsi="Times New Roman" w:eastAsia="Times New Roman"/>
          <w:b w:val="0"/>
          <w:bCs/>
          <w:sz w:val="24"/>
          <w:szCs w:val="24"/>
          <w:lang w:val="en-GB" w:eastAsia="en-GB"/>
        </w:rPr>
        <w:fldChar w:fldCharType="end"/>
      </w:r>
    </w:p>
    <w:p>
      <w:pPr>
        <w:pStyle w:val="9"/>
      </w:pPr>
      <w:r>
        <w:rPr>
          <w:rFonts w:hint="eastAsia"/>
          <w:lang w:val="en-US" w:eastAsia="zh-CN"/>
        </w:rPr>
        <w:t>S</w:t>
      </w:r>
      <w:r>
        <w:rPr>
          <w:rFonts w:hint="eastAsia"/>
        </w:rPr>
        <w:t>upplementary material</w:t>
      </w:r>
    </w:p>
    <w:p>
      <w:pPr>
        <w:widowControl/>
        <w:numPr>
          <w:ilvl w:val="0"/>
          <w:numId w:val="1"/>
        </w:numPr>
        <w:spacing w:before="240" w:after="240" w:line="480" w:lineRule="auto"/>
        <w:contextualSpacing/>
        <w:rPr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GB" w:eastAsia="en-GB" w:bidi="ar-SA"/>
        </w:rPr>
        <w:t>Supplementary Tables</w:t>
      </w:r>
    </w:p>
    <w:p>
      <w:pPr>
        <w:keepNext/>
        <w:widowControl/>
        <w:spacing w:before="120" w:after="240" w:line="36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 w:val="0"/>
          <w:bCs/>
          <w:kern w:val="0"/>
          <w:sz w:val="24"/>
          <w:szCs w:val="24"/>
          <w:lang w:eastAsia="en-US"/>
        </w:rPr>
        <w:t>Supplementary Table1.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onstruct validity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Overall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it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oefficient of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four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cale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</w:p>
    <w:tbl>
      <w:tblPr>
        <w:tblStyle w:val="6"/>
        <w:tblW w:w="7203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12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10"/>
        <w:gridCol w:w="1181"/>
        <w:gridCol w:w="1072"/>
        <w:gridCol w:w="960"/>
        <w:gridCol w:w="960"/>
        <w:gridCol w:w="960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Scale</w:t>
            </w:r>
          </w:p>
        </w:tc>
        <w:tc>
          <w:tcPr>
            <w:tcW w:w="111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χ2/df</w:t>
            </w:r>
          </w:p>
        </w:tc>
        <w:tc>
          <w:tcPr>
            <w:tcW w:w="118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RMSEA</w:t>
            </w:r>
          </w:p>
        </w:tc>
        <w:tc>
          <w:tcPr>
            <w:tcW w:w="1072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GFI</w:t>
            </w:r>
          </w:p>
        </w:tc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CFI</w:t>
            </w:r>
          </w:p>
        </w:tc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IFI</w:t>
            </w:r>
          </w:p>
        </w:tc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TLI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111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7.965</w:t>
            </w:r>
          </w:p>
        </w:tc>
        <w:tc>
          <w:tcPr>
            <w:tcW w:w="1181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0.066</w:t>
            </w:r>
          </w:p>
        </w:tc>
        <w:tc>
          <w:tcPr>
            <w:tcW w:w="1072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0.976</w:t>
            </w:r>
          </w:p>
        </w:tc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</w:t>
            </w:r>
          </w:p>
        </w:tc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</w:t>
            </w:r>
          </w:p>
        </w:tc>
        <w:tc>
          <w:tcPr>
            <w:tcW w:w="960" w:type="dxa"/>
            <w:tcBorders>
              <w:top w:val="single" w:color="000000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11.542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7.049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9.974</w:t>
            </w: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</w:tbl>
    <w:p>
      <w:pPr>
        <w:spacing w:line="360" w:lineRule="auto"/>
        <w:rPr>
          <w:rFonts w:ascii="Times New Roman" w:hAnsi="Times New Roman" w:eastAsia="Times New Roman" w:cs="Times New Roman"/>
          <w:kern w:val="0"/>
          <w:sz w:val="24"/>
          <w:szCs w:val="24"/>
          <w:lang w:val="en-GB" w:eastAsia="en-GB"/>
        </w:rPr>
      </w:pP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Note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val="en-US" w:eastAsia="zh-CN"/>
        </w:rPr>
        <w:t xml:space="preserve">: 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AESS=Academic Environment Satisfaction Scale, LAS=Learning Adaptability Scale, ASS=Academic Stress Scale, LMS=Learning Motivation Scale.</w:t>
      </w:r>
      <w:r>
        <w:rPr>
          <w:rFonts w:hint="eastAsia" w:ascii="Times New Roman" w:hAnsi="Times New Roman"/>
          <w:b/>
          <w:kern w:val="0"/>
          <w:sz w:val="22"/>
          <w:szCs w:val="22"/>
          <w:lang w:eastAsia="en-US"/>
        </w:rPr>
        <w:br w:type="page"/>
      </w:r>
    </w:p>
    <w:p>
      <w:pPr>
        <w:keepNext/>
        <w:widowControl/>
        <w:spacing w:before="120" w:after="240"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ascii="Times New Roman" w:hAnsi="Times New Roman"/>
          <w:b w:val="0"/>
          <w:bCs/>
          <w:kern w:val="0"/>
          <w:sz w:val="24"/>
          <w:szCs w:val="24"/>
          <w:lang w:eastAsia="en-US"/>
        </w:rPr>
        <w:t>Supplementary Table</w:t>
      </w:r>
      <w:r>
        <w:rPr>
          <w:rFonts w:hint="eastAsia" w:ascii="Times New Roman" w:hAnsi="Times New Roman"/>
          <w:b w:val="0"/>
          <w:bCs/>
          <w:kern w:val="0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/>
          <w:kern w:val="0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onvergent validity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Factor Loading for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four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cale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</w:t>
      </w:r>
    </w:p>
    <w:tbl>
      <w:tblPr>
        <w:tblStyle w:val="6"/>
        <w:tblW w:w="7313" w:type="dxa"/>
        <w:jc w:val="center"/>
        <w:tblBorders>
          <w:top w:val="single" w:color="000000" w:sz="12" w:space="0"/>
          <w:left w:val="single" w:color="000000" w:sz="4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953"/>
        <w:gridCol w:w="953"/>
        <w:gridCol w:w="953"/>
        <w:gridCol w:w="953"/>
        <w:gridCol w:w="953"/>
        <w:gridCol w:w="953"/>
      </w:tblGrid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left w:val="nil"/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Item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Scale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AVE</w:t>
            </w:r>
          </w:p>
        </w:tc>
        <w:tc>
          <w:tcPr>
            <w:tcW w:w="953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595" w:type="dxa"/>
            <w:tcBorders>
              <w:top w:val="single" w:color="000000" w:sz="12" w:space="0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0.935</w:t>
            </w: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tcBorders>
              <w:top w:val="single" w:color="000000" w:sz="12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0.837</w:t>
            </w:r>
          </w:p>
        </w:tc>
        <w:tc>
          <w:tcPr>
            <w:tcW w:w="953" w:type="dxa"/>
            <w:vMerge w:val="restar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0.952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0.899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AES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0.956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LA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0.933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LA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LA 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LA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0.688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0.926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0.703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0.653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0.848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0.795</w:t>
            </w: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0.913</w:t>
            </w: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0.897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953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4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595" w:type="dxa"/>
            <w:tcBorders>
              <w:top w:val="nil"/>
              <w:lef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LM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/>
        <w:widowControl/>
        <w:spacing w:before="120" w:after="240"/>
        <w:jc w:val="left"/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sz w:val="22"/>
          <w:szCs w:val="22"/>
        </w:rPr>
        <w:t>Note：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Bold = salient (&gt; 3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/>
          <w:b w:val="0"/>
          <w:bCs/>
          <w:kern w:val="0"/>
          <w:sz w:val="22"/>
          <w:szCs w:val="22"/>
          <w:lang w:eastAsia="en-US"/>
        </w:rPr>
        <w:t>0) loading.</w:t>
      </w:r>
    </w:p>
    <w:p>
      <w:pPr>
        <w:keepNext/>
        <w:widowControl/>
        <w:spacing w:before="120" w:after="240" w:line="360" w:lineRule="auto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b w:val="0"/>
          <w:bCs/>
          <w:kern w:val="0"/>
          <w:sz w:val="24"/>
          <w:szCs w:val="24"/>
          <w:lang w:eastAsia="en-US"/>
        </w:rPr>
        <w:t>Supplementary Table</w:t>
      </w:r>
      <w:r>
        <w:rPr>
          <w:rFonts w:hint="eastAsia" w:ascii="Times New Roman" w:hAnsi="Times New Roman"/>
          <w:b w:val="0"/>
          <w:bCs/>
          <w:kern w:val="0"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>iscriminant validity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The square roots of AVE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4"/>
          <w:szCs w:val="24"/>
        </w:rPr>
        <w:t>correlation between the constructs</w:t>
      </w:r>
    </w:p>
    <w:tbl>
      <w:tblPr>
        <w:tblStyle w:val="6"/>
        <w:tblpPr w:leftFromText="180" w:rightFromText="180" w:vertAnchor="text" w:horzAnchor="page" w:tblpX="762" w:tblpY="227"/>
        <w:tblOverlap w:val="never"/>
        <w:tblW w:w="10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38"/>
        <w:gridCol w:w="1004"/>
        <w:gridCol w:w="798"/>
        <w:gridCol w:w="1004"/>
        <w:gridCol w:w="798"/>
        <w:gridCol w:w="1004"/>
        <w:gridCol w:w="1004"/>
        <w:gridCol w:w="798"/>
        <w:gridCol w:w="1004"/>
        <w:gridCol w:w="1004"/>
        <w:gridCol w:w="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638" w:type="dxa"/>
            <w:gridSpan w:val="2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Scale</w:t>
            </w:r>
          </w:p>
        </w:tc>
        <w:tc>
          <w:tcPr>
            <w:tcW w:w="180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AESS</w:t>
            </w:r>
          </w:p>
        </w:tc>
        <w:tc>
          <w:tcPr>
            <w:tcW w:w="180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LAS</w:t>
            </w:r>
          </w:p>
        </w:tc>
        <w:tc>
          <w:tcPr>
            <w:tcW w:w="2806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2807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38" w:type="dxa"/>
            <w:gridSpan w:val="2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79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4"/>
              </w:tabs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00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AESS</w:t>
            </w:r>
          </w:p>
        </w:tc>
        <w:tc>
          <w:tcPr>
            <w:tcW w:w="8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0.837</w:t>
            </w: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0.599***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0.814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0.171***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0.688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0.404***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0.758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0.372***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0.595***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0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38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Square root of AVE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0.915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0.839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0.902 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0.859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0.830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0.871 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0.808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</w:tr>
    </w:tbl>
    <w:p>
      <w:pPr>
        <w:pStyle w:val="1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Note：* </w:t>
      </w:r>
      <w:r>
        <w:rPr>
          <w:rFonts w:hint="default" w:ascii="Times New Roman" w:hAnsi="Times New Roman" w:cs="Times New Roman"/>
          <w:i/>
          <w:iCs w:val="0"/>
          <w:sz w:val="22"/>
          <w:szCs w:val="22"/>
        </w:rPr>
        <w:t>P</w:t>
      </w:r>
      <w:r>
        <w:rPr>
          <w:rFonts w:hint="default" w:ascii="Times New Roman" w:hAnsi="Times New Roman" w:cs="Times New Roman"/>
          <w:sz w:val="22"/>
          <w:szCs w:val="22"/>
        </w:rPr>
        <w:t xml:space="preserve">&lt;0. 05，** </w:t>
      </w:r>
      <w:r>
        <w:rPr>
          <w:rFonts w:hint="default" w:ascii="Times New Roman" w:hAnsi="Times New Roman" w:cs="Times New Roman"/>
          <w:i/>
          <w:iCs w:val="0"/>
          <w:sz w:val="22"/>
          <w:szCs w:val="22"/>
        </w:rPr>
        <w:t>P</w:t>
      </w:r>
      <w:r>
        <w:rPr>
          <w:rFonts w:hint="default" w:ascii="Times New Roman" w:hAnsi="Times New Roman" w:cs="Times New Roman"/>
          <w:sz w:val="22"/>
          <w:szCs w:val="22"/>
        </w:rPr>
        <w:t>&lt;0. 01，***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 xml:space="preserve"> P</w:t>
      </w:r>
      <w:r>
        <w:rPr>
          <w:rFonts w:hint="default" w:ascii="Times New Roman" w:hAnsi="Times New Roman" w:cs="Times New Roman"/>
          <w:sz w:val="22"/>
          <w:szCs w:val="22"/>
        </w:rPr>
        <w:t>&lt;0. 001</w:t>
      </w: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Supplementary Table4. 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Testing the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moderated mediating effect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of academic stress on learning motivation</w:t>
      </w:r>
    </w:p>
    <w:tbl>
      <w:tblPr>
        <w:tblStyle w:val="6"/>
        <w:tblpPr w:leftFromText="180" w:rightFromText="180" w:vertAnchor="page" w:horzAnchor="page" w:tblpX="1562" w:tblpY="2623"/>
        <w:tblW w:w="88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1338"/>
        <w:gridCol w:w="1325"/>
        <w:gridCol w:w="1750"/>
        <w:gridCol w:w="2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362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6513" w:type="dxa"/>
            <w:gridSpan w:val="4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Equation 4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Outcome variable: LM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362" w:type="dxa"/>
            <w:vMerge w:val="continue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2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7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95%CI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362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338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-0.746</w:t>
            </w:r>
          </w:p>
        </w:tc>
        <w:tc>
          <w:tcPr>
            <w:tcW w:w="1325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0.412</w:t>
            </w:r>
          </w:p>
        </w:tc>
        <w:tc>
          <w:tcPr>
            <w:tcW w:w="1750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-1.811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[-1.554,0.062]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Major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[-0.170,0.260]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Economic condition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-0.472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0.457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-1.033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[-1.367,0.424]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Urban and rural origin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0.360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[-0.726,0.686]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Family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atmosphere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-0.326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0.123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-2.660**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[-0.567,-0.086]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0.235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[0.185,0.284]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1.734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[-0.129,0.008]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AS*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441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[-0.031,-0.019]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979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[0.172,0.307]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R-sq</w:t>
            </w:r>
          </w:p>
        </w:tc>
        <w:tc>
          <w:tcPr>
            <w:tcW w:w="651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6513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29.750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Note：*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&lt;0. 05，**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&lt;0. 01，*** 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&lt;0. 001.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AES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academic environment satisfaction; LA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learning adaptability; AS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academic stress; LM</w:t>
      </w:r>
      <w:r>
        <w:rPr>
          <w:rFonts w:ascii="Times New Roman" w:hAnsi="Times New Roman" w:cs="Times New Roman"/>
          <w:bCs/>
          <w:kern w:val="0"/>
          <w:sz w:val="22"/>
          <w:szCs w:val="22"/>
          <w:lang w:eastAsia="en-US"/>
        </w:rPr>
        <w:t>=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learning motivation.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br w:type="page"/>
      </w:r>
    </w:p>
    <w:p>
      <w:pPr>
        <w:widowControl/>
        <w:numPr>
          <w:ilvl w:val="0"/>
          <w:numId w:val="1"/>
        </w:numPr>
        <w:spacing w:before="240" w:after="240" w:line="480" w:lineRule="auto"/>
        <w:ind w:left="720" w:hanging="153"/>
        <w:contextualSpacing/>
        <w:rPr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GB" w:eastAsia="en-GB" w:bidi="ar-SA"/>
        </w:rPr>
        <w:t>Supplementary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Figures</w:t>
      </w:r>
    </w:p>
    <w:p>
      <w:pPr>
        <w:pStyle w:val="2"/>
        <w:numPr>
          <w:ilvl w:val="0"/>
          <w:numId w:val="0"/>
        </w:numPr>
        <w:ind w:leftChars="0"/>
        <w:rPr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730240" cy="3056255"/>
            <wp:effectExtent l="0" t="0" r="10160" b="444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t>ure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t>.1 Moderated mediation model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br w:type="page"/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4992370" cy="2840990"/>
            <wp:effectExtent l="0" t="0" r="11430" b="3810"/>
            <wp:docPr id="3" name="图片 3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237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Fig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ure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The moderating role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earning adaptability in the relationship between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cademic stress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learning motivation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sectPr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newSection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D0C07"/>
    <w:multiLevelType w:val="multilevel"/>
    <w:tmpl w:val="3C5D0C07"/>
    <w:lvl w:ilvl="0" w:tentative="0">
      <w:start w:val="1"/>
      <w:numFmt w:val="decimal"/>
      <w:lvlText w:val="(%1)"/>
      <w:lvlJc w:val="right"/>
      <w:pPr>
        <w:ind w:left="720" w:hanging="153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NmQ0Y2Q5OTA3MmE3M2U2NmM0ZmZmNDZiZWM2ZGIifQ=="/>
  </w:docVars>
  <w:rsids>
    <w:rsidRoot w:val="00172A27"/>
    <w:rsid w:val="02605E27"/>
    <w:rsid w:val="11C02502"/>
    <w:rsid w:val="147B34D8"/>
    <w:rsid w:val="1D9C5221"/>
    <w:rsid w:val="24A82301"/>
    <w:rsid w:val="2E6D76C3"/>
    <w:rsid w:val="33892E24"/>
    <w:rsid w:val="3E2740BD"/>
    <w:rsid w:val="3F373C95"/>
    <w:rsid w:val="55DD0DBD"/>
    <w:rsid w:val="56030177"/>
    <w:rsid w:val="7D43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widowControl/>
      <w:spacing w:before="240" w:after="240"/>
      <w:ind w:firstLine="0" w:firstLineChars="0"/>
      <w:jc w:val="left"/>
      <w:outlineLvl w:val="0"/>
    </w:pPr>
    <w:rPr>
      <w:rFonts w:ascii="Times New Roman" w:hAnsi="Times New Roman" w:eastAsia="Cambria"/>
      <w:b/>
      <w:kern w:val="0"/>
      <w:sz w:val="24"/>
      <w:szCs w:val="24"/>
      <w:lang w:eastAsia="en-US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</w:pPr>
    <w:rPr>
      <w:rFonts w:hint="default"/>
      <w:sz w:val="18"/>
      <w:szCs w:val="24"/>
    </w:rPr>
  </w:style>
  <w:style w:type="paragraph" w:styleId="5">
    <w:name w:val="Title"/>
    <w:next w:val="1"/>
    <w:qFormat/>
    <w:uiPriority w:val="10"/>
    <w:pPr>
      <w:widowControl w:val="0"/>
      <w:spacing w:before="240" w:after="60"/>
      <w:jc w:val="center"/>
      <w:outlineLvl w:val="0"/>
    </w:pPr>
    <w:rPr>
      <w:rFonts w:ascii="等线 Light" w:hAnsi="等线 Light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Supplementary Material"/>
    <w:next w:val="5"/>
    <w:qFormat/>
    <w:uiPriority w:val="0"/>
    <w:pPr>
      <w:widowControl/>
      <w:suppressLineNumbers/>
      <w:spacing w:before="240" w:after="120"/>
      <w:jc w:val="center"/>
      <w:outlineLvl w:val="9"/>
    </w:pPr>
    <w:rPr>
      <w:rFonts w:ascii="Times New Roman" w:hAnsi="Times New Roman" w:eastAsia="宋体" w:cs="Times New Roman"/>
      <w:b/>
      <w:i/>
      <w:kern w:val="0"/>
      <w:sz w:val="32"/>
      <w:szCs w:val="32"/>
      <w:lang w:val="en-US" w:eastAsia="en-US" w:bidi="ar-SA"/>
    </w:r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481</Words>
  <Characters>2291</Characters>
  <Lines>0</Lines>
  <Paragraphs>0</Paragraphs>
  <TotalTime>1</TotalTime>
  <ScaleCrop>false</ScaleCrop>
  <LinksUpToDate>false</LinksUpToDate>
  <CharactersWithSpaces>2470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2022-09-28T00:06:00Z</dcterms:created>
  <dc:creator>珺慧麦外敷</dc:creator>
  <cp:lastModifiedBy>insomnia</cp:lastModifiedBy>
  <dcterms:modified xsi:type="dcterms:W3CDTF">2023-05-08T14:49:20Z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C59ECD25011547ADA7F1CD5B5872C95B</vt:lpwstr>
  </property>
</Properties>
</file>