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DE722" w14:textId="77777777" w:rsidR="00202E1C" w:rsidRPr="00202E1C" w:rsidRDefault="00202E1C" w:rsidP="00202E1C">
      <w:pPr>
        <w:spacing w:before="120" w:after="120" w:line="276" w:lineRule="auto"/>
        <w:ind w:left="1416" w:hanging="1416"/>
        <w:contextualSpacing/>
        <w:jc w:val="both"/>
        <w:rPr>
          <w:rFonts w:cs="Arial"/>
          <w:bCs/>
          <w:color w:val="000000"/>
          <w:szCs w:val="22"/>
          <w:lang w:val="en-US"/>
        </w:rPr>
      </w:pPr>
      <w:r>
        <w:rPr>
          <w:rFonts w:cs="Arial"/>
          <w:b/>
          <w:bCs/>
          <w:color w:val="000000"/>
          <w:szCs w:val="22"/>
          <w:lang w:val="en-US"/>
        </w:rPr>
        <w:t>Title</w:t>
      </w:r>
      <w:r>
        <w:rPr>
          <w:rFonts w:cs="Arial"/>
          <w:b/>
          <w:bCs/>
          <w:color w:val="000000"/>
          <w:szCs w:val="22"/>
          <w:lang w:val="en-US"/>
        </w:rPr>
        <w:tab/>
      </w:r>
      <w:r w:rsidRPr="00202E1C">
        <w:rPr>
          <w:rFonts w:cs="Arial"/>
          <w:bCs/>
          <w:color w:val="000000"/>
          <w:szCs w:val="22"/>
          <w:lang w:val="en-US"/>
        </w:rPr>
        <w:t>Chromatin insulation orchestrates matrix metalloproteinase gene cluster expression reprogramming in aggressive breast cancer tumors</w:t>
      </w:r>
    </w:p>
    <w:p w14:paraId="6988EE1F" w14:textId="77777777" w:rsidR="00202E1C" w:rsidRDefault="00202E1C" w:rsidP="00202E1C">
      <w:pPr>
        <w:spacing w:beforeLines="120" w:before="288" w:afterLines="120" w:after="288" w:line="276" w:lineRule="auto"/>
        <w:contextualSpacing/>
        <w:jc w:val="both"/>
        <w:rPr>
          <w:rFonts w:cs="Arial"/>
          <w:szCs w:val="22"/>
          <w:lang w:val="en-US"/>
        </w:rPr>
      </w:pPr>
    </w:p>
    <w:p w14:paraId="4524153F" w14:textId="77777777" w:rsidR="00202E1C" w:rsidRPr="00202E1C" w:rsidRDefault="00202E1C" w:rsidP="00202E1C">
      <w:pPr>
        <w:spacing w:beforeLines="120" w:before="288" w:afterLines="120" w:after="288" w:line="276" w:lineRule="auto"/>
        <w:ind w:left="1416" w:hanging="1416"/>
        <w:contextualSpacing/>
        <w:rPr>
          <w:rFonts w:cs="Arial"/>
          <w:szCs w:val="22"/>
          <w:lang w:val="en-US"/>
        </w:rPr>
      </w:pPr>
      <w:r w:rsidRPr="00202E1C">
        <w:rPr>
          <w:rFonts w:cs="Arial"/>
          <w:b/>
          <w:szCs w:val="22"/>
          <w:lang w:val="en-US"/>
        </w:rPr>
        <w:t>Authors:</w:t>
      </w:r>
      <w:r>
        <w:rPr>
          <w:rFonts w:cs="Arial"/>
          <w:szCs w:val="22"/>
          <w:lang w:val="en-US"/>
        </w:rPr>
        <w:tab/>
      </w:r>
      <w:r w:rsidRPr="00290FD5">
        <w:rPr>
          <w:rFonts w:cs="Arial"/>
          <w:szCs w:val="22"/>
          <w:lang w:val="en-US"/>
        </w:rPr>
        <w:t>Pere Llinàs-Arias</w:t>
      </w:r>
      <w:r w:rsidRPr="00290FD5">
        <w:rPr>
          <w:rFonts w:cs="Arial"/>
          <w:szCs w:val="22"/>
          <w:vertAlign w:val="superscript"/>
          <w:lang w:val="en-US"/>
        </w:rPr>
        <w:t>1</w:t>
      </w:r>
      <w:r w:rsidRPr="00290FD5">
        <w:rPr>
          <w:rFonts w:cs="Arial"/>
          <w:szCs w:val="22"/>
          <w:lang w:val="en-US"/>
        </w:rPr>
        <w:t>, Javier I. J. Orozco</w:t>
      </w:r>
      <w:r w:rsidRPr="00290FD5">
        <w:rPr>
          <w:rFonts w:cs="Arial"/>
          <w:szCs w:val="22"/>
          <w:vertAlign w:val="superscript"/>
          <w:lang w:val="en-US"/>
        </w:rPr>
        <w:t>2</w:t>
      </w:r>
      <w:r w:rsidRPr="00290FD5">
        <w:rPr>
          <w:rFonts w:cs="Arial"/>
          <w:szCs w:val="22"/>
          <w:lang w:val="en-US"/>
        </w:rPr>
        <w:t>, Miquel Ensenyat-Mendez</w:t>
      </w:r>
      <w:r w:rsidRPr="00290FD5">
        <w:rPr>
          <w:rFonts w:cs="Arial"/>
          <w:szCs w:val="22"/>
          <w:vertAlign w:val="superscript"/>
          <w:lang w:val="en-US"/>
        </w:rPr>
        <w:t>1</w:t>
      </w:r>
      <w:r w:rsidRPr="00290FD5">
        <w:rPr>
          <w:rFonts w:cs="Arial"/>
          <w:szCs w:val="22"/>
          <w:lang w:val="en-US"/>
        </w:rPr>
        <w:t xml:space="preserve">, Sandra </w:t>
      </w:r>
      <w:r>
        <w:rPr>
          <w:rFonts w:cs="Arial"/>
          <w:szCs w:val="22"/>
          <w:lang w:val="en-US"/>
        </w:rPr>
        <w:br/>
      </w:r>
      <w:r w:rsidRPr="00290FD5">
        <w:rPr>
          <w:rFonts w:cs="Arial"/>
          <w:szCs w:val="22"/>
          <w:lang w:val="en-US"/>
        </w:rPr>
        <w:t>Íñiguez-Muñoz</w:t>
      </w:r>
      <w:r w:rsidRPr="00290FD5">
        <w:rPr>
          <w:rFonts w:cs="Arial"/>
          <w:szCs w:val="22"/>
          <w:vertAlign w:val="superscript"/>
          <w:lang w:val="en-US"/>
        </w:rPr>
        <w:t>1</w:t>
      </w:r>
      <w:r w:rsidRPr="00290FD5">
        <w:rPr>
          <w:rFonts w:cs="Arial"/>
          <w:szCs w:val="22"/>
          <w:lang w:val="en-US"/>
        </w:rPr>
        <w:t>, Betsy Valdez</w:t>
      </w:r>
      <w:r w:rsidRPr="00290FD5">
        <w:rPr>
          <w:rFonts w:cs="Arial"/>
          <w:szCs w:val="22"/>
          <w:vertAlign w:val="superscript"/>
          <w:lang w:val="en-US"/>
        </w:rPr>
        <w:t>2</w:t>
      </w:r>
      <w:r w:rsidRPr="00290FD5">
        <w:rPr>
          <w:rFonts w:cs="Arial"/>
          <w:szCs w:val="22"/>
          <w:lang w:val="en-US"/>
        </w:rPr>
        <w:t>, Matthew P. Salomon</w:t>
      </w:r>
      <w:r w:rsidRPr="00290FD5">
        <w:rPr>
          <w:rFonts w:cs="Arial"/>
          <w:szCs w:val="22"/>
          <w:vertAlign w:val="superscript"/>
          <w:lang w:val="en-US"/>
        </w:rPr>
        <w:t>3</w:t>
      </w:r>
      <w:r w:rsidRPr="00290FD5">
        <w:rPr>
          <w:rFonts w:cs="Arial"/>
          <w:szCs w:val="22"/>
          <w:lang w:val="en-US"/>
        </w:rPr>
        <w:t>, Chikako Matsuba</w:t>
      </w:r>
      <w:r w:rsidRPr="00290FD5">
        <w:rPr>
          <w:rFonts w:cs="Arial"/>
          <w:szCs w:val="22"/>
          <w:vertAlign w:val="superscript"/>
          <w:lang w:val="en-US"/>
        </w:rPr>
        <w:t>3</w:t>
      </w:r>
      <w:r w:rsidRPr="00290FD5">
        <w:rPr>
          <w:rFonts w:cs="Arial"/>
          <w:szCs w:val="22"/>
          <w:lang w:val="en-US"/>
        </w:rPr>
        <w:t>,</w:t>
      </w:r>
      <w:r w:rsidRPr="00290FD5">
        <w:rPr>
          <w:rFonts w:cs="Arial"/>
          <w:szCs w:val="22"/>
          <w:vertAlign w:val="superscript"/>
          <w:lang w:val="en-US"/>
        </w:rPr>
        <w:t xml:space="preserve"> </w:t>
      </w:r>
      <w:r w:rsidRPr="00290FD5">
        <w:rPr>
          <w:rFonts w:cs="Arial"/>
          <w:szCs w:val="22"/>
          <w:lang w:val="en-US"/>
        </w:rPr>
        <w:t>Borja Sesé</w:t>
      </w:r>
      <w:r w:rsidRPr="00290FD5">
        <w:rPr>
          <w:rFonts w:cs="Arial"/>
          <w:szCs w:val="22"/>
          <w:vertAlign w:val="superscript"/>
          <w:lang w:val="en-US"/>
        </w:rPr>
        <w:t>1</w:t>
      </w:r>
      <w:r w:rsidRPr="00290FD5">
        <w:rPr>
          <w:rFonts w:cs="Arial"/>
          <w:szCs w:val="22"/>
          <w:lang w:val="en-US"/>
        </w:rPr>
        <w:t>, Anja Mezger</w:t>
      </w:r>
      <w:r w:rsidRPr="00290FD5">
        <w:rPr>
          <w:rFonts w:cs="Arial"/>
          <w:szCs w:val="22"/>
          <w:vertAlign w:val="superscript"/>
          <w:lang w:val="en-US"/>
        </w:rPr>
        <w:t>4</w:t>
      </w:r>
      <w:r w:rsidRPr="00290FD5">
        <w:rPr>
          <w:rFonts w:cs="Arial"/>
          <w:szCs w:val="22"/>
          <w:lang w:val="en-US"/>
        </w:rPr>
        <w:t>, Mattias Ormestad</w:t>
      </w:r>
      <w:r w:rsidRPr="00290FD5">
        <w:rPr>
          <w:rFonts w:cs="Arial"/>
          <w:szCs w:val="22"/>
          <w:vertAlign w:val="superscript"/>
          <w:lang w:val="en-US"/>
        </w:rPr>
        <w:t>4</w:t>
      </w:r>
      <w:r w:rsidRPr="00290FD5">
        <w:rPr>
          <w:rFonts w:cs="Arial"/>
          <w:szCs w:val="22"/>
          <w:lang w:val="en-US"/>
        </w:rPr>
        <w:t>, E Shelley Hwang</w:t>
      </w:r>
      <w:r w:rsidRPr="00290FD5">
        <w:rPr>
          <w:rFonts w:cs="Arial"/>
          <w:szCs w:val="22"/>
          <w:vertAlign w:val="superscript"/>
          <w:lang w:val="en-US"/>
        </w:rPr>
        <w:t>5</w:t>
      </w:r>
      <w:r w:rsidRPr="00290FD5">
        <w:rPr>
          <w:rFonts w:cs="Arial"/>
          <w:szCs w:val="22"/>
          <w:lang w:val="en-US"/>
        </w:rPr>
        <w:t>, Javier Cortés</w:t>
      </w:r>
      <w:r w:rsidRPr="00290FD5">
        <w:rPr>
          <w:rFonts w:cs="Arial"/>
          <w:szCs w:val="22"/>
          <w:vertAlign w:val="superscript"/>
          <w:lang w:val="en-US"/>
        </w:rPr>
        <w:t>6,7,8</w:t>
      </w:r>
      <w:r w:rsidRPr="00290FD5">
        <w:rPr>
          <w:rFonts w:cs="Arial"/>
          <w:szCs w:val="22"/>
          <w:lang w:val="en-US"/>
        </w:rPr>
        <w:t>, Maggie L. DiNome</w:t>
      </w:r>
      <w:r w:rsidRPr="00290FD5">
        <w:rPr>
          <w:rFonts w:cs="Arial"/>
          <w:szCs w:val="22"/>
          <w:vertAlign w:val="superscript"/>
          <w:lang w:val="en-US"/>
        </w:rPr>
        <w:t>5</w:t>
      </w:r>
      <w:r w:rsidRPr="00290FD5">
        <w:rPr>
          <w:rFonts w:cs="Arial"/>
          <w:szCs w:val="22"/>
          <w:lang w:val="en-US"/>
        </w:rPr>
        <w:t>, Manel Esteller</w:t>
      </w:r>
      <w:r w:rsidRPr="00290FD5">
        <w:rPr>
          <w:rFonts w:cs="Arial"/>
          <w:szCs w:val="22"/>
          <w:vertAlign w:val="superscript"/>
          <w:lang w:val="en-US"/>
        </w:rPr>
        <w:t>9,10,11,12</w:t>
      </w:r>
      <w:r w:rsidRPr="00290FD5">
        <w:rPr>
          <w:rFonts w:cs="Arial"/>
          <w:szCs w:val="22"/>
          <w:lang w:val="en-US"/>
        </w:rPr>
        <w:t>, Alexander D. Boiko</w:t>
      </w:r>
      <w:r w:rsidRPr="00290FD5">
        <w:rPr>
          <w:rFonts w:cs="Arial"/>
          <w:szCs w:val="22"/>
          <w:vertAlign w:val="superscript"/>
          <w:lang w:val="en-US"/>
        </w:rPr>
        <w:t>13</w:t>
      </w:r>
      <w:r w:rsidRPr="00290FD5">
        <w:rPr>
          <w:rFonts w:cs="Arial"/>
          <w:szCs w:val="22"/>
          <w:lang w:val="en-US"/>
        </w:rPr>
        <w:t>, Mathieu Lupien</w:t>
      </w:r>
      <w:r w:rsidRPr="00290FD5">
        <w:rPr>
          <w:rFonts w:cs="Arial"/>
          <w:szCs w:val="22"/>
          <w:vertAlign w:val="superscript"/>
          <w:lang w:val="en-US"/>
        </w:rPr>
        <w:t>14,15,16</w:t>
      </w:r>
      <w:r w:rsidRPr="00290FD5">
        <w:rPr>
          <w:rFonts w:cs="Arial"/>
          <w:szCs w:val="22"/>
          <w:lang w:val="en-US"/>
        </w:rPr>
        <w:t xml:space="preserve"> and Diego M. Marzese</w:t>
      </w:r>
      <w:proofErr w:type="gramStart"/>
      <w:r w:rsidRPr="00290FD5">
        <w:rPr>
          <w:rFonts w:cs="Arial"/>
          <w:szCs w:val="22"/>
          <w:vertAlign w:val="superscript"/>
          <w:lang w:val="en-US"/>
        </w:rPr>
        <w:t>1,*</w:t>
      </w:r>
      <w:proofErr w:type="gramEnd"/>
      <w:r>
        <w:rPr>
          <w:rFonts w:cs="Arial"/>
          <w:szCs w:val="22"/>
          <w:lang w:val="en-US"/>
        </w:rPr>
        <w:br/>
      </w:r>
    </w:p>
    <w:p w14:paraId="144FE0A4" w14:textId="77777777" w:rsidR="00202E1C" w:rsidRDefault="00202E1C" w:rsidP="00202E1C">
      <w:pPr>
        <w:spacing w:beforeLines="120" w:before="288" w:afterLines="120" w:after="288" w:line="276" w:lineRule="auto"/>
        <w:jc w:val="both"/>
        <w:rPr>
          <w:rFonts w:cs="Arial"/>
          <w:b/>
          <w:bCs/>
          <w:szCs w:val="22"/>
          <w:lang w:val="en-US"/>
        </w:rPr>
      </w:pPr>
      <w:r>
        <w:rPr>
          <w:rFonts w:cs="Arial"/>
          <w:b/>
          <w:bCs/>
          <w:szCs w:val="22"/>
          <w:lang w:val="en-US"/>
        </w:rPr>
        <w:t>From:</w:t>
      </w:r>
      <w:r>
        <w:rPr>
          <w:rFonts w:cs="Arial"/>
          <w:b/>
          <w:bCs/>
          <w:szCs w:val="22"/>
          <w:lang w:val="en-US"/>
        </w:rPr>
        <w:tab/>
      </w:r>
      <w:r>
        <w:rPr>
          <w:rFonts w:cs="Arial"/>
          <w:b/>
          <w:bCs/>
          <w:szCs w:val="22"/>
          <w:lang w:val="en-US"/>
        </w:rPr>
        <w:tab/>
      </w:r>
    </w:p>
    <w:p w14:paraId="5769A362" w14:textId="77777777" w:rsidR="00202E1C" w:rsidRPr="00202E1C" w:rsidRDefault="00202E1C" w:rsidP="00202E1C">
      <w:pPr>
        <w:jc w:val="both"/>
        <w:rPr>
          <w:rFonts w:cs="Arial"/>
          <w:sz w:val="20"/>
          <w:szCs w:val="22"/>
          <w:lang w:val="en-US"/>
        </w:rPr>
      </w:pPr>
      <w:r w:rsidRPr="00202E1C">
        <w:rPr>
          <w:rFonts w:cs="Arial"/>
          <w:sz w:val="20"/>
          <w:szCs w:val="22"/>
          <w:lang w:val="en-US"/>
        </w:rPr>
        <w:t>1. Cancer Epigenetics Laboratory at the Cancer Cell Biology Group, Health Research Institute of the Balearic Islands (</w:t>
      </w:r>
      <w:proofErr w:type="spellStart"/>
      <w:r w:rsidRPr="00202E1C">
        <w:rPr>
          <w:rFonts w:cs="Arial"/>
          <w:sz w:val="20"/>
          <w:szCs w:val="22"/>
          <w:lang w:val="en-US"/>
        </w:rPr>
        <w:t>IdISBa</w:t>
      </w:r>
      <w:proofErr w:type="spellEnd"/>
      <w:r w:rsidRPr="00202E1C">
        <w:rPr>
          <w:rFonts w:cs="Arial"/>
          <w:sz w:val="20"/>
          <w:szCs w:val="22"/>
          <w:lang w:val="en-US"/>
        </w:rPr>
        <w:t>), 07120 Palma, Spain.</w:t>
      </w:r>
    </w:p>
    <w:p w14:paraId="0AADBC19"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2. Saint John's Cancer Institute, Providence Saint John's Health Center, Santa Monica, CA, USA.</w:t>
      </w:r>
    </w:p>
    <w:p w14:paraId="4615C839" w14:textId="77777777" w:rsidR="00202E1C" w:rsidRPr="00202E1C" w:rsidRDefault="00202E1C" w:rsidP="00202E1C">
      <w:pPr>
        <w:jc w:val="both"/>
        <w:rPr>
          <w:rFonts w:eastAsiaTheme="minorEastAsia" w:cs="Arial"/>
          <w:sz w:val="20"/>
          <w:szCs w:val="22"/>
          <w:lang w:val="en-US" w:eastAsia="es-ES"/>
        </w:rPr>
      </w:pPr>
      <w:r w:rsidRPr="00202E1C">
        <w:rPr>
          <w:rFonts w:eastAsiaTheme="minorEastAsia" w:cs="Arial"/>
          <w:sz w:val="20"/>
          <w:szCs w:val="22"/>
          <w:lang w:val="en-US" w:eastAsia="es-ES"/>
        </w:rPr>
        <w:t>3. USC Research Center for Liver Diseases, Keck School of Medicine, University of Southern California, Los Angeles, CA, USA</w:t>
      </w:r>
    </w:p>
    <w:p w14:paraId="4CAF14F0"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 xml:space="preserve">4. Science for Life Laboratory, 17665 Solna, Sweden. </w:t>
      </w:r>
    </w:p>
    <w:p w14:paraId="73C31A0B" w14:textId="77777777" w:rsidR="00202E1C" w:rsidRPr="00202E1C" w:rsidRDefault="00202E1C" w:rsidP="00202E1C">
      <w:pPr>
        <w:jc w:val="both"/>
        <w:rPr>
          <w:rFonts w:eastAsiaTheme="minorEastAsia" w:cs="Arial"/>
          <w:sz w:val="20"/>
          <w:szCs w:val="22"/>
          <w:lang w:val="en-US" w:eastAsia="es-ES"/>
        </w:rPr>
      </w:pPr>
      <w:r w:rsidRPr="00202E1C">
        <w:rPr>
          <w:rFonts w:eastAsiaTheme="minorEastAsia" w:cs="Arial"/>
          <w:sz w:val="20"/>
          <w:szCs w:val="22"/>
          <w:lang w:val="en-US" w:eastAsia="es-ES"/>
        </w:rPr>
        <w:t xml:space="preserve">5. Department of Surgery, Duke University School of Medicine, Durham, NC, USA. </w:t>
      </w:r>
    </w:p>
    <w:p w14:paraId="1ECB168D"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 xml:space="preserve">6. International Breast Cancer Center (IBCC), Pangaea Oncology, </w:t>
      </w:r>
      <w:proofErr w:type="spellStart"/>
      <w:r w:rsidRPr="00202E1C">
        <w:rPr>
          <w:rFonts w:eastAsiaTheme="minorEastAsia" w:cs="Arial"/>
          <w:sz w:val="20"/>
          <w:szCs w:val="22"/>
          <w:lang w:val="en-US" w:eastAsia="es-ES"/>
        </w:rPr>
        <w:t>Quiron</w:t>
      </w:r>
      <w:proofErr w:type="spellEnd"/>
      <w:r w:rsidRPr="00202E1C">
        <w:rPr>
          <w:rFonts w:eastAsiaTheme="minorEastAsia" w:cs="Arial"/>
          <w:sz w:val="20"/>
          <w:szCs w:val="22"/>
          <w:lang w:val="en-US" w:eastAsia="es-ES"/>
        </w:rPr>
        <w:t xml:space="preserve"> Group, 08017 Barcelona, Spain.</w:t>
      </w:r>
    </w:p>
    <w:p w14:paraId="702CF11E"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7. Medica Scientia Innovation Research SL (MEDSIR), 08018 Barcelona, Spain.</w:t>
      </w:r>
    </w:p>
    <w:p w14:paraId="072AFA32"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 xml:space="preserve">8. Department of Medicine, Faculty of Biomedical and Health Sciences, Universidad </w:t>
      </w:r>
      <w:proofErr w:type="spellStart"/>
      <w:r w:rsidRPr="00202E1C">
        <w:rPr>
          <w:rFonts w:eastAsiaTheme="minorEastAsia" w:cs="Arial"/>
          <w:sz w:val="20"/>
          <w:szCs w:val="22"/>
          <w:lang w:val="en-US" w:eastAsia="es-ES"/>
        </w:rPr>
        <w:t>Europea</w:t>
      </w:r>
      <w:proofErr w:type="spellEnd"/>
      <w:r w:rsidRPr="00202E1C">
        <w:rPr>
          <w:rFonts w:eastAsiaTheme="minorEastAsia" w:cs="Arial"/>
          <w:sz w:val="20"/>
          <w:szCs w:val="22"/>
          <w:lang w:val="en-US" w:eastAsia="es-ES"/>
        </w:rPr>
        <w:t xml:space="preserve"> de Madrid, 28670 Madrid, Spain. </w:t>
      </w:r>
    </w:p>
    <w:p w14:paraId="16CD1207" w14:textId="77777777" w:rsidR="00202E1C" w:rsidRPr="00202E1C" w:rsidRDefault="00202E1C" w:rsidP="00202E1C">
      <w:pPr>
        <w:jc w:val="both"/>
        <w:rPr>
          <w:rFonts w:cs="Arial"/>
          <w:sz w:val="20"/>
          <w:szCs w:val="22"/>
          <w:lang w:val="es-ES"/>
        </w:rPr>
      </w:pPr>
      <w:r w:rsidRPr="00202E1C">
        <w:rPr>
          <w:rFonts w:eastAsiaTheme="minorEastAsia" w:cs="Arial"/>
          <w:sz w:val="20"/>
          <w:szCs w:val="22"/>
          <w:lang w:val="es-ES" w:eastAsia="es-ES"/>
        </w:rPr>
        <w:t xml:space="preserve">9. Josep Carreras </w:t>
      </w:r>
      <w:proofErr w:type="spellStart"/>
      <w:r w:rsidRPr="00202E1C">
        <w:rPr>
          <w:rFonts w:eastAsiaTheme="minorEastAsia" w:cs="Arial"/>
          <w:sz w:val="20"/>
          <w:szCs w:val="22"/>
          <w:lang w:val="es-ES" w:eastAsia="es-ES"/>
        </w:rPr>
        <w:t>Leukaemia</w:t>
      </w:r>
      <w:proofErr w:type="spellEnd"/>
      <w:r w:rsidRPr="00202E1C">
        <w:rPr>
          <w:rFonts w:eastAsiaTheme="minorEastAsia" w:cs="Arial"/>
          <w:sz w:val="20"/>
          <w:szCs w:val="22"/>
          <w:lang w:val="es-ES" w:eastAsia="es-ES"/>
        </w:rPr>
        <w:t xml:space="preserve"> </w:t>
      </w:r>
      <w:proofErr w:type="spellStart"/>
      <w:r w:rsidRPr="00202E1C">
        <w:rPr>
          <w:rFonts w:eastAsiaTheme="minorEastAsia" w:cs="Arial"/>
          <w:sz w:val="20"/>
          <w:szCs w:val="22"/>
          <w:lang w:val="es-ES" w:eastAsia="es-ES"/>
        </w:rPr>
        <w:t>Research</w:t>
      </w:r>
      <w:proofErr w:type="spellEnd"/>
      <w:r w:rsidRPr="00202E1C">
        <w:rPr>
          <w:rFonts w:eastAsiaTheme="minorEastAsia" w:cs="Arial"/>
          <w:sz w:val="20"/>
          <w:szCs w:val="22"/>
          <w:lang w:val="es-ES" w:eastAsia="es-ES"/>
        </w:rPr>
        <w:t xml:space="preserve"> </w:t>
      </w:r>
      <w:proofErr w:type="spellStart"/>
      <w:r w:rsidRPr="00202E1C">
        <w:rPr>
          <w:rFonts w:eastAsiaTheme="minorEastAsia" w:cs="Arial"/>
          <w:sz w:val="20"/>
          <w:szCs w:val="22"/>
          <w:lang w:val="es-ES" w:eastAsia="es-ES"/>
        </w:rPr>
        <w:t>Institute</w:t>
      </w:r>
      <w:proofErr w:type="spellEnd"/>
      <w:r w:rsidRPr="00202E1C">
        <w:rPr>
          <w:rFonts w:eastAsiaTheme="minorEastAsia" w:cs="Arial"/>
          <w:sz w:val="20"/>
          <w:szCs w:val="22"/>
          <w:lang w:val="es-ES" w:eastAsia="es-ES"/>
        </w:rPr>
        <w:t xml:space="preserve">, Badalona, Barcelona, </w:t>
      </w:r>
      <w:proofErr w:type="spellStart"/>
      <w:r w:rsidRPr="00202E1C">
        <w:rPr>
          <w:rFonts w:eastAsiaTheme="minorEastAsia" w:cs="Arial"/>
          <w:sz w:val="20"/>
          <w:szCs w:val="22"/>
          <w:lang w:val="es-ES" w:eastAsia="es-ES"/>
        </w:rPr>
        <w:t>Catalonia</w:t>
      </w:r>
      <w:proofErr w:type="spellEnd"/>
      <w:r w:rsidRPr="00202E1C">
        <w:rPr>
          <w:rFonts w:eastAsiaTheme="minorEastAsia" w:cs="Arial"/>
          <w:sz w:val="20"/>
          <w:szCs w:val="22"/>
          <w:lang w:val="es-ES" w:eastAsia="es-ES"/>
        </w:rPr>
        <w:t xml:space="preserve">, </w:t>
      </w:r>
      <w:proofErr w:type="spellStart"/>
      <w:r w:rsidRPr="00202E1C">
        <w:rPr>
          <w:rFonts w:eastAsiaTheme="minorEastAsia" w:cs="Arial"/>
          <w:sz w:val="20"/>
          <w:szCs w:val="22"/>
          <w:lang w:val="es-ES" w:eastAsia="es-ES"/>
        </w:rPr>
        <w:t>Spain</w:t>
      </w:r>
      <w:proofErr w:type="spellEnd"/>
      <w:r w:rsidRPr="00202E1C">
        <w:rPr>
          <w:rFonts w:eastAsiaTheme="minorEastAsia" w:cs="Arial"/>
          <w:sz w:val="20"/>
          <w:szCs w:val="22"/>
          <w:lang w:val="es-ES" w:eastAsia="es-ES"/>
        </w:rPr>
        <w:t>.</w:t>
      </w:r>
    </w:p>
    <w:p w14:paraId="5439636B" w14:textId="77777777" w:rsidR="00202E1C" w:rsidRPr="00202E1C" w:rsidRDefault="00202E1C" w:rsidP="00202E1C">
      <w:pPr>
        <w:jc w:val="both"/>
        <w:rPr>
          <w:rFonts w:cs="Arial"/>
          <w:sz w:val="20"/>
          <w:szCs w:val="22"/>
          <w:lang w:val="es-ES"/>
        </w:rPr>
      </w:pPr>
      <w:r w:rsidRPr="00202E1C">
        <w:rPr>
          <w:rFonts w:eastAsiaTheme="minorEastAsia" w:cs="Arial"/>
          <w:sz w:val="20"/>
          <w:szCs w:val="22"/>
          <w:lang w:val="es-ES" w:eastAsia="es-ES"/>
        </w:rPr>
        <w:t xml:space="preserve">10. Centro de Investigación Biomédica en Red </w:t>
      </w:r>
      <w:proofErr w:type="spellStart"/>
      <w:r w:rsidRPr="00202E1C">
        <w:rPr>
          <w:rFonts w:eastAsiaTheme="minorEastAsia" w:cs="Arial"/>
          <w:sz w:val="20"/>
          <w:szCs w:val="22"/>
          <w:lang w:val="es-ES" w:eastAsia="es-ES"/>
        </w:rPr>
        <w:t>Cancer</w:t>
      </w:r>
      <w:proofErr w:type="spellEnd"/>
      <w:r w:rsidRPr="00202E1C">
        <w:rPr>
          <w:rFonts w:eastAsiaTheme="minorEastAsia" w:cs="Arial"/>
          <w:sz w:val="20"/>
          <w:szCs w:val="22"/>
          <w:lang w:val="es-ES" w:eastAsia="es-ES"/>
        </w:rPr>
        <w:t xml:space="preserve"> (CIBERONC), 28029, Madrid, </w:t>
      </w:r>
      <w:proofErr w:type="spellStart"/>
      <w:r w:rsidRPr="00202E1C">
        <w:rPr>
          <w:rFonts w:eastAsiaTheme="minorEastAsia" w:cs="Arial"/>
          <w:sz w:val="20"/>
          <w:szCs w:val="22"/>
          <w:lang w:val="es-ES" w:eastAsia="es-ES"/>
        </w:rPr>
        <w:t>Spain</w:t>
      </w:r>
      <w:proofErr w:type="spellEnd"/>
      <w:r w:rsidRPr="00202E1C">
        <w:rPr>
          <w:rFonts w:eastAsiaTheme="minorEastAsia" w:cs="Arial"/>
          <w:sz w:val="20"/>
          <w:szCs w:val="22"/>
          <w:lang w:val="es-ES" w:eastAsia="es-ES"/>
        </w:rPr>
        <w:t xml:space="preserve">. </w:t>
      </w:r>
    </w:p>
    <w:p w14:paraId="38A7E7A6" w14:textId="77777777" w:rsidR="00202E1C" w:rsidRPr="00193892" w:rsidRDefault="00202E1C" w:rsidP="00202E1C">
      <w:pPr>
        <w:jc w:val="both"/>
        <w:rPr>
          <w:rFonts w:cs="Arial"/>
          <w:sz w:val="20"/>
          <w:szCs w:val="22"/>
          <w:lang w:val="es-ES"/>
        </w:rPr>
      </w:pPr>
      <w:r w:rsidRPr="00193892">
        <w:rPr>
          <w:rFonts w:eastAsiaTheme="minorEastAsia" w:cs="Arial"/>
          <w:sz w:val="20"/>
          <w:szCs w:val="22"/>
          <w:lang w:val="es-ES" w:eastAsia="es-ES"/>
        </w:rPr>
        <w:t xml:space="preserve">11. </w:t>
      </w:r>
      <w:proofErr w:type="spellStart"/>
      <w:r w:rsidRPr="00193892">
        <w:rPr>
          <w:rFonts w:eastAsiaTheme="minorEastAsia" w:cs="Arial"/>
          <w:sz w:val="20"/>
          <w:szCs w:val="22"/>
          <w:lang w:val="es-ES" w:eastAsia="es-ES"/>
        </w:rPr>
        <w:t>Institució</w:t>
      </w:r>
      <w:proofErr w:type="spellEnd"/>
      <w:r w:rsidRPr="00193892">
        <w:rPr>
          <w:rFonts w:eastAsiaTheme="minorEastAsia" w:cs="Arial"/>
          <w:sz w:val="20"/>
          <w:szCs w:val="22"/>
          <w:lang w:val="es-ES" w:eastAsia="es-ES"/>
        </w:rPr>
        <w:t xml:space="preserve"> </w:t>
      </w:r>
      <w:proofErr w:type="gramStart"/>
      <w:r w:rsidRPr="00193892">
        <w:rPr>
          <w:rFonts w:eastAsiaTheme="minorEastAsia" w:cs="Arial"/>
          <w:sz w:val="20"/>
          <w:szCs w:val="22"/>
          <w:lang w:val="es-ES" w:eastAsia="es-ES"/>
        </w:rPr>
        <w:t>Catalana</w:t>
      </w:r>
      <w:proofErr w:type="gramEnd"/>
      <w:r w:rsidRPr="00193892">
        <w:rPr>
          <w:rFonts w:eastAsiaTheme="minorEastAsia" w:cs="Arial"/>
          <w:sz w:val="20"/>
          <w:szCs w:val="22"/>
          <w:lang w:val="es-ES" w:eastAsia="es-ES"/>
        </w:rPr>
        <w:t xml:space="preserve"> de Recerca i </w:t>
      </w:r>
      <w:proofErr w:type="spellStart"/>
      <w:r w:rsidRPr="00193892">
        <w:rPr>
          <w:rFonts w:eastAsiaTheme="minorEastAsia" w:cs="Arial"/>
          <w:sz w:val="20"/>
          <w:szCs w:val="22"/>
          <w:lang w:val="es-ES" w:eastAsia="es-ES"/>
        </w:rPr>
        <w:t>Estudis</w:t>
      </w:r>
      <w:proofErr w:type="spellEnd"/>
      <w:r w:rsidRPr="00193892">
        <w:rPr>
          <w:rFonts w:eastAsiaTheme="minorEastAsia" w:cs="Arial"/>
          <w:sz w:val="20"/>
          <w:szCs w:val="22"/>
          <w:lang w:val="es-ES" w:eastAsia="es-ES"/>
        </w:rPr>
        <w:t xml:space="preserve"> </w:t>
      </w:r>
      <w:proofErr w:type="spellStart"/>
      <w:r w:rsidRPr="00193892">
        <w:rPr>
          <w:rFonts w:eastAsiaTheme="minorEastAsia" w:cs="Arial"/>
          <w:sz w:val="20"/>
          <w:szCs w:val="22"/>
          <w:lang w:val="es-ES" w:eastAsia="es-ES"/>
        </w:rPr>
        <w:t>Avançats</w:t>
      </w:r>
      <w:proofErr w:type="spellEnd"/>
      <w:r w:rsidRPr="00193892">
        <w:rPr>
          <w:rFonts w:eastAsiaTheme="minorEastAsia" w:cs="Arial"/>
          <w:sz w:val="20"/>
          <w:szCs w:val="22"/>
          <w:lang w:val="es-ES" w:eastAsia="es-ES"/>
        </w:rPr>
        <w:t xml:space="preserve"> (ICREA), Barcelona, </w:t>
      </w:r>
      <w:proofErr w:type="spellStart"/>
      <w:r w:rsidRPr="00193892">
        <w:rPr>
          <w:rFonts w:eastAsiaTheme="minorEastAsia" w:cs="Arial"/>
          <w:sz w:val="20"/>
          <w:szCs w:val="22"/>
          <w:lang w:val="es-ES" w:eastAsia="es-ES"/>
        </w:rPr>
        <w:t>Catalonia</w:t>
      </w:r>
      <w:proofErr w:type="spellEnd"/>
      <w:r w:rsidRPr="00193892">
        <w:rPr>
          <w:rFonts w:eastAsiaTheme="minorEastAsia" w:cs="Arial"/>
          <w:sz w:val="20"/>
          <w:szCs w:val="22"/>
          <w:lang w:val="es-ES" w:eastAsia="es-ES"/>
        </w:rPr>
        <w:t xml:space="preserve">, </w:t>
      </w:r>
      <w:proofErr w:type="spellStart"/>
      <w:r w:rsidRPr="00193892">
        <w:rPr>
          <w:rFonts w:eastAsiaTheme="minorEastAsia" w:cs="Arial"/>
          <w:sz w:val="20"/>
          <w:szCs w:val="22"/>
          <w:lang w:val="es-ES" w:eastAsia="es-ES"/>
        </w:rPr>
        <w:t>Spain</w:t>
      </w:r>
      <w:proofErr w:type="spellEnd"/>
      <w:r w:rsidRPr="00193892">
        <w:rPr>
          <w:rFonts w:eastAsiaTheme="minorEastAsia" w:cs="Arial"/>
          <w:sz w:val="20"/>
          <w:szCs w:val="22"/>
          <w:lang w:val="es-ES" w:eastAsia="es-ES"/>
        </w:rPr>
        <w:t>.</w:t>
      </w:r>
    </w:p>
    <w:p w14:paraId="1C6E94BD"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12. Physiological Sciences Department, School of Medicine and Health Sciences, University of Barcelona (UB), Barcelona, Catalonia, Spain.</w:t>
      </w:r>
    </w:p>
    <w:p w14:paraId="594CCA6F"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 xml:space="preserve">13. Cedars-Sinai Medical Center, Samuel </w:t>
      </w:r>
      <w:proofErr w:type="spellStart"/>
      <w:r w:rsidRPr="00202E1C">
        <w:rPr>
          <w:rFonts w:eastAsiaTheme="minorEastAsia" w:cs="Arial"/>
          <w:sz w:val="20"/>
          <w:szCs w:val="22"/>
          <w:lang w:val="en-US" w:eastAsia="es-ES"/>
        </w:rPr>
        <w:t>Oschin</w:t>
      </w:r>
      <w:proofErr w:type="spellEnd"/>
      <w:r w:rsidRPr="00202E1C">
        <w:rPr>
          <w:rFonts w:eastAsiaTheme="minorEastAsia" w:cs="Arial"/>
          <w:sz w:val="20"/>
          <w:szCs w:val="22"/>
          <w:lang w:val="en-US" w:eastAsia="es-ES"/>
        </w:rPr>
        <w:t xml:space="preserve"> Comprehensive Cancer Institute, Department of Medicine, Los Angeles, CA 90048, USA</w:t>
      </w:r>
    </w:p>
    <w:p w14:paraId="71FEF1DE"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14. Princess Margaret Cancer Centre, Toronto, Ontario M5G 1L7, Canada.</w:t>
      </w:r>
    </w:p>
    <w:p w14:paraId="5C91C0EA"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15. Department of Medical Biophysics, University of Toronto, Toronto, Ontario M5G 1L7, Canada.</w:t>
      </w:r>
    </w:p>
    <w:p w14:paraId="5EA2C72B" w14:textId="77777777" w:rsidR="00202E1C" w:rsidRPr="00202E1C" w:rsidRDefault="00202E1C" w:rsidP="00202E1C">
      <w:pPr>
        <w:jc w:val="both"/>
        <w:rPr>
          <w:rFonts w:cs="Arial"/>
          <w:sz w:val="20"/>
          <w:szCs w:val="22"/>
          <w:lang w:val="en-US"/>
        </w:rPr>
      </w:pPr>
      <w:r w:rsidRPr="00202E1C">
        <w:rPr>
          <w:rFonts w:eastAsiaTheme="minorEastAsia" w:cs="Arial"/>
          <w:sz w:val="20"/>
          <w:szCs w:val="22"/>
          <w:lang w:val="en-US" w:eastAsia="es-ES"/>
        </w:rPr>
        <w:t>16. Ontario Institute for Cancer Research, Toronto, Ontario M5G 0A</w:t>
      </w:r>
      <w:r w:rsidRPr="00202E1C">
        <w:rPr>
          <w:rFonts w:cs="Arial"/>
          <w:sz w:val="20"/>
          <w:szCs w:val="22"/>
          <w:lang w:val="en-US"/>
        </w:rPr>
        <w:t>3, Canada.</w:t>
      </w:r>
    </w:p>
    <w:p w14:paraId="25BFA79F" w14:textId="77777777" w:rsidR="00202E1C" w:rsidRPr="00290FD5" w:rsidRDefault="00202E1C" w:rsidP="00202E1C">
      <w:pPr>
        <w:spacing w:beforeLines="120" w:before="288" w:afterLines="120" w:after="288" w:line="360" w:lineRule="auto"/>
        <w:contextualSpacing/>
        <w:jc w:val="both"/>
        <w:rPr>
          <w:rFonts w:eastAsia="system-ui" w:cs="Arial"/>
          <w:color w:val="5B616B"/>
          <w:szCs w:val="22"/>
          <w:vertAlign w:val="superscript"/>
          <w:lang w:val="en-US"/>
        </w:rPr>
      </w:pPr>
    </w:p>
    <w:p w14:paraId="448E40EC" w14:textId="77777777" w:rsidR="00202E1C" w:rsidRPr="00290FD5" w:rsidRDefault="00202E1C" w:rsidP="00202E1C">
      <w:pPr>
        <w:spacing w:beforeLines="120" w:before="288" w:afterLines="120" w:after="288" w:line="360" w:lineRule="auto"/>
        <w:contextualSpacing/>
        <w:jc w:val="both"/>
        <w:rPr>
          <w:rFonts w:cs="Arial"/>
          <w:b/>
          <w:bCs/>
          <w:szCs w:val="22"/>
          <w:lang w:val="en-US"/>
        </w:rPr>
      </w:pPr>
      <w:r w:rsidRPr="00290FD5">
        <w:rPr>
          <w:rFonts w:cs="Arial"/>
          <w:b/>
          <w:bCs/>
          <w:szCs w:val="22"/>
          <w:lang w:val="en-US"/>
        </w:rPr>
        <w:t>*Corresponding Authors Information:</w:t>
      </w:r>
    </w:p>
    <w:p w14:paraId="205D867D" w14:textId="77777777" w:rsidR="00202E1C" w:rsidRPr="00290FD5" w:rsidRDefault="00202E1C" w:rsidP="00202E1C">
      <w:pPr>
        <w:spacing w:before="120" w:after="120" w:line="360" w:lineRule="auto"/>
        <w:contextualSpacing/>
        <w:jc w:val="both"/>
        <w:rPr>
          <w:rFonts w:cs="Arial"/>
          <w:szCs w:val="22"/>
          <w:lang w:val="en-US"/>
        </w:rPr>
      </w:pPr>
      <w:r w:rsidRPr="00290FD5">
        <w:rPr>
          <w:rFonts w:cs="Arial"/>
          <w:szCs w:val="22"/>
          <w:lang w:val="en-US"/>
        </w:rPr>
        <w:t xml:space="preserve">Diego M. </w:t>
      </w:r>
      <w:proofErr w:type="spellStart"/>
      <w:r w:rsidRPr="00290FD5">
        <w:rPr>
          <w:rFonts w:cs="Arial"/>
          <w:szCs w:val="22"/>
          <w:lang w:val="en-US"/>
        </w:rPr>
        <w:t>Marzese</w:t>
      </w:r>
      <w:proofErr w:type="spellEnd"/>
      <w:r w:rsidRPr="00290FD5">
        <w:rPr>
          <w:rFonts w:cs="Arial"/>
          <w:szCs w:val="22"/>
          <w:lang w:val="en-US"/>
        </w:rPr>
        <w:t>, PhD</w:t>
      </w:r>
    </w:p>
    <w:p w14:paraId="3EFD1A57" w14:textId="77777777" w:rsidR="00202E1C" w:rsidRPr="00290FD5" w:rsidRDefault="00202E1C" w:rsidP="00202E1C">
      <w:pPr>
        <w:spacing w:before="120" w:after="120" w:line="360" w:lineRule="auto"/>
        <w:contextualSpacing/>
        <w:jc w:val="both"/>
        <w:rPr>
          <w:rFonts w:cs="Arial"/>
          <w:szCs w:val="22"/>
          <w:lang w:val="en-US"/>
        </w:rPr>
      </w:pPr>
      <w:r w:rsidRPr="00290FD5">
        <w:rPr>
          <w:rFonts w:cs="Arial"/>
          <w:szCs w:val="22"/>
          <w:lang w:val="en-US"/>
        </w:rPr>
        <w:t>Cancer Epigenetics Laboratory</w:t>
      </w:r>
    </w:p>
    <w:p w14:paraId="0EE84689" w14:textId="77777777" w:rsidR="00202E1C" w:rsidRPr="00290FD5" w:rsidRDefault="00202E1C" w:rsidP="00202E1C">
      <w:pPr>
        <w:spacing w:before="120" w:after="120" w:line="360" w:lineRule="auto"/>
        <w:contextualSpacing/>
        <w:jc w:val="both"/>
        <w:rPr>
          <w:rFonts w:cs="Arial"/>
          <w:szCs w:val="22"/>
          <w:lang w:val="en-US"/>
        </w:rPr>
      </w:pPr>
      <w:proofErr w:type="spellStart"/>
      <w:r w:rsidRPr="00290FD5">
        <w:rPr>
          <w:rFonts w:cs="Arial"/>
          <w:szCs w:val="22"/>
          <w:lang w:val="en-US"/>
        </w:rPr>
        <w:t>Institut</w:t>
      </w:r>
      <w:proofErr w:type="spellEnd"/>
      <w:r w:rsidRPr="00290FD5">
        <w:rPr>
          <w:rFonts w:cs="Arial"/>
          <w:szCs w:val="22"/>
          <w:lang w:val="en-US"/>
        </w:rPr>
        <w:t xml:space="preserve"> </w:t>
      </w:r>
      <w:proofErr w:type="spellStart"/>
      <w:r w:rsidRPr="00290FD5">
        <w:rPr>
          <w:rFonts w:cs="Arial"/>
          <w:szCs w:val="22"/>
          <w:lang w:val="en-US"/>
        </w:rPr>
        <w:t>d'Investigació</w:t>
      </w:r>
      <w:proofErr w:type="spellEnd"/>
      <w:r w:rsidRPr="00290FD5">
        <w:rPr>
          <w:rFonts w:cs="Arial"/>
          <w:szCs w:val="22"/>
          <w:lang w:val="en-US"/>
        </w:rPr>
        <w:t xml:space="preserve"> </w:t>
      </w:r>
      <w:proofErr w:type="spellStart"/>
      <w:r w:rsidRPr="00290FD5">
        <w:rPr>
          <w:rFonts w:cs="Arial"/>
          <w:szCs w:val="22"/>
          <w:lang w:val="en-US"/>
        </w:rPr>
        <w:t>Sanitària</w:t>
      </w:r>
      <w:proofErr w:type="spellEnd"/>
      <w:r w:rsidRPr="00290FD5">
        <w:rPr>
          <w:rFonts w:cs="Arial"/>
          <w:szCs w:val="22"/>
          <w:lang w:val="en-US"/>
        </w:rPr>
        <w:t xml:space="preserve"> </w:t>
      </w:r>
      <w:proofErr w:type="spellStart"/>
      <w:r w:rsidRPr="00290FD5">
        <w:rPr>
          <w:rFonts w:cs="Arial"/>
          <w:szCs w:val="22"/>
          <w:lang w:val="en-US"/>
        </w:rPr>
        <w:t>Illes</w:t>
      </w:r>
      <w:proofErr w:type="spellEnd"/>
      <w:r w:rsidRPr="00290FD5">
        <w:rPr>
          <w:rFonts w:cs="Arial"/>
          <w:szCs w:val="22"/>
          <w:lang w:val="en-US"/>
        </w:rPr>
        <w:t xml:space="preserve"> </w:t>
      </w:r>
      <w:proofErr w:type="spellStart"/>
      <w:r w:rsidRPr="00290FD5">
        <w:rPr>
          <w:rFonts w:cs="Arial"/>
          <w:szCs w:val="22"/>
          <w:lang w:val="en-US"/>
        </w:rPr>
        <w:t>Balears</w:t>
      </w:r>
      <w:proofErr w:type="spellEnd"/>
      <w:r w:rsidRPr="00290FD5">
        <w:rPr>
          <w:rFonts w:cs="Arial"/>
          <w:szCs w:val="22"/>
          <w:lang w:val="en-US"/>
        </w:rPr>
        <w:t xml:space="preserve"> </w:t>
      </w:r>
    </w:p>
    <w:p w14:paraId="7FE6C1D1" w14:textId="77777777" w:rsidR="00202E1C" w:rsidRPr="00290FD5" w:rsidRDefault="00202E1C" w:rsidP="00202E1C">
      <w:pPr>
        <w:spacing w:before="120" w:after="120" w:line="360" w:lineRule="auto"/>
        <w:contextualSpacing/>
        <w:jc w:val="both"/>
        <w:rPr>
          <w:rFonts w:cs="Arial"/>
          <w:szCs w:val="22"/>
          <w:lang w:val="en-US"/>
        </w:rPr>
      </w:pPr>
      <w:r w:rsidRPr="00290FD5">
        <w:rPr>
          <w:rFonts w:cs="Arial"/>
          <w:szCs w:val="22"/>
          <w:lang w:val="en-US"/>
        </w:rPr>
        <w:t xml:space="preserve">Palma, Balearic Islands, 07120 Spain. </w:t>
      </w:r>
    </w:p>
    <w:p w14:paraId="52A67D24" w14:textId="77777777" w:rsidR="00202E1C" w:rsidRPr="00290FD5" w:rsidRDefault="00202E1C" w:rsidP="00202E1C">
      <w:pPr>
        <w:spacing w:before="120" w:after="120" w:line="360" w:lineRule="auto"/>
        <w:contextualSpacing/>
        <w:jc w:val="both"/>
        <w:rPr>
          <w:rFonts w:cs="Arial"/>
          <w:szCs w:val="22"/>
          <w:lang w:val="en-US"/>
        </w:rPr>
      </w:pPr>
      <w:r w:rsidRPr="00290FD5">
        <w:rPr>
          <w:rFonts w:cs="Arial"/>
          <w:szCs w:val="22"/>
          <w:lang w:val="en-US"/>
        </w:rPr>
        <w:t>+34 (871) 205-234</w:t>
      </w:r>
    </w:p>
    <w:p w14:paraId="581B9EA0" w14:textId="77777777" w:rsidR="00202E1C" w:rsidRPr="00290FD5" w:rsidRDefault="00202E1C" w:rsidP="00202E1C">
      <w:pPr>
        <w:spacing w:before="120" w:after="120" w:line="360" w:lineRule="auto"/>
        <w:contextualSpacing/>
        <w:jc w:val="both"/>
        <w:rPr>
          <w:rStyle w:val="Hyperlink"/>
          <w:rFonts w:cs="Arial"/>
          <w:szCs w:val="22"/>
          <w:lang w:val="en-US"/>
        </w:rPr>
      </w:pPr>
      <w:r w:rsidRPr="00290FD5">
        <w:rPr>
          <w:rFonts w:cs="Arial"/>
          <w:szCs w:val="22"/>
          <w:lang w:val="en-US"/>
        </w:rPr>
        <w:t xml:space="preserve">Email: </w:t>
      </w:r>
      <w:hyperlink r:id="rId4" w:history="1">
        <w:r w:rsidRPr="00290FD5">
          <w:rPr>
            <w:rStyle w:val="Hyperlink"/>
            <w:rFonts w:cs="Arial"/>
            <w:szCs w:val="22"/>
            <w:lang w:val="en-US"/>
          </w:rPr>
          <w:t>diego.marzese@ssib.es</w:t>
        </w:r>
      </w:hyperlink>
    </w:p>
    <w:p w14:paraId="36A14415" w14:textId="77777777" w:rsidR="00202E1C" w:rsidRPr="00290FD5" w:rsidRDefault="000F5CDC" w:rsidP="00202E1C">
      <w:pPr>
        <w:pStyle w:val="Heading3"/>
        <w:spacing w:before="120" w:after="120" w:line="276" w:lineRule="auto"/>
        <w:contextualSpacing/>
        <w:jc w:val="both"/>
        <w:rPr>
          <w:rFonts w:ascii="Arial" w:eastAsia="Arial" w:hAnsi="Arial" w:cs="Arial"/>
          <w:b/>
          <w:bCs/>
          <w:color w:val="222222"/>
          <w:sz w:val="22"/>
          <w:szCs w:val="22"/>
          <w:lang w:val="en-US"/>
        </w:rPr>
      </w:pPr>
      <w:r>
        <w:rPr>
          <w:rFonts w:ascii="Arial" w:eastAsia="Arial" w:hAnsi="Arial" w:cs="Arial"/>
          <w:b/>
          <w:bCs/>
          <w:color w:val="222222"/>
          <w:sz w:val="22"/>
          <w:szCs w:val="22"/>
          <w:lang w:val="en-US"/>
        </w:rPr>
        <w:lastRenderedPageBreak/>
        <w:t>Supplemental Figures</w:t>
      </w:r>
    </w:p>
    <w:p w14:paraId="63BD98F1" w14:textId="77777777" w:rsidR="00202E1C" w:rsidRPr="00290FD5" w:rsidRDefault="00202E1C" w:rsidP="00202E1C">
      <w:pPr>
        <w:spacing w:before="120" w:after="120" w:line="276" w:lineRule="auto"/>
        <w:contextualSpacing/>
        <w:jc w:val="both"/>
        <w:rPr>
          <w:rFonts w:cs="Arial"/>
          <w:szCs w:val="22"/>
          <w:lang w:eastAsia="en-US"/>
        </w:rPr>
      </w:pPr>
      <w:r>
        <w:rPr>
          <w:rFonts w:cs="Arial"/>
          <w:noProof/>
          <w:szCs w:val="22"/>
        </w:rPr>
        <w:drawing>
          <wp:inline distT="0" distB="0" distL="0" distR="0" wp14:anchorId="237A9E66" wp14:editId="321B7A0F">
            <wp:extent cx="5715000" cy="6121400"/>
            <wp:effectExtent l="0" t="0" r="0" b="0"/>
            <wp:docPr id="19" name="Imagen 19" descr="V11_MMP_Fi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11_MMP_Fig-02.jpg"/>
                    <pic:cNvPicPr>
                      <a:picLocks noChangeAspect="1" noChangeArrowheads="1"/>
                    </pic:cNvPicPr>
                  </pic:nvPicPr>
                  <pic:blipFill rotWithShape="1">
                    <a:blip r:embed="rId5">
                      <a:extLst>
                        <a:ext uri="{28A0092B-C50C-407E-A947-70E740481C1C}">
                          <a14:useLocalDpi xmlns:a14="http://schemas.microsoft.com/office/drawing/2010/main" val="0"/>
                        </a:ext>
                      </a:extLst>
                    </a:blip>
                    <a:srcRect b="24333"/>
                    <a:stretch/>
                  </pic:blipFill>
                  <pic:spPr bwMode="auto">
                    <a:xfrm>
                      <a:off x="0" y="0"/>
                      <a:ext cx="5715000" cy="6121400"/>
                    </a:xfrm>
                    <a:prstGeom prst="rect">
                      <a:avLst/>
                    </a:prstGeom>
                    <a:noFill/>
                    <a:ln>
                      <a:noFill/>
                    </a:ln>
                    <a:extLst>
                      <a:ext uri="{53640926-AAD7-44D8-BBD7-CCE9431645EC}">
                        <a14:shadowObscured xmlns:a14="http://schemas.microsoft.com/office/drawing/2010/main"/>
                      </a:ext>
                    </a:extLst>
                  </pic:spPr>
                </pic:pic>
              </a:graphicData>
            </a:graphic>
          </wp:inline>
        </w:drawing>
      </w:r>
    </w:p>
    <w:p w14:paraId="7BA1420B" w14:textId="77777777" w:rsidR="00202E1C" w:rsidRPr="00290FD5" w:rsidRDefault="000F5CDC" w:rsidP="00202E1C">
      <w:pPr>
        <w:spacing w:before="120" w:after="120" w:line="276" w:lineRule="auto"/>
        <w:contextualSpacing/>
        <w:jc w:val="both"/>
        <w:rPr>
          <w:rFonts w:cs="Arial"/>
          <w:lang w:val="en-US"/>
        </w:rPr>
        <w:sectPr w:rsidR="00202E1C" w:rsidRPr="00290FD5" w:rsidSect="003F02A5">
          <w:pgSz w:w="11900" w:h="16840"/>
          <w:pgMar w:top="1440" w:right="1440" w:bottom="1440" w:left="1440" w:header="708" w:footer="708" w:gutter="0"/>
          <w:lnNumType w:countBy="1" w:restart="continuous"/>
          <w:cols w:space="708"/>
          <w:docGrid w:linePitch="360"/>
        </w:sectPr>
      </w:pPr>
      <w:r>
        <w:rPr>
          <w:rFonts w:cs="Arial"/>
          <w:b/>
          <w:szCs w:val="22"/>
          <w:lang w:val="en-US" w:eastAsia="en-US"/>
        </w:rPr>
        <w:t xml:space="preserve">Supplemental </w:t>
      </w:r>
      <w:r w:rsidR="00202E1C" w:rsidRPr="00290FD5">
        <w:rPr>
          <w:rFonts w:cs="Arial"/>
          <w:b/>
          <w:szCs w:val="22"/>
          <w:lang w:val="en-US" w:eastAsia="en-US"/>
        </w:rPr>
        <w:t>Figure 1.</w:t>
      </w:r>
      <w:r>
        <w:rPr>
          <w:rFonts w:cs="Arial"/>
          <w:b/>
          <w:szCs w:val="22"/>
          <w:lang w:val="en-US" w:eastAsia="en-US"/>
        </w:rPr>
        <w:t xml:space="preserve"> Related to Figure 1.</w:t>
      </w:r>
      <w:r w:rsidR="00202E1C" w:rsidRPr="00290FD5">
        <w:rPr>
          <w:rFonts w:cs="Arial"/>
          <w:b/>
          <w:szCs w:val="22"/>
          <w:lang w:val="en-US" w:eastAsia="en-US"/>
        </w:rPr>
        <w:t xml:space="preserve"> a. </w:t>
      </w:r>
      <w:r w:rsidR="00202E1C" w:rsidRPr="00290FD5">
        <w:rPr>
          <w:rFonts w:cs="Arial"/>
          <w:szCs w:val="22"/>
          <w:lang w:val="en-US" w:eastAsia="en-US"/>
        </w:rPr>
        <w:t xml:space="preserve">Gene expression of all human MMP genes in normal and TNBC samples. </w:t>
      </w:r>
      <w:r w:rsidR="00202E1C" w:rsidRPr="00290FD5">
        <w:rPr>
          <w:rFonts w:cs="Arial"/>
          <w:b/>
          <w:szCs w:val="22"/>
          <w:lang w:val="en-US" w:eastAsia="en-US"/>
        </w:rPr>
        <w:t>b.</w:t>
      </w:r>
      <w:r w:rsidR="00202E1C" w:rsidRPr="00290FD5">
        <w:rPr>
          <w:rFonts w:cs="Arial"/>
          <w:szCs w:val="22"/>
          <w:lang w:val="en-US" w:eastAsia="en-US"/>
        </w:rPr>
        <w:t xml:space="preserve"> MMP gene distribution across chromosomes. </w:t>
      </w:r>
      <w:r w:rsidR="00202E1C" w:rsidRPr="00290FD5">
        <w:rPr>
          <w:rFonts w:cs="Arial"/>
          <w:b/>
          <w:szCs w:val="22"/>
          <w:lang w:val="en-US" w:eastAsia="en-US"/>
        </w:rPr>
        <w:t xml:space="preserve">c. </w:t>
      </w:r>
      <w:r w:rsidR="00202E1C" w:rsidRPr="00290FD5">
        <w:rPr>
          <w:rFonts w:cs="Arial"/>
          <w:szCs w:val="22"/>
          <w:lang w:val="en-US" w:eastAsia="en-US"/>
        </w:rPr>
        <w:t xml:space="preserve">The ratio of the 3’MMPs/5’MMPs between normal and TNBC samples. </w:t>
      </w:r>
      <w:r w:rsidR="00202E1C" w:rsidRPr="00290FD5">
        <w:rPr>
          <w:rFonts w:cs="Arial"/>
          <w:lang w:val="en-US"/>
        </w:rPr>
        <w:t>Mann-Whitney test. ns</w:t>
      </w:r>
      <w:r w:rsidR="00202E1C" w:rsidRPr="00290FD5">
        <w:rPr>
          <w:rFonts w:cs="Arial"/>
          <w:szCs w:val="22"/>
          <w:lang w:val="en-US" w:eastAsia="en-US"/>
        </w:rPr>
        <w:t xml:space="preserve">: </w:t>
      </w:r>
      <w:r w:rsidR="00202E1C" w:rsidRPr="00290FD5">
        <w:rPr>
          <w:rFonts w:cs="Arial"/>
          <w:lang w:val="en-US"/>
        </w:rPr>
        <w:t>no significant, *P&lt;0.05, **P&lt;0.01, ***P&lt;0.001.</w:t>
      </w:r>
    </w:p>
    <w:p w14:paraId="746FA0CC" w14:textId="77777777" w:rsidR="00202E1C" w:rsidRPr="00290FD5" w:rsidRDefault="00202E1C" w:rsidP="00202E1C">
      <w:pPr>
        <w:spacing w:before="120" w:after="120" w:line="276" w:lineRule="auto"/>
        <w:contextualSpacing/>
        <w:jc w:val="both"/>
        <w:rPr>
          <w:rFonts w:cs="Arial"/>
          <w:lang w:val="en-US"/>
        </w:rPr>
      </w:pPr>
    </w:p>
    <w:p w14:paraId="7978953D"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r w:rsidRPr="00290FD5">
        <w:rPr>
          <w:rFonts w:cs="Arial"/>
          <w:noProof/>
          <w:szCs w:val="22"/>
        </w:rPr>
        <w:drawing>
          <wp:inline distT="0" distB="0" distL="0" distR="0" wp14:anchorId="4278389E" wp14:editId="1920DA12">
            <wp:extent cx="8983052" cy="3171243"/>
            <wp:effectExtent l="0" t="0" r="8890" b="3810"/>
            <wp:docPr id="12" name="Picture 12" descr="../PNGs%20figures/V11_MMP_Fi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NGs%20figures/V11_MMP_Fig-03.png"/>
                    <pic:cNvPicPr>
                      <a:picLocks noChangeAspect="1" noChangeArrowheads="1"/>
                    </pic:cNvPicPr>
                  </pic:nvPicPr>
                  <pic:blipFill rotWithShape="1">
                    <a:blip r:embed="rId6">
                      <a:extLst>
                        <a:ext uri="{28A0092B-C50C-407E-A947-70E740481C1C}">
                          <a14:useLocalDpi xmlns:a14="http://schemas.microsoft.com/office/drawing/2010/main" val="0"/>
                        </a:ext>
                      </a:extLst>
                    </a:blip>
                    <a:srcRect b="50094"/>
                    <a:stretch/>
                  </pic:blipFill>
                  <pic:spPr bwMode="auto">
                    <a:xfrm>
                      <a:off x="0" y="0"/>
                      <a:ext cx="9000029" cy="3177236"/>
                    </a:xfrm>
                    <a:prstGeom prst="rect">
                      <a:avLst/>
                    </a:prstGeom>
                    <a:noFill/>
                    <a:ln>
                      <a:noFill/>
                    </a:ln>
                    <a:extLst>
                      <a:ext uri="{53640926-AAD7-44D8-BBD7-CCE9431645EC}">
                        <a14:shadowObscured xmlns:a14="http://schemas.microsoft.com/office/drawing/2010/main"/>
                      </a:ext>
                    </a:extLst>
                  </pic:spPr>
                </pic:pic>
              </a:graphicData>
            </a:graphic>
          </wp:inline>
        </w:drawing>
      </w:r>
    </w:p>
    <w:p w14:paraId="22022AFD" w14:textId="01AD72EB" w:rsidR="00202E1C" w:rsidRPr="00290FD5" w:rsidRDefault="000F5CDC" w:rsidP="00202E1C">
      <w:pPr>
        <w:widowControl w:val="0"/>
        <w:autoSpaceDE w:val="0"/>
        <w:autoSpaceDN w:val="0"/>
        <w:adjustRightInd w:val="0"/>
        <w:spacing w:before="120" w:after="120" w:line="276" w:lineRule="auto"/>
        <w:contextualSpacing/>
        <w:jc w:val="both"/>
        <w:rPr>
          <w:rFonts w:cs="Arial"/>
          <w:szCs w:val="22"/>
          <w:lang w:val="en-US" w:eastAsia="en-US"/>
        </w:rPr>
        <w:sectPr w:rsidR="00202E1C" w:rsidRPr="00290FD5" w:rsidSect="005A3D8A">
          <w:pgSz w:w="16840" w:h="11900" w:orient="landscape"/>
          <w:pgMar w:top="1440" w:right="1440" w:bottom="1440" w:left="1440" w:header="708" w:footer="708" w:gutter="0"/>
          <w:lnNumType w:countBy="1" w:restart="continuous"/>
          <w:cols w:space="708"/>
          <w:docGrid w:linePitch="360"/>
        </w:sectPr>
      </w:pPr>
      <w:r>
        <w:rPr>
          <w:rFonts w:cs="Arial"/>
          <w:b/>
          <w:szCs w:val="22"/>
          <w:lang w:val="en-US" w:eastAsia="en-US"/>
        </w:rPr>
        <w:t xml:space="preserve">Supplemental </w:t>
      </w:r>
      <w:r w:rsidR="00202E1C" w:rsidRPr="00290FD5">
        <w:rPr>
          <w:rFonts w:cs="Arial"/>
          <w:b/>
          <w:szCs w:val="22"/>
          <w:lang w:val="en-US" w:eastAsia="en-US"/>
        </w:rPr>
        <w:t>Figure 2.</w:t>
      </w:r>
      <w:r>
        <w:rPr>
          <w:rFonts w:cs="Arial"/>
          <w:b/>
          <w:szCs w:val="22"/>
          <w:lang w:val="en-US" w:eastAsia="en-US"/>
        </w:rPr>
        <w:t xml:space="preserve"> Related to Figure 1.</w:t>
      </w:r>
      <w:r w:rsidR="00202E1C" w:rsidRPr="00290FD5">
        <w:rPr>
          <w:rFonts w:cs="Arial"/>
          <w:szCs w:val="22"/>
          <w:lang w:val="en-US" w:eastAsia="en-US"/>
        </w:rPr>
        <w:t xml:space="preserve"> Forest plots displaying the Log2 Hazard ratio (RFS, left; OS right) of MMP signature (defined by high expression of 3’MMPs and low expression of 5’MMPs) in different cancer studies included in the KM plotter. Cancer subtypes where MMP signature was associated with worse prognosis in both RFS and OS appear highlighted in green, whereas purple highlight corresponds to the cancer subtype where MMP signature is associated with better prognosis. </w:t>
      </w:r>
      <w:proofErr w:type="spellStart"/>
      <w:r w:rsidR="00202E1C" w:rsidRPr="00290FD5">
        <w:rPr>
          <w:rFonts w:cs="Arial"/>
          <w:szCs w:val="22"/>
          <w:lang w:val="en-US" w:eastAsia="en-US"/>
        </w:rPr>
        <w:t>HRpos</w:t>
      </w:r>
      <w:proofErr w:type="spellEnd"/>
      <w:r w:rsidR="00202E1C" w:rsidRPr="00290FD5">
        <w:rPr>
          <w:rFonts w:cs="Arial"/>
          <w:szCs w:val="22"/>
          <w:lang w:val="en-US" w:eastAsia="en-US"/>
        </w:rPr>
        <w:t>: hormone receptor-positive; ESCC: esophageal squamous cell carcinoma; HNSCC: head and neck squamous cell carcinoma; KRCCC: kidney renal clear cell carcinoma; KRPC: kidney renal papillary cell carcinoma; LUAD: Lung adenocarcinoma; LUSC: Lung squamous cell carcinoma; PDAC: Pancreatic ductal adenocarcinoma.</w:t>
      </w:r>
    </w:p>
    <w:p w14:paraId="4838000E"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rPr>
      </w:pPr>
      <w:r>
        <w:rPr>
          <w:rFonts w:cs="Arial"/>
          <w:noProof/>
          <w:szCs w:val="22"/>
        </w:rPr>
        <w:lastRenderedPageBreak/>
        <w:drawing>
          <wp:inline distT="0" distB="0" distL="0" distR="0" wp14:anchorId="1C5AA1C2" wp14:editId="5BFC5250">
            <wp:extent cx="5727700" cy="7696200"/>
            <wp:effectExtent l="0" t="0" r="12700" b="0"/>
            <wp:docPr id="20" name="Imagen 20" descr="V11_MMP_Fig-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11_MMP_Fig-05.jpg"/>
                    <pic:cNvPicPr>
                      <a:picLocks noChangeAspect="1" noChangeArrowheads="1"/>
                    </pic:cNvPicPr>
                  </pic:nvPicPr>
                  <pic:blipFill rotWithShape="1">
                    <a:blip r:embed="rId7">
                      <a:extLst>
                        <a:ext uri="{28A0092B-C50C-407E-A947-70E740481C1C}">
                          <a14:useLocalDpi xmlns:a14="http://schemas.microsoft.com/office/drawing/2010/main" val="0"/>
                        </a:ext>
                      </a:extLst>
                    </a:blip>
                    <a:srcRect t="1099" b="3768"/>
                    <a:stretch/>
                  </pic:blipFill>
                  <pic:spPr bwMode="auto">
                    <a:xfrm>
                      <a:off x="0" y="0"/>
                      <a:ext cx="5727700" cy="7696200"/>
                    </a:xfrm>
                    <a:prstGeom prst="rect">
                      <a:avLst/>
                    </a:prstGeom>
                    <a:noFill/>
                    <a:ln>
                      <a:noFill/>
                    </a:ln>
                    <a:extLst>
                      <a:ext uri="{53640926-AAD7-44D8-BBD7-CCE9431645EC}">
                        <a14:shadowObscured xmlns:a14="http://schemas.microsoft.com/office/drawing/2010/main"/>
                      </a:ext>
                    </a:extLst>
                  </pic:spPr>
                </pic:pic>
              </a:graphicData>
            </a:graphic>
          </wp:inline>
        </w:drawing>
      </w:r>
    </w:p>
    <w:p w14:paraId="2766F241" w14:textId="77777777" w:rsidR="00202E1C" w:rsidRPr="00290FD5" w:rsidRDefault="000F5CDC" w:rsidP="00202E1C">
      <w:pPr>
        <w:widowControl w:val="0"/>
        <w:autoSpaceDE w:val="0"/>
        <w:autoSpaceDN w:val="0"/>
        <w:adjustRightInd w:val="0"/>
        <w:spacing w:before="120" w:after="120" w:line="276" w:lineRule="auto"/>
        <w:contextualSpacing/>
        <w:jc w:val="both"/>
        <w:rPr>
          <w:rFonts w:cs="Arial"/>
          <w:lang w:val="en-US"/>
        </w:rPr>
      </w:pPr>
      <w:r>
        <w:rPr>
          <w:rFonts w:cs="Arial"/>
          <w:b/>
          <w:szCs w:val="22"/>
          <w:lang w:val="en-US" w:eastAsia="en-US"/>
        </w:rPr>
        <w:t xml:space="preserve">Supplemental </w:t>
      </w:r>
      <w:r w:rsidR="00202E1C" w:rsidRPr="00290FD5">
        <w:rPr>
          <w:rFonts w:cs="Arial"/>
          <w:b/>
          <w:szCs w:val="22"/>
          <w:lang w:val="en-US" w:eastAsia="en-US"/>
        </w:rPr>
        <w:t>Figure 3.</w:t>
      </w:r>
      <w:r>
        <w:rPr>
          <w:rFonts w:cs="Arial"/>
          <w:b/>
          <w:szCs w:val="22"/>
          <w:lang w:val="en-US" w:eastAsia="en-US"/>
        </w:rPr>
        <w:t xml:space="preserve"> Related to Figure 2.</w:t>
      </w:r>
      <w:r w:rsidR="00202E1C" w:rsidRPr="00290FD5">
        <w:rPr>
          <w:rFonts w:cs="Arial"/>
          <w:b/>
          <w:szCs w:val="22"/>
          <w:lang w:val="en-US" w:eastAsia="en-US"/>
        </w:rPr>
        <w:t xml:space="preserve"> a.</w:t>
      </w:r>
      <w:r w:rsidR="00202E1C" w:rsidRPr="00290FD5">
        <w:rPr>
          <w:rFonts w:cs="Arial"/>
          <w:szCs w:val="22"/>
          <w:lang w:val="en-US" w:eastAsia="en-US"/>
        </w:rPr>
        <w:t xml:space="preserve"> Workflow for gene regulatory elements identification (</w:t>
      </w:r>
      <w:r w:rsidR="00202E1C" w:rsidRPr="00290FD5">
        <w:rPr>
          <w:rFonts w:cs="Arial"/>
          <w:b/>
          <w:lang w:val="en-US"/>
        </w:rPr>
        <w:t>left</w:t>
      </w:r>
      <w:r w:rsidR="00202E1C" w:rsidRPr="00290FD5">
        <w:rPr>
          <w:rFonts w:cs="Arial"/>
          <w:szCs w:val="22"/>
          <w:lang w:val="en-US" w:eastAsia="en-US"/>
        </w:rPr>
        <w:t>) and summary of characterized gene regulatory elements by spatial location (</w:t>
      </w:r>
      <w:r w:rsidR="00202E1C" w:rsidRPr="00290FD5">
        <w:rPr>
          <w:rFonts w:cs="Arial"/>
          <w:b/>
          <w:lang w:val="en-US"/>
        </w:rPr>
        <w:t>right</w:t>
      </w:r>
      <w:r w:rsidR="00202E1C" w:rsidRPr="00290FD5">
        <w:rPr>
          <w:rFonts w:cs="Arial"/>
          <w:szCs w:val="22"/>
          <w:lang w:val="en-US" w:eastAsia="en-US"/>
        </w:rPr>
        <w:t xml:space="preserve">). </w:t>
      </w:r>
      <w:r w:rsidR="00202E1C" w:rsidRPr="00290FD5">
        <w:rPr>
          <w:rFonts w:cs="Arial"/>
          <w:b/>
          <w:szCs w:val="22"/>
          <w:lang w:val="en-US" w:eastAsia="en-US"/>
        </w:rPr>
        <w:t>b.</w:t>
      </w:r>
      <w:r w:rsidR="00202E1C" w:rsidRPr="00290FD5">
        <w:rPr>
          <w:rFonts w:cs="Arial"/>
          <w:szCs w:val="22"/>
          <w:lang w:val="en-US" w:eastAsia="en-US"/>
        </w:rPr>
        <w:t xml:space="preserve"> </w:t>
      </w:r>
      <w:proofErr w:type="spellStart"/>
      <w:r w:rsidR="00202E1C" w:rsidRPr="00290FD5">
        <w:rPr>
          <w:rFonts w:cs="Arial"/>
          <w:szCs w:val="22"/>
          <w:lang w:val="en-US" w:eastAsia="en-US"/>
        </w:rPr>
        <w:t>ChiA</w:t>
      </w:r>
      <w:proofErr w:type="spellEnd"/>
      <w:r w:rsidR="00202E1C" w:rsidRPr="00290FD5">
        <w:rPr>
          <w:rFonts w:cs="Arial"/>
          <w:szCs w:val="22"/>
          <w:lang w:val="en-US" w:eastAsia="en-US"/>
        </w:rPr>
        <w:t xml:space="preserve">-PET against CTCF at Chr11q22.2 in different cell lines. </w:t>
      </w:r>
      <w:r w:rsidR="00202E1C" w:rsidRPr="00290FD5">
        <w:rPr>
          <w:rFonts w:cs="Arial"/>
          <w:b/>
          <w:szCs w:val="22"/>
          <w:lang w:val="en-US" w:eastAsia="en-US"/>
        </w:rPr>
        <w:t>c.</w:t>
      </w:r>
      <w:r w:rsidR="00202E1C" w:rsidRPr="00290FD5">
        <w:rPr>
          <w:rFonts w:cs="Arial"/>
          <w:szCs w:val="22"/>
          <w:lang w:val="en-US" w:eastAsia="en-US"/>
        </w:rPr>
        <w:t xml:space="preserve"> Representation of </w:t>
      </w:r>
      <w:proofErr w:type="spellStart"/>
      <w:r w:rsidR="00202E1C" w:rsidRPr="00290FD5">
        <w:rPr>
          <w:rFonts w:cs="Arial"/>
          <w:szCs w:val="22"/>
          <w:lang w:val="en-US" w:eastAsia="en-US"/>
        </w:rPr>
        <w:t>eQTLs</w:t>
      </w:r>
      <w:proofErr w:type="spellEnd"/>
      <w:r w:rsidR="00202E1C" w:rsidRPr="00290FD5">
        <w:rPr>
          <w:rFonts w:cs="Arial"/>
          <w:szCs w:val="22"/>
          <w:lang w:val="en-US" w:eastAsia="en-US"/>
        </w:rPr>
        <w:t xml:space="preserve"> modulating the expression of each MMP gene at Chr11q22.2. Arc colors summarize the interactions according to their relative location. Purple arcs link SNPs and TSS located at the 5’MMP locus, green arcs connect both SNPs and TSS found at the 3’MMP locus and </w:t>
      </w:r>
      <w:r w:rsidR="00202E1C" w:rsidRPr="00290FD5">
        <w:rPr>
          <w:rFonts w:cs="Arial"/>
          <w:szCs w:val="22"/>
          <w:lang w:val="en-US" w:eastAsia="en-US"/>
        </w:rPr>
        <w:lastRenderedPageBreak/>
        <w:t>orange arcs correspond to interactions that cross IE8, which is indicated by a dashed vertical line. Arc height is represented by -log</w:t>
      </w:r>
      <w:r w:rsidR="00202E1C" w:rsidRPr="00290FD5">
        <w:rPr>
          <w:rFonts w:cs="Arial"/>
          <w:szCs w:val="22"/>
          <w:vertAlign w:val="subscript"/>
          <w:lang w:val="en-US" w:eastAsia="en-US"/>
        </w:rPr>
        <w:t>10</w:t>
      </w:r>
      <w:r w:rsidR="00202E1C" w:rsidRPr="00290FD5">
        <w:rPr>
          <w:rFonts w:cs="Arial"/>
          <w:szCs w:val="22"/>
          <w:lang w:val="en-US" w:eastAsia="en-US"/>
        </w:rPr>
        <w:t xml:space="preserve">(p-value) for </w:t>
      </w:r>
      <w:proofErr w:type="spellStart"/>
      <w:r w:rsidR="00202E1C" w:rsidRPr="00290FD5">
        <w:rPr>
          <w:rFonts w:cs="Arial"/>
          <w:szCs w:val="22"/>
          <w:lang w:val="en-US" w:eastAsia="en-US"/>
        </w:rPr>
        <w:t>eQTL</w:t>
      </w:r>
      <w:proofErr w:type="spellEnd"/>
      <w:r w:rsidR="00202E1C" w:rsidRPr="00290FD5">
        <w:rPr>
          <w:rFonts w:cs="Arial"/>
          <w:szCs w:val="22"/>
          <w:lang w:val="en-US" w:eastAsia="en-US"/>
        </w:rPr>
        <w:t xml:space="preserve"> that are associated with an increase in expression and log</w:t>
      </w:r>
      <w:r w:rsidR="00202E1C" w:rsidRPr="00290FD5">
        <w:rPr>
          <w:rFonts w:cs="Arial"/>
          <w:szCs w:val="22"/>
          <w:vertAlign w:val="subscript"/>
          <w:lang w:val="en-US" w:eastAsia="en-US"/>
        </w:rPr>
        <w:t>10</w:t>
      </w:r>
      <w:r w:rsidR="00202E1C" w:rsidRPr="00290FD5">
        <w:rPr>
          <w:rFonts w:cs="Arial"/>
          <w:szCs w:val="22"/>
          <w:lang w:val="en-US" w:eastAsia="en-US"/>
        </w:rPr>
        <w:t xml:space="preserve">(p-value) for </w:t>
      </w:r>
      <w:proofErr w:type="spellStart"/>
      <w:r w:rsidR="00202E1C" w:rsidRPr="00290FD5">
        <w:rPr>
          <w:rFonts w:cs="Arial"/>
          <w:szCs w:val="22"/>
          <w:lang w:val="en-US" w:eastAsia="en-US"/>
        </w:rPr>
        <w:t>eQTL</w:t>
      </w:r>
      <w:proofErr w:type="spellEnd"/>
      <w:r w:rsidR="00202E1C" w:rsidRPr="00290FD5">
        <w:rPr>
          <w:rFonts w:cs="Arial"/>
          <w:szCs w:val="22"/>
          <w:lang w:val="en-US" w:eastAsia="en-US"/>
        </w:rPr>
        <w:t xml:space="preserve"> is linked to a decrease in expression.</w:t>
      </w:r>
      <w:r w:rsidR="00202E1C" w:rsidRPr="00290FD5">
        <w:rPr>
          <w:rFonts w:cs="Arial"/>
          <w:b/>
          <w:szCs w:val="22"/>
          <w:lang w:val="en-US" w:eastAsia="en-US"/>
        </w:rPr>
        <w:t xml:space="preserve"> d.</w:t>
      </w:r>
      <w:r w:rsidR="00202E1C" w:rsidRPr="00290FD5">
        <w:rPr>
          <w:rFonts w:cs="Arial"/>
          <w:szCs w:val="22"/>
          <w:lang w:val="en-US" w:eastAsia="en-US"/>
        </w:rPr>
        <w:t xml:space="preserve"> Representation factor of SNPs located at MMP locus, CTCF binding sites of Insulator Elements, and IE8. All data are normalized to chr11 mutation considering the length (bp) of segments. Lollipops</w:t>
      </w:r>
      <w:r w:rsidR="00202E1C" w:rsidRPr="00290FD5">
        <w:rPr>
          <w:rFonts w:cs="Arial"/>
          <w:lang w:val="en-US"/>
        </w:rPr>
        <w:t xml:space="preserve"> also include the raw number of mutations.</w:t>
      </w:r>
    </w:p>
    <w:p w14:paraId="336860EF" w14:textId="77777777" w:rsidR="00202E1C" w:rsidRDefault="00202E1C" w:rsidP="00202E1C">
      <w:pPr>
        <w:widowControl w:val="0"/>
        <w:autoSpaceDE w:val="0"/>
        <w:autoSpaceDN w:val="0"/>
        <w:adjustRightInd w:val="0"/>
        <w:spacing w:before="120" w:after="120" w:line="276" w:lineRule="auto"/>
        <w:contextualSpacing/>
        <w:jc w:val="both"/>
        <w:rPr>
          <w:rFonts w:cs="Arial"/>
          <w:lang w:val="en-US"/>
        </w:rPr>
      </w:pPr>
    </w:p>
    <w:p w14:paraId="465B88F1"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r w:rsidRPr="00290FD5">
        <w:rPr>
          <w:rFonts w:cs="Arial"/>
          <w:noProof/>
          <w:szCs w:val="22"/>
        </w:rPr>
        <w:drawing>
          <wp:inline distT="0" distB="0" distL="0" distR="0" wp14:anchorId="79EEA1CC" wp14:editId="52C20E09">
            <wp:extent cx="5724525" cy="2866145"/>
            <wp:effectExtent l="0" t="0" r="0" b="4445"/>
            <wp:docPr id="14" name="Picture 14" descr="../PNGs%20figures/V11_MMP_Fig-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NGs%20figures/V11_MMP_Fig-06.png"/>
                    <pic:cNvPicPr>
                      <a:picLocks noChangeAspect="1" noChangeArrowheads="1"/>
                    </pic:cNvPicPr>
                  </pic:nvPicPr>
                  <pic:blipFill rotWithShape="1">
                    <a:blip r:embed="rId8">
                      <a:extLst>
                        <a:ext uri="{28A0092B-C50C-407E-A947-70E740481C1C}">
                          <a14:useLocalDpi xmlns:a14="http://schemas.microsoft.com/office/drawing/2010/main" val="0"/>
                        </a:ext>
                      </a:extLst>
                    </a:blip>
                    <a:srcRect b="64610"/>
                    <a:stretch/>
                  </pic:blipFill>
                  <pic:spPr bwMode="auto">
                    <a:xfrm>
                      <a:off x="0" y="0"/>
                      <a:ext cx="5724525" cy="2866145"/>
                    </a:xfrm>
                    <a:prstGeom prst="rect">
                      <a:avLst/>
                    </a:prstGeom>
                    <a:noFill/>
                    <a:ln>
                      <a:noFill/>
                    </a:ln>
                    <a:extLst>
                      <a:ext uri="{53640926-AAD7-44D8-BBD7-CCE9431645EC}">
                        <a14:shadowObscured xmlns:a14="http://schemas.microsoft.com/office/drawing/2010/main"/>
                      </a:ext>
                    </a:extLst>
                  </pic:spPr>
                </pic:pic>
              </a:graphicData>
            </a:graphic>
          </wp:inline>
        </w:drawing>
      </w:r>
    </w:p>
    <w:p w14:paraId="40A15068"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p>
    <w:p w14:paraId="07966ADE" w14:textId="77777777" w:rsidR="00202E1C" w:rsidRPr="00290FD5" w:rsidRDefault="000F5CDC" w:rsidP="00202E1C">
      <w:pPr>
        <w:widowControl w:val="0"/>
        <w:autoSpaceDE w:val="0"/>
        <w:autoSpaceDN w:val="0"/>
        <w:adjustRightInd w:val="0"/>
        <w:spacing w:before="120" w:after="120" w:line="276" w:lineRule="auto"/>
        <w:contextualSpacing/>
        <w:jc w:val="both"/>
        <w:rPr>
          <w:rFonts w:cs="Arial"/>
          <w:szCs w:val="22"/>
          <w:lang w:val="en-US" w:eastAsia="en-US"/>
        </w:rPr>
        <w:sectPr w:rsidR="00202E1C" w:rsidRPr="00290FD5" w:rsidSect="003F02A5">
          <w:pgSz w:w="11900" w:h="16840"/>
          <w:pgMar w:top="1440" w:right="1440" w:bottom="1440" w:left="1440" w:header="708" w:footer="708" w:gutter="0"/>
          <w:lnNumType w:countBy="1" w:restart="continuous"/>
          <w:cols w:space="708"/>
          <w:docGrid w:linePitch="360"/>
        </w:sectPr>
      </w:pPr>
      <w:r>
        <w:rPr>
          <w:rFonts w:cs="Arial"/>
          <w:b/>
          <w:szCs w:val="22"/>
          <w:lang w:val="en-US" w:eastAsia="en-US"/>
        </w:rPr>
        <w:t xml:space="preserve">Supplemental </w:t>
      </w:r>
      <w:r w:rsidR="00202E1C" w:rsidRPr="00290FD5">
        <w:rPr>
          <w:rFonts w:cs="Arial"/>
          <w:b/>
          <w:szCs w:val="22"/>
          <w:lang w:val="en-US" w:eastAsia="en-US"/>
        </w:rPr>
        <w:t>Figure 4.</w:t>
      </w:r>
      <w:r>
        <w:rPr>
          <w:rFonts w:cs="Arial"/>
          <w:b/>
          <w:szCs w:val="22"/>
          <w:lang w:val="en-US" w:eastAsia="en-US"/>
        </w:rPr>
        <w:t xml:space="preserve"> Related to Figure 2.</w:t>
      </w:r>
      <w:r w:rsidRPr="00290FD5">
        <w:rPr>
          <w:rFonts w:cs="Arial"/>
          <w:b/>
          <w:szCs w:val="22"/>
          <w:lang w:val="en-US" w:eastAsia="en-US"/>
        </w:rPr>
        <w:t xml:space="preserve"> </w:t>
      </w:r>
      <w:r w:rsidR="00202E1C" w:rsidRPr="00290FD5">
        <w:rPr>
          <w:rFonts w:cs="Arial"/>
          <w:szCs w:val="22"/>
          <w:lang w:val="en-US" w:eastAsia="en-US"/>
        </w:rPr>
        <w:t>Electropherograms of the sgRNA surrounding sequence (</w:t>
      </w:r>
      <w:r w:rsidR="00202E1C" w:rsidRPr="00290FD5">
        <w:rPr>
          <w:rFonts w:cs="Arial"/>
          <w:b/>
          <w:lang w:val="en-US"/>
        </w:rPr>
        <w:t>highlighted in purple</w:t>
      </w:r>
      <w:r w:rsidR="00202E1C" w:rsidRPr="00290FD5">
        <w:rPr>
          <w:rFonts w:cs="Arial"/>
          <w:szCs w:val="22"/>
          <w:lang w:val="en-US" w:eastAsia="en-US"/>
        </w:rPr>
        <w:t>) in MDA-MB-231 and MDA-MB-436 wildtype and selected clone</w:t>
      </w:r>
    </w:p>
    <w:p w14:paraId="308E8C42" w14:textId="77777777" w:rsidR="00202E1C" w:rsidRPr="00290FD5" w:rsidRDefault="00202E1C" w:rsidP="00202E1C">
      <w:pPr>
        <w:widowControl w:val="0"/>
        <w:autoSpaceDE w:val="0"/>
        <w:autoSpaceDN w:val="0"/>
        <w:adjustRightInd w:val="0"/>
        <w:spacing w:before="120" w:after="120" w:line="276" w:lineRule="auto"/>
        <w:contextualSpacing/>
        <w:jc w:val="center"/>
        <w:rPr>
          <w:rFonts w:cs="Arial"/>
          <w:szCs w:val="22"/>
          <w:lang w:eastAsia="en-US"/>
        </w:rPr>
      </w:pPr>
      <w:r>
        <w:rPr>
          <w:rFonts w:cs="Arial"/>
          <w:noProof/>
          <w:szCs w:val="22"/>
        </w:rPr>
        <w:lastRenderedPageBreak/>
        <w:drawing>
          <wp:inline distT="0" distB="0" distL="0" distR="0" wp14:anchorId="79A16414" wp14:editId="3F895A49">
            <wp:extent cx="7995189" cy="5146040"/>
            <wp:effectExtent l="0" t="0" r="6350" b="10160"/>
            <wp:docPr id="23" name="Imagen 23" descr="V11_MMP_Fi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11_MMP_Fig-14.jpg"/>
                    <pic:cNvPicPr>
                      <a:picLocks noChangeAspect="1" noChangeArrowheads="1"/>
                    </pic:cNvPicPr>
                  </pic:nvPicPr>
                  <pic:blipFill rotWithShape="1">
                    <a:blip r:embed="rId9">
                      <a:extLst>
                        <a:ext uri="{28A0092B-C50C-407E-A947-70E740481C1C}">
                          <a14:useLocalDpi xmlns:a14="http://schemas.microsoft.com/office/drawing/2010/main" val="0"/>
                        </a:ext>
                      </a:extLst>
                    </a:blip>
                    <a:srcRect b="8889"/>
                    <a:stretch/>
                  </pic:blipFill>
                  <pic:spPr bwMode="auto">
                    <a:xfrm>
                      <a:off x="0" y="0"/>
                      <a:ext cx="8000222" cy="5149280"/>
                    </a:xfrm>
                    <a:prstGeom prst="rect">
                      <a:avLst/>
                    </a:prstGeom>
                    <a:noFill/>
                    <a:ln>
                      <a:noFill/>
                    </a:ln>
                    <a:extLst>
                      <a:ext uri="{53640926-AAD7-44D8-BBD7-CCE9431645EC}">
                        <a14:shadowObscured xmlns:a14="http://schemas.microsoft.com/office/drawing/2010/main"/>
                      </a:ext>
                    </a:extLst>
                  </pic:spPr>
                </pic:pic>
              </a:graphicData>
            </a:graphic>
          </wp:inline>
        </w:drawing>
      </w:r>
    </w:p>
    <w:p w14:paraId="67A78FFF" w14:textId="77777777" w:rsidR="00202E1C" w:rsidRPr="00290FD5" w:rsidRDefault="000F5CDC" w:rsidP="00202E1C">
      <w:pPr>
        <w:widowControl w:val="0"/>
        <w:autoSpaceDE w:val="0"/>
        <w:autoSpaceDN w:val="0"/>
        <w:adjustRightInd w:val="0"/>
        <w:spacing w:before="120" w:after="120" w:line="276" w:lineRule="auto"/>
        <w:contextualSpacing/>
        <w:jc w:val="both"/>
        <w:rPr>
          <w:rFonts w:cs="Arial"/>
          <w:szCs w:val="22"/>
          <w:lang w:val="en-US" w:eastAsia="en-US"/>
        </w:rPr>
        <w:sectPr w:rsidR="00202E1C" w:rsidRPr="00290FD5" w:rsidSect="005A3D8A">
          <w:pgSz w:w="16840" w:h="11900" w:orient="landscape"/>
          <w:pgMar w:top="1440" w:right="1440" w:bottom="1440" w:left="1440" w:header="708" w:footer="708" w:gutter="0"/>
          <w:lnNumType w:countBy="1" w:restart="continuous"/>
          <w:cols w:space="708"/>
          <w:docGrid w:linePitch="360"/>
        </w:sectPr>
      </w:pPr>
      <w:r>
        <w:rPr>
          <w:rFonts w:cs="Arial"/>
          <w:b/>
          <w:szCs w:val="22"/>
          <w:lang w:val="en-US" w:eastAsia="en-US"/>
        </w:rPr>
        <w:t xml:space="preserve">Supplemental </w:t>
      </w:r>
      <w:r w:rsidR="00202E1C" w:rsidRPr="00290FD5">
        <w:rPr>
          <w:rFonts w:cs="Arial"/>
          <w:b/>
          <w:szCs w:val="22"/>
          <w:lang w:val="en-US" w:eastAsia="en-US"/>
        </w:rPr>
        <w:t>Figure 5.</w:t>
      </w:r>
      <w:r>
        <w:rPr>
          <w:rFonts w:cs="Arial"/>
          <w:b/>
          <w:szCs w:val="22"/>
          <w:lang w:val="en-US" w:eastAsia="en-US"/>
        </w:rPr>
        <w:t xml:space="preserve"> Related to Figure 2.</w:t>
      </w:r>
      <w:r w:rsidR="00202E1C" w:rsidRPr="00290FD5">
        <w:rPr>
          <w:rFonts w:cs="Arial"/>
          <w:b/>
          <w:szCs w:val="22"/>
          <w:lang w:val="en-US" w:eastAsia="en-US"/>
        </w:rPr>
        <w:t xml:space="preserve"> a.</w:t>
      </w:r>
      <w:r w:rsidR="00202E1C" w:rsidRPr="00290FD5">
        <w:rPr>
          <w:rFonts w:cs="Arial"/>
          <w:szCs w:val="22"/>
          <w:lang w:val="en-US" w:eastAsia="en-US"/>
        </w:rPr>
        <w:t xml:space="preserve"> H-</w:t>
      </w:r>
      <w:proofErr w:type="spellStart"/>
      <w:r w:rsidR="00202E1C" w:rsidRPr="00290FD5">
        <w:rPr>
          <w:rFonts w:cs="Arial"/>
          <w:szCs w:val="22"/>
          <w:lang w:val="en-US" w:eastAsia="en-US"/>
        </w:rPr>
        <w:t>iC</w:t>
      </w:r>
      <w:proofErr w:type="spellEnd"/>
      <w:r w:rsidR="00202E1C" w:rsidRPr="00290FD5">
        <w:rPr>
          <w:rFonts w:cs="Arial"/>
          <w:szCs w:val="22"/>
          <w:lang w:val="en-US" w:eastAsia="en-US"/>
        </w:rPr>
        <w:t xml:space="preserve"> contact frequency matrix for the 3Mb genomic region surrounding IE8 binned at 10-kb resolution in MDA-MB-231 and MDA-MB-436 before and after IE8 disruption. </w:t>
      </w:r>
      <w:r w:rsidR="00202E1C" w:rsidRPr="00290FD5">
        <w:rPr>
          <w:rFonts w:cs="Arial"/>
          <w:b/>
          <w:szCs w:val="22"/>
          <w:lang w:val="en-US" w:eastAsia="en-US"/>
        </w:rPr>
        <w:t>b.</w:t>
      </w:r>
      <w:r w:rsidR="00202E1C" w:rsidRPr="00290FD5">
        <w:rPr>
          <w:rFonts w:cs="Arial"/>
          <w:szCs w:val="22"/>
          <w:lang w:val="en-US" w:eastAsia="en-US"/>
        </w:rPr>
        <w:t xml:space="preserve"> The intensity of contact interactions of IE8 and its potential partners.</w:t>
      </w:r>
    </w:p>
    <w:p w14:paraId="224C298B"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r>
        <w:rPr>
          <w:rFonts w:cs="Arial"/>
          <w:noProof/>
          <w:szCs w:val="22"/>
        </w:rPr>
        <w:lastRenderedPageBreak/>
        <w:drawing>
          <wp:inline distT="0" distB="0" distL="0" distR="0" wp14:anchorId="135988A6" wp14:editId="6CDC11E2">
            <wp:extent cx="5715000" cy="7404100"/>
            <wp:effectExtent l="0" t="0" r="0" b="12700"/>
            <wp:docPr id="21" name="Imagen 21" descr="V11_MMP_Fig-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11_MMP_Fig-08.jpg"/>
                    <pic:cNvPicPr>
                      <a:picLocks noChangeAspect="1" noChangeArrowheads="1"/>
                    </pic:cNvPicPr>
                  </pic:nvPicPr>
                  <pic:blipFill rotWithShape="1">
                    <a:blip r:embed="rId10">
                      <a:extLst>
                        <a:ext uri="{28A0092B-C50C-407E-A947-70E740481C1C}">
                          <a14:useLocalDpi xmlns:a14="http://schemas.microsoft.com/office/drawing/2010/main" val="0"/>
                        </a:ext>
                      </a:extLst>
                    </a:blip>
                    <a:srcRect t="1099" b="7378"/>
                    <a:stretch/>
                  </pic:blipFill>
                  <pic:spPr bwMode="auto">
                    <a:xfrm>
                      <a:off x="0" y="0"/>
                      <a:ext cx="5715000" cy="7404100"/>
                    </a:xfrm>
                    <a:prstGeom prst="rect">
                      <a:avLst/>
                    </a:prstGeom>
                    <a:noFill/>
                    <a:ln>
                      <a:noFill/>
                    </a:ln>
                    <a:extLst>
                      <a:ext uri="{53640926-AAD7-44D8-BBD7-CCE9431645EC}">
                        <a14:shadowObscured xmlns:a14="http://schemas.microsoft.com/office/drawing/2010/main"/>
                      </a:ext>
                    </a:extLst>
                  </pic:spPr>
                </pic:pic>
              </a:graphicData>
            </a:graphic>
          </wp:inline>
        </w:drawing>
      </w:r>
    </w:p>
    <w:p w14:paraId="5EE26F4B" w14:textId="77777777" w:rsidR="00202E1C" w:rsidRPr="00290FD5" w:rsidRDefault="000F5CDC" w:rsidP="00202E1C">
      <w:pPr>
        <w:widowControl w:val="0"/>
        <w:autoSpaceDE w:val="0"/>
        <w:autoSpaceDN w:val="0"/>
        <w:adjustRightInd w:val="0"/>
        <w:spacing w:before="120" w:after="120" w:line="276" w:lineRule="auto"/>
        <w:contextualSpacing/>
        <w:jc w:val="both"/>
        <w:rPr>
          <w:rFonts w:cs="Arial"/>
          <w:szCs w:val="22"/>
          <w:lang w:val="en-US" w:eastAsia="en-US"/>
        </w:rPr>
      </w:pPr>
      <w:r>
        <w:rPr>
          <w:rFonts w:cs="Arial"/>
          <w:b/>
          <w:szCs w:val="22"/>
          <w:lang w:val="en-US" w:eastAsia="en-US"/>
        </w:rPr>
        <w:t xml:space="preserve">Supplemental </w:t>
      </w:r>
      <w:r w:rsidR="00202E1C" w:rsidRPr="00290FD5">
        <w:rPr>
          <w:rFonts w:cs="Arial"/>
          <w:b/>
          <w:szCs w:val="22"/>
          <w:lang w:val="en-US" w:eastAsia="en-US"/>
        </w:rPr>
        <w:t>Figure 6.</w:t>
      </w:r>
      <w:r>
        <w:rPr>
          <w:rFonts w:cs="Arial"/>
          <w:b/>
          <w:szCs w:val="22"/>
          <w:lang w:val="en-US" w:eastAsia="en-US"/>
        </w:rPr>
        <w:t xml:space="preserve"> Related to Figure 3.</w:t>
      </w:r>
      <w:r w:rsidRPr="00290FD5">
        <w:rPr>
          <w:rFonts w:cs="Arial"/>
          <w:b/>
          <w:szCs w:val="22"/>
          <w:lang w:val="en-US" w:eastAsia="en-US"/>
        </w:rPr>
        <w:t xml:space="preserve"> </w:t>
      </w:r>
      <w:r w:rsidR="00202E1C" w:rsidRPr="00290FD5">
        <w:rPr>
          <w:rFonts w:cs="Arial"/>
          <w:b/>
          <w:szCs w:val="22"/>
          <w:lang w:val="en-US" w:eastAsia="en-US"/>
        </w:rPr>
        <w:t>a.</w:t>
      </w:r>
      <w:r w:rsidR="00202E1C" w:rsidRPr="00290FD5">
        <w:rPr>
          <w:rFonts w:cs="Arial"/>
          <w:szCs w:val="22"/>
          <w:lang w:val="en-US" w:eastAsia="en-US"/>
        </w:rPr>
        <w:t xml:space="preserve"> Volcano plot of overlapping peaks between WT and IE8dis conditions in (</w:t>
      </w:r>
      <w:r w:rsidR="00202E1C" w:rsidRPr="00290FD5">
        <w:rPr>
          <w:rFonts w:cs="Arial"/>
          <w:b/>
          <w:lang w:val="en-US"/>
        </w:rPr>
        <w:t>left</w:t>
      </w:r>
      <w:r w:rsidR="00202E1C" w:rsidRPr="00290FD5">
        <w:rPr>
          <w:rFonts w:cs="Arial"/>
          <w:szCs w:val="22"/>
          <w:lang w:val="en-US" w:eastAsia="en-US"/>
        </w:rPr>
        <w:t xml:space="preserve">) MDA-MB-231 and MDA-MB-436. </w:t>
      </w:r>
      <w:r w:rsidR="00202E1C" w:rsidRPr="00290FD5">
        <w:rPr>
          <w:rFonts w:cs="Arial"/>
          <w:b/>
          <w:szCs w:val="22"/>
          <w:lang w:val="en-US" w:eastAsia="en-US"/>
        </w:rPr>
        <w:t>b.</w:t>
      </w:r>
      <w:r w:rsidR="00202E1C" w:rsidRPr="00290FD5">
        <w:rPr>
          <w:rFonts w:cs="Arial"/>
          <w:szCs w:val="22"/>
          <w:lang w:val="en-US" w:eastAsia="en-US"/>
        </w:rPr>
        <w:t xml:space="preserve"> Gene regulatory element assignment of differential peaks. </w:t>
      </w:r>
      <w:r w:rsidR="00202E1C" w:rsidRPr="00290FD5">
        <w:rPr>
          <w:rFonts w:cs="Arial"/>
          <w:b/>
          <w:szCs w:val="22"/>
          <w:lang w:val="en-US" w:eastAsia="en-US"/>
        </w:rPr>
        <w:t>c.</w:t>
      </w:r>
      <w:r w:rsidR="00202E1C" w:rsidRPr="00290FD5">
        <w:rPr>
          <w:rFonts w:cs="Arial"/>
          <w:szCs w:val="22"/>
          <w:lang w:val="en-US" w:eastAsia="en-US"/>
        </w:rPr>
        <w:t xml:space="preserve"> ATAC-seq chromatin accessibility of enhancer elements and insulators located on chr11 and 10MB around IE8. </w:t>
      </w:r>
      <w:r w:rsidR="00202E1C" w:rsidRPr="00290FD5">
        <w:rPr>
          <w:rFonts w:cs="Arial"/>
          <w:b/>
          <w:szCs w:val="22"/>
          <w:lang w:val="en-US" w:eastAsia="en-US"/>
        </w:rPr>
        <w:t>d.</w:t>
      </w:r>
      <w:r w:rsidR="00202E1C" w:rsidRPr="00290FD5">
        <w:rPr>
          <w:rFonts w:cs="Arial"/>
          <w:szCs w:val="22"/>
          <w:lang w:val="en-US" w:eastAsia="en-US"/>
        </w:rPr>
        <w:t xml:space="preserve"> Illustrative examples of the variation in promoter accessibility on MMP locus after IE8 disruption in MDA-MB-231 and MDA-MB-436. </w:t>
      </w:r>
      <w:r w:rsidR="00202E1C" w:rsidRPr="00290FD5">
        <w:rPr>
          <w:rFonts w:cs="Arial"/>
          <w:b/>
          <w:szCs w:val="22"/>
          <w:lang w:val="en-US" w:eastAsia="en-US"/>
        </w:rPr>
        <w:t xml:space="preserve">e. </w:t>
      </w:r>
      <w:r w:rsidR="00202E1C" w:rsidRPr="00290FD5">
        <w:rPr>
          <w:rFonts w:cs="Arial"/>
          <w:szCs w:val="22"/>
          <w:lang w:val="en-US" w:eastAsia="en-US"/>
        </w:rPr>
        <w:t>Illustrative examples of the variation in enhancer accessibility on MMP locus after IE8 disruption in MDA-MB-231 and MDA-MB-436.</w:t>
      </w:r>
    </w:p>
    <w:p w14:paraId="2FD47A1F"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r w:rsidRPr="00290FD5">
        <w:rPr>
          <w:rFonts w:cs="Arial"/>
          <w:noProof/>
          <w:szCs w:val="22"/>
        </w:rPr>
        <w:lastRenderedPageBreak/>
        <w:drawing>
          <wp:inline distT="0" distB="0" distL="0" distR="0" wp14:anchorId="51A6F32D" wp14:editId="0CCBEABB">
            <wp:extent cx="5683885" cy="5262696"/>
            <wp:effectExtent l="0" t="0" r="5715" b="0"/>
            <wp:docPr id="18" name="Picture 18" descr="../PNGs%20figures/V11_MMP_Fig-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NGs%20figures/V11_MMP_Fig-11.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3759" t="1612" r="2009" b="36717"/>
                    <a:stretch/>
                  </pic:blipFill>
                  <pic:spPr bwMode="auto">
                    <a:xfrm>
                      <a:off x="0" y="0"/>
                      <a:ext cx="5688268" cy="5266754"/>
                    </a:xfrm>
                    <a:prstGeom prst="rect">
                      <a:avLst/>
                    </a:prstGeom>
                    <a:noFill/>
                    <a:ln>
                      <a:noFill/>
                    </a:ln>
                    <a:extLst>
                      <a:ext uri="{53640926-AAD7-44D8-BBD7-CCE9431645EC}">
                        <a14:shadowObscured xmlns:a14="http://schemas.microsoft.com/office/drawing/2010/main"/>
                      </a:ext>
                    </a:extLst>
                  </pic:spPr>
                </pic:pic>
              </a:graphicData>
            </a:graphic>
          </wp:inline>
        </w:drawing>
      </w:r>
    </w:p>
    <w:p w14:paraId="055DC3FE"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p>
    <w:p w14:paraId="79349ABF" w14:textId="175602CF" w:rsidR="00202E1C" w:rsidRPr="00290FD5" w:rsidRDefault="000F5CDC" w:rsidP="00202E1C">
      <w:pPr>
        <w:widowControl w:val="0"/>
        <w:autoSpaceDE w:val="0"/>
        <w:autoSpaceDN w:val="0"/>
        <w:adjustRightInd w:val="0"/>
        <w:spacing w:before="120" w:after="120" w:line="276" w:lineRule="auto"/>
        <w:contextualSpacing/>
        <w:jc w:val="both"/>
        <w:rPr>
          <w:rFonts w:cs="Arial"/>
          <w:szCs w:val="22"/>
          <w:lang w:val="en-US" w:eastAsia="en-US"/>
        </w:rPr>
      </w:pPr>
      <w:r>
        <w:rPr>
          <w:rFonts w:cs="Arial"/>
          <w:b/>
          <w:szCs w:val="22"/>
          <w:lang w:val="en-US" w:eastAsia="en-US"/>
        </w:rPr>
        <w:t xml:space="preserve">Supplemental </w:t>
      </w:r>
      <w:r w:rsidR="00202E1C" w:rsidRPr="00290FD5">
        <w:rPr>
          <w:rFonts w:cs="Arial"/>
          <w:b/>
          <w:szCs w:val="22"/>
          <w:lang w:val="en-US" w:eastAsia="en-US"/>
        </w:rPr>
        <w:t>Figure 7.</w:t>
      </w:r>
      <w:r>
        <w:rPr>
          <w:rFonts w:cs="Arial"/>
          <w:b/>
          <w:szCs w:val="22"/>
          <w:lang w:val="en-US" w:eastAsia="en-US"/>
        </w:rPr>
        <w:t xml:space="preserve"> Related to Figure 4.</w:t>
      </w:r>
      <w:r w:rsidR="00202E1C" w:rsidRPr="00290FD5">
        <w:rPr>
          <w:rFonts w:cs="Arial"/>
          <w:b/>
          <w:szCs w:val="22"/>
          <w:lang w:val="en-US" w:eastAsia="en-US"/>
        </w:rPr>
        <w:t xml:space="preserve"> a. </w:t>
      </w:r>
      <w:r w:rsidR="00202E1C" w:rsidRPr="00290FD5">
        <w:rPr>
          <w:rFonts w:cs="Arial"/>
          <w:szCs w:val="22"/>
          <w:lang w:val="en-US" w:eastAsia="en-US"/>
        </w:rPr>
        <w:t xml:space="preserve">Gene Ontology showing the most enriched biological processes from RNA-seq differentially expressed genes upon IE8 disruption. </w:t>
      </w:r>
      <w:r w:rsidR="00202E1C" w:rsidRPr="00290FD5">
        <w:rPr>
          <w:rFonts w:cs="Arial"/>
          <w:b/>
          <w:szCs w:val="22"/>
          <w:lang w:val="en-US" w:eastAsia="en-US"/>
        </w:rPr>
        <w:t>b.</w:t>
      </w:r>
      <w:r w:rsidR="00202E1C" w:rsidRPr="00290FD5">
        <w:rPr>
          <w:rFonts w:cs="Arial"/>
          <w:szCs w:val="22"/>
          <w:lang w:val="en-US" w:eastAsia="en-US"/>
        </w:rPr>
        <w:t xml:space="preserve"> The ratio between MMP1/MMP8 comparing normal and TNBC samples. Mann-Whitney test. ***P&lt;0.001. </w:t>
      </w:r>
      <w:r w:rsidR="00202E1C" w:rsidRPr="00290FD5">
        <w:rPr>
          <w:rFonts w:cs="Arial"/>
          <w:b/>
          <w:szCs w:val="22"/>
          <w:lang w:val="en-US" w:eastAsia="en-US"/>
        </w:rPr>
        <w:t>c.</w:t>
      </w:r>
      <w:r w:rsidR="00202E1C" w:rsidRPr="00290FD5">
        <w:rPr>
          <w:rFonts w:cs="Arial"/>
          <w:szCs w:val="22"/>
          <w:lang w:val="en-US" w:eastAsia="en-US"/>
        </w:rPr>
        <w:t xml:space="preserve"> A variation in TIMP1-4 expression in MDA-MB-231 </w:t>
      </w:r>
      <w:r w:rsidR="00911A6A">
        <w:rPr>
          <w:rFonts w:cs="Arial"/>
          <w:szCs w:val="22"/>
          <w:lang w:val="en-US" w:eastAsia="en-US"/>
        </w:rPr>
        <w:t xml:space="preserve">was </w:t>
      </w:r>
      <w:r w:rsidR="00202E1C" w:rsidRPr="00290FD5">
        <w:rPr>
          <w:rFonts w:cs="Arial"/>
          <w:szCs w:val="22"/>
          <w:lang w:val="en-US" w:eastAsia="en-US"/>
        </w:rPr>
        <w:t>determined by RNA-seq. ns: no significant.</w:t>
      </w:r>
    </w:p>
    <w:p w14:paraId="7221896B"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r w:rsidRPr="00290FD5">
        <w:rPr>
          <w:rFonts w:cs="Arial"/>
          <w:noProof/>
          <w:szCs w:val="22"/>
        </w:rPr>
        <w:lastRenderedPageBreak/>
        <w:drawing>
          <wp:inline distT="0" distB="0" distL="0" distR="0" wp14:anchorId="05F8B232" wp14:editId="30D8ECBA">
            <wp:extent cx="5648325" cy="4968268"/>
            <wp:effectExtent l="0" t="0" r="0" b="3810"/>
            <wp:docPr id="17" name="Picture 17" descr="../PNGs%20figures/V11_MMP_Fig-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NGs%20figures/V11_MMP_Fig-09.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4493" t="2823" r="1160" b="38517"/>
                    <a:stretch/>
                  </pic:blipFill>
                  <pic:spPr bwMode="auto">
                    <a:xfrm>
                      <a:off x="0" y="0"/>
                      <a:ext cx="5657345" cy="4976202"/>
                    </a:xfrm>
                    <a:prstGeom prst="rect">
                      <a:avLst/>
                    </a:prstGeom>
                    <a:noFill/>
                    <a:ln>
                      <a:noFill/>
                    </a:ln>
                    <a:extLst>
                      <a:ext uri="{53640926-AAD7-44D8-BBD7-CCE9431645EC}">
                        <a14:shadowObscured xmlns:a14="http://schemas.microsoft.com/office/drawing/2010/main"/>
                      </a:ext>
                    </a:extLst>
                  </pic:spPr>
                </pic:pic>
              </a:graphicData>
            </a:graphic>
          </wp:inline>
        </w:drawing>
      </w:r>
    </w:p>
    <w:p w14:paraId="0BA1CDC7"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eastAsia="en-US"/>
        </w:rPr>
      </w:pPr>
    </w:p>
    <w:p w14:paraId="5960012A" w14:textId="77777777" w:rsidR="00202E1C" w:rsidRPr="00290FD5" w:rsidRDefault="000F5CDC" w:rsidP="00202E1C">
      <w:pPr>
        <w:widowControl w:val="0"/>
        <w:autoSpaceDE w:val="0"/>
        <w:autoSpaceDN w:val="0"/>
        <w:adjustRightInd w:val="0"/>
        <w:spacing w:before="120" w:after="120" w:line="276" w:lineRule="auto"/>
        <w:contextualSpacing/>
        <w:jc w:val="both"/>
        <w:rPr>
          <w:rFonts w:cs="Arial"/>
          <w:szCs w:val="22"/>
          <w:lang w:val="en-US" w:eastAsia="en-US"/>
        </w:rPr>
      </w:pPr>
      <w:r>
        <w:rPr>
          <w:rFonts w:cs="Arial"/>
          <w:b/>
          <w:szCs w:val="22"/>
          <w:lang w:val="en-US" w:eastAsia="en-US"/>
        </w:rPr>
        <w:t xml:space="preserve">Supplemental </w:t>
      </w:r>
      <w:r w:rsidR="00202E1C" w:rsidRPr="00290FD5">
        <w:rPr>
          <w:rFonts w:cs="Arial"/>
          <w:b/>
          <w:szCs w:val="22"/>
          <w:lang w:val="en-US" w:eastAsia="en-US"/>
        </w:rPr>
        <w:t>Figure 8.</w:t>
      </w:r>
      <w:r w:rsidRPr="000F5CDC">
        <w:rPr>
          <w:rFonts w:cs="Arial"/>
          <w:b/>
          <w:szCs w:val="22"/>
          <w:lang w:val="en-US" w:eastAsia="en-US"/>
        </w:rPr>
        <w:t xml:space="preserve"> </w:t>
      </w:r>
      <w:r>
        <w:rPr>
          <w:rFonts w:cs="Arial"/>
          <w:b/>
          <w:szCs w:val="22"/>
          <w:lang w:val="en-US" w:eastAsia="en-US"/>
        </w:rPr>
        <w:t>Related to Figure 4.</w:t>
      </w:r>
      <w:r w:rsidRPr="00290FD5">
        <w:rPr>
          <w:rFonts w:cs="Arial"/>
          <w:b/>
          <w:szCs w:val="22"/>
          <w:lang w:val="en-US" w:eastAsia="en-US"/>
        </w:rPr>
        <w:t xml:space="preserve"> </w:t>
      </w:r>
      <w:r w:rsidR="00202E1C" w:rsidRPr="00290FD5">
        <w:rPr>
          <w:rFonts w:cs="Arial"/>
          <w:b/>
          <w:szCs w:val="22"/>
          <w:lang w:val="en-US" w:eastAsia="en-US"/>
        </w:rPr>
        <w:t>a.</w:t>
      </w:r>
      <w:r w:rsidR="00202E1C" w:rsidRPr="00290FD5">
        <w:rPr>
          <w:rFonts w:cs="Arial"/>
          <w:szCs w:val="22"/>
          <w:lang w:val="en-US" w:eastAsia="en-US"/>
        </w:rPr>
        <w:t xml:space="preserve"> Accessibility determined as peak intensity on TCGA TNBC samples </w:t>
      </w:r>
      <w:r w:rsidR="00202E1C" w:rsidRPr="00290FD5">
        <w:rPr>
          <w:rFonts w:cs="Arial"/>
          <w:b/>
          <w:szCs w:val="22"/>
          <w:lang w:val="en-US" w:eastAsia="en-US"/>
        </w:rPr>
        <w:t xml:space="preserve">b. </w:t>
      </w:r>
      <w:r w:rsidR="00202E1C" w:rsidRPr="00290FD5">
        <w:rPr>
          <w:rFonts w:cs="Arial"/>
          <w:szCs w:val="22"/>
          <w:lang w:val="en-US" w:eastAsia="en-US"/>
        </w:rPr>
        <w:t>Correlation between IE8 accessibility and log2 ratio of expression between 3’MMPs (MMP1, MMP3, MMP10, MMP12, MMP13) and 5’MMPs (MMP7, MMP8, MMP20, MMP27).</w:t>
      </w:r>
    </w:p>
    <w:p w14:paraId="53199919"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val="en-US" w:eastAsia="en-US"/>
        </w:rPr>
      </w:pPr>
    </w:p>
    <w:p w14:paraId="1813430E" w14:textId="77777777" w:rsidR="00202E1C" w:rsidRPr="00290FD5" w:rsidRDefault="00202E1C" w:rsidP="00202E1C">
      <w:pPr>
        <w:widowControl w:val="0"/>
        <w:autoSpaceDE w:val="0"/>
        <w:autoSpaceDN w:val="0"/>
        <w:adjustRightInd w:val="0"/>
        <w:spacing w:before="120" w:after="120" w:line="276" w:lineRule="auto"/>
        <w:contextualSpacing/>
        <w:jc w:val="both"/>
        <w:rPr>
          <w:rFonts w:cs="Arial"/>
          <w:szCs w:val="22"/>
          <w:lang w:val="en-US" w:eastAsia="en-US"/>
        </w:rPr>
      </w:pPr>
      <w:r>
        <w:rPr>
          <w:rFonts w:cs="Arial"/>
          <w:noProof/>
          <w:szCs w:val="22"/>
        </w:rPr>
        <w:lastRenderedPageBreak/>
        <w:drawing>
          <wp:inline distT="0" distB="0" distL="0" distR="0" wp14:anchorId="0CFE56C4" wp14:editId="145363B7">
            <wp:extent cx="5727700" cy="7759700"/>
            <wp:effectExtent l="0" t="0" r="12700" b="12700"/>
            <wp:docPr id="22" name="Imagen 22" descr="V11_MMP_Fi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11_MMP_Fig-13.jpg"/>
                    <pic:cNvPicPr>
                      <a:picLocks noChangeAspect="1" noChangeArrowheads="1"/>
                    </pic:cNvPicPr>
                  </pic:nvPicPr>
                  <pic:blipFill rotWithShape="1">
                    <a:blip r:embed="rId13">
                      <a:extLst>
                        <a:ext uri="{28A0092B-C50C-407E-A947-70E740481C1C}">
                          <a14:useLocalDpi xmlns:a14="http://schemas.microsoft.com/office/drawing/2010/main" val="0"/>
                        </a:ext>
                      </a:extLst>
                    </a:blip>
                    <a:srcRect b="4082"/>
                    <a:stretch/>
                  </pic:blipFill>
                  <pic:spPr bwMode="auto">
                    <a:xfrm>
                      <a:off x="0" y="0"/>
                      <a:ext cx="5727700" cy="7759700"/>
                    </a:xfrm>
                    <a:prstGeom prst="rect">
                      <a:avLst/>
                    </a:prstGeom>
                    <a:noFill/>
                    <a:ln>
                      <a:noFill/>
                    </a:ln>
                    <a:extLst>
                      <a:ext uri="{53640926-AAD7-44D8-BBD7-CCE9431645EC}">
                        <a14:shadowObscured xmlns:a14="http://schemas.microsoft.com/office/drawing/2010/main"/>
                      </a:ext>
                    </a:extLst>
                  </pic:spPr>
                </pic:pic>
              </a:graphicData>
            </a:graphic>
          </wp:inline>
        </w:drawing>
      </w:r>
    </w:p>
    <w:p w14:paraId="360023F0" w14:textId="5A4D0D39" w:rsidR="00202E1C" w:rsidRPr="00290FD5" w:rsidRDefault="000F5CDC" w:rsidP="00202E1C">
      <w:pPr>
        <w:widowControl w:val="0"/>
        <w:autoSpaceDE w:val="0"/>
        <w:autoSpaceDN w:val="0"/>
        <w:adjustRightInd w:val="0"/>
        <w:spacing w:before="120" w:after="120" w:line="276" w:lineRule="auto"/>
        <w:contextualSpacing/>
        <w:jc w:val="both"/>
        <w:rPr>
          <w:rFonts w:cs="Arial"/>
          <w:lang w:val="en-US"/>
        </w:rPr>
      </w:pPr>
      <w:r>
        <w:rPr>
          <w:rFonts w:cs="Arial"/>
          <w:b/>
          <w:szCs w:val="22"/>
          <w:lang w:val="en-US" w:eastAsia="en-US"/>
        </w:rPr>
        <w:t xml:space="preserve">Supplemental </w:t>
      </w:r>
      <w:r w:rsidR="00202E1C" w:rsidRPr="00290FD5">
        <w:rPr>
          <w:rFonts w:cs="Arial"/>
          <w:b/>
          <w:szCs w:val="22"/>
          <w:lang w:val="en-US" w:eastAsia="en-US"/>
        </w:rPr>
        <w:t xml:space="preserve">Figure 9. </w:t>
      </w:r>
      <w:r>
        <w:rPr>
          <w:rFonts w:cs="Arial"/>
          <w:b/>
          <w:szCs w:val="22"/>
          <w:lang w:val="en-US" w:eastAsia="en-US"/>
        </w:rPr>
        <w:t>Related to Figure 5.</w:t>
      </w:r>
      <w:r w:rsidRPr="00290FD5">
        <w:rPr>
          <w:rFonts w:cs="Arial"/>
          <w:b/>
          <w:szCs w:val="22"/>
          <w:lang w:val="en-US" w:eastAsia="en-US"/>
        </w:rPr>
        <w:t xml:space="preserve"> </w:t>
      </w:r>
      <w:r w:rsidR="00202E1C" w:rsidRPr="00290FD5">
        <w:rPr>
          <w:rFonts w:cs="Arial"/>
          <w:b/>
          <w:szCs w:val="22"/>
          <w:lang w:val="en-US" w:eastAsia="en-US"/>
        </w:rPr>
        <w:t>a.</w:t>
      </w:r>
      <w:r w:rsidR="00202E1C" w:rsidRPr="00290FD5">
        <w:rPr>
          <w:rFonts w:cs="Arial"/>
          <w:szCs w:val="22"/>
          <w:lang w:val="en-US" w:eastAsia="en-US"/>
        </w:rPr>
        <w:t xml:space="preserve"> Number of colonies (</w:t>
      </w:r>
      <w:r w:rsidR="00202E1C" w:rsidRPr="00290FD5">
        <w:rPr>
          <w:rFonts w:cs="Arial"/>
          <w:b/>
          <w:bCs/>
          <w:szCs w:val="22"/>
          <w:lang w:val="en-US" w:eastAsia="en-US"/>
        </w:rPr>
        <w:t>left</w:t>
      </w:r>
      <w:r w:rsidR="00202E1C" w:rsidRPr="00290FD5">
        <w:rPr>
          <w:rFonts w:cs="Arial"/>
          <w:szCs w:val="22"/>
          <w:lang w:val="en-US" w:eastAsia="en-US"/>
        </w:rPr>
        <w:t>) and illustrative examples generated from 200 cells from MDA-MB-231 and MDA-MB-431 before and after IE8 disruption (</w:t>
      </w:r>
      <w:r w:rsidR="00202E1C" w:rsidRPr="00290FD5">
        <w:rPr>
          <w:rFonts w:cs="Arial"/>
          <w:b/>
          <w:bCs/>
          <w:szCs w:val="22"/>
          <w:lang w:val="en-US" w:eastAsia="en-US"/>
        </w:rPr>
        <w:t>right</w:t>
      </w:r>
      <w:r w:rsidR="00202E1C" w:rsidRPr="00290FD5">
        <w:rPr>
          <w:rFonts w:cs="Arial"/>
          <w:szCs w:val="22"/>
          <w:lang w:val="en-US" w:eastAsia="en-US"/>
        </w:rPr>
        <w:t xml:space="preserve">). </w:t>
      </w:r>
      <w:r w:rsidR="00202E1C" w:rsidRPr="00290FD5">
        <w:rPr>
          <w:rFonts w:cs="Arial"/>
          <w:b/>
          <w:szCs w:val="22"/>
          <w:lang w:val="en-US" w:eastAsia="en-US"/>
        </w:rPr>
        <w:t>b.</w:t>
      </w:r>
      <w:r w:rsidR="00202E1C" w:rsidRPr="00290FD5">
        <w:rPr>
          <w:rFonts w:cs="Arial"/>
          <w:szCs w:val="22"/>
          <w:lang w:val="en-US" w:eastAsia="en-US"/>
        </w:rPr>
        <w:t xml:space="preserve"> migration ratio of MDA-MB-231 and MDA-MB-431 before and after IE8 disruption.</w:t>
      </w:r>
      <w:r w:rsidR="00202E1C" w:rsidRPr="00290FD5">
        <w:rPr>
          <w:rFonts w:cs="Arial"/>
          <w:b/>
          <w:szCs w:val="22"/>
          <w:lang w:val="en-US" w:eastAsia="en-US"/>
        </w:rPr>
        <w:t xml:space="preserve"> c</w:t>
      </w:r>
      <w:r w:rsidR="00202E1C" w:rsidRPr="00290FD5">
        <w:rPr>
          <w:rFonts w:cs="Arial"/>
          <w:szCs w:val="22"/>
          <w:lang w:val="en-US" w:eastAsia="en-US"/>
        </w:rPr>
        <w:t xml:space="preserve">. 3’MMPs/5’MMPs ratio comparing normal samples with DCIS and invasive ductal carcinoma. </w:t>
      </w:r>
      <w:r w:rsidR="00202E1C" w:rsidRPr="00290FD5">
        <w:rPr>
          <w:rFonts w:cs="Arial"/>
          <w:b/>
          <w:szCs w:val="22"/>
          <w:lang w:val="en-US" w:eastAsia="en-US"/>
        </w:rPr>
        <w:t>d.</w:t>
      </w:r>
      <w:r w:rsidR="00202E1C" w:rsidRPr="00290FD5">
        <w:rPr>
          <w:rFonts w:cs="Arial"/>
          <w:szCs w:val="22"/>
          <w:lang w:val="en-US" w:eastAsia="en-US"/>
        </w:rPr>
        <w:t xml:space="preserve"> MMP1/MMP8 ratio of standardized gene expression DCIS and invasive ductal </w:t>
      </w:r>
      <w:r w:rsidR="00202E1C" w:rsidRPr="00290FD5">
        <w:rPr>
          <w:rFonts w:cs="Arial"/>
          <w:szCs w:val="22"/>
          <w:lang w:val="en-US" w:eastAsia="en-US"/>
        </w:rPr>
        <w:lastRenderedPageBreak/>
        <w:t>carcinoma. Mann Whitney test. ns: non</w:t>
      </w:r>
      <w:r w:rsidR="00193892">
        <w:rPr>
          <w:rFonts w:cs="Arial"/>
          <w:szCs w:val="22"/>
          <w:lang w:val="en-US" w:eastAsia="en-US"/>
        </w:rPr>
        <w:t>-</w:t>
      </w:r>
      <w:r w:rsidR="00202E1C" w:rsidRPr="00290FD5">
        <w:rPr>
          <w:rFonts w:cs="Arial"/>
          <w:szCs w:val="22"/>
          <w:lang w:val="en-US" w:eastAsia="en-US"/>
        </w:rPr>
        <w:t xml:space="preserve">significant, **P&lt;0.01. </w:t>
      </w:r>
      <w:r w:rsidR="00202E1C" w:rsidRPr="00290FD5">
        <w:rPr>
          <w:rFonts w:cs="Arial"/>
          <w:b/>
          <w:szCs w:val="22"/>
          <w:lang w:val="en-US" w:eastAsia="en-US"/>
        </w:rPr>
        <w:t>e.</w:t>
      </w:r>
      <w:r w:rsidR="00202E1C" w:rsidRPr="00290FD5">
        <w:rPr>
          <w:rFonts w:cs="Arial"/>
          <w:szCs w:val="22"/>
          <w:lang w:val="en-US" w:eastAsia="en-US"/>
        </w:rPr>
        <w:t xml:space="preserve"> Kaplan-Meier curves of relapse-free survival of DCIS using MMP1/MMP8 ratios. </w:t>
      </w:r>
      <w:r w:rsidR="00202E1C" w:rsidRPr="00290FD5">
        <w:rPr>
          <w:rFonts w:cs="Arial"/>
          <w:b/>
          <w:szCs w:val="22"/>
          <w:lang w:val="en-US" w:eastAsia="en-US"/>
        </w:rPr>
        <w:t>f.</w:t>
      </w:r>
      <w:r w:rsidR="00202E1C" w:rsidRPr="00290FD5">
        <w:rPr>
          <w:rFonts w:cs="Arial"/>
          <w:szCs w:val="22"/>
          <w:lang w:val="en-US" w:eastAsia="en-US"/>
        </w:rPr>
        <w:t xml:space="preserve"> ROC curves displaying the performance of MMP1/MMP8 ratio in in situ ductal carcinoma. </w:t>
      </w:r>
      <w:r w:rsidR="00202E1C" w:rsidRPr="00290FD5">
        <w:rPr>
          <w:rFonts w:cs="Arial"/>
          <w:b/>
          <w:szCs w:val="22"/>
          <w:lang w:val="en-US" w:eastAsia="en-US"/>
        </w:rPr>
        <w:t>g.</w:t>
      </w:r>
      <w:r w:rsidR="00202E1C" w:rsidRPr="00290FD5">
        <w:rPr>
          <w:rFonts w:cs="Arial"/>
          <w:szCs w:val="22"/>
          <w:lang w:val="en-US" w:eastAsia="en-US"/>
        </w:rPr>
        <w:t xml:space="preserve"> MMP1 is upregulated in DCIS which displayed an ipsilateral breast event. </w:t>
      </w:r>
      <w:r w:rsidR="00202E1C" w:rsidRPr="00290FD5">
        <w:rPr>
          <w:rFonts w:cs="Arial"/>
          <w:lang w:val="en-US"/>
        </w:rPr>
        <w:t>Adapted from Strand S.H. et al, 2022.</w:t>
      </w:r>
    </w:p>
    <w:p w14:paraId="3E6F7C57" w14:textId="77777777" w:rsidR="00B12AAE" w:rsidRPr="00193892" w:rsidRDefault="00B12AAE">
      <w:pPr>
        <w:rPr>
          <w:lang w:val="en-US"/>
        </w:rPr>
      </w:pPr>
    </w:p>
    <w:p w14:paraId="29879C74" w14:textId="5B66A99B" w:rsidR="00A57A48" w:rsidRPr="00193892" w:rsidRDefault="00A57A48">
      <w:pPr>
        <w:rPr>
          <w:b/>
          <w:lang w:val="en-US"/>
        </w:rPr>
      </w:pPr>
      <w:r w:rsidRPr="00193892">
        <w:rPr>
          <w:b/>
          <w:lang w:val="en-US"/>
        </w:rPr>
        <w:t>Supplemental tables</w:t>
      </w:r>
    </w:p>
    <w:p w14:paraId="452ED77C" w14:textId="77777777" w:rsidR="00A57A48" w:rsidRPr="00193892" w:rsidRDefault="00A57A48">
      <w:pPr>
        <w:rPr>
          <w:b/>
          <w:lang w:val="en-US"/>
        </w:rPr>
      </w:pPr>
    </w:p>
    <w:p w14:paraId="3300C3D8" w14:textId="77777777" w:rsidR="00A57A48" w:rsidRPr="00290FD5" w:rsidRDefault="00A57A48" w:rsidP="00A57A48">
      <w:pPr>
        <w:spacing w:before="120" w:after="120" w:line="360" w:lineRule="auto"/>
        <w:contextualSpacing/>
        <w:jc w:val="both"/>
        <w:rPr>
          <w:rFonts w:cs="Arial"/>
          <w:szCs w:val="22"/>
          <w:lang w:val="en-US"/>
        </w:rPr>
      </w:pPr>
      <w:r w:rsidRPr="00290FD5">
        <w:rPr>
          <w:rFonts w:cs="Arial"/>
          <w:b/>
          <w:szCs w:val="22"/>
          <w:lang w:val="en-US"/>
        </w:rPr>
        <w:t xml:space="preserve">Table </w:t>
      </w:r>
      <w:r>
        <w:rPr>
          <w:rFonts w:cs="Arial"/>
          <w:b/>
          <w:szCs w:val="22"/>
          <w:lang w:val="en-US"/>
        </w:rPr>
        <w:t>S</w:t>
      </w:r>
      <w:r w:rsidRPr="00290FD5">
        <w:rPr>
          <w:rFonts w:cs="Arial"/>
          <w:b/>
          <w:szCs w:val="22"/>
          <w:lang w:val="en-US"/>
        </w:rPr>
        <w:t>1.</w:t>
      </w:r>
      <w:r w:rsidRPr="00290FD5">
        <w:rPr>
          <w:rFonts w:cs="Arial"/>
          <w:szCs w:val="22"/>
          <w:lang w:val="en-US"/>
        </w:rPr>
        <w:t xml:space="preserve"> List of primers used in sgRNA design, amplicon generation, amplicon sequencing, qPCR from enriched chromatin, and qPCR from RNA-derived cDNA.</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3"/>
        <w:gridCol w:w="2051"/>
        <w:gridCol w:w="4286"/>
      </w:tblGrid>
      <w:tr w:rsidR="00A57A48" w:rsidRPr="00290FD5" w14:paraId="6BD904FD" w14:textId="77777777" w:rsidTr="00E36DF4">
        <w:trPr>
          <w:jc w:val="center"/>
        </w:trPr>
        <w:tc>
          <w:tcPr>
            <w:tcW w:w="2699" w:type="dxa"/>
            <w:tcBorders>
              <w:top w:val="single" w:sz="4" w:space="0" w:color="auto"/>
              <w:bottom w:val="single" w:sz="4" w:space="0" w:color="auto"/>
            </w:tcBorders>
          </w:tcPr>
          <w:p w14:paraId="3F660B30" w14:textId="77777777" w:rsidR="00A57A48" w:rsidRPr="00290FD5" w:rsidRDefault="00A57A48" w:rsidP="00E36DF4">
            <w:pPr>
              <w:tabs>
                <w:tab w:val="left" w:pos="1547"/>
              </w:tabs>
              <w:spacing w:before="120" w:after="120" w:line="480" w:lineRule="auto"/>
              <w:contextualSpacing/>
              <w:jc w:val="both"/>
              <w:rPr>
                <w:rFonts w:cs="Arial"/>
                <w:b/>
                <w:szCs w:val="22"/>
                <w:lang w:val="en-US"/>
              </w:rPr>
            </w:pPr>
            <w:r w:rsidRPr="00290FD5">
              <w:rPr>
                <w:rFonts w:cs="Arial"/>
                <w:b/>
                <w:szCs w:val="22"/>
                <w:lang w:val="en-US"/>
              </w:rPr>
              <w:t>Technique</w:t>
            </w:r>
          </w:p>
        </w:tc>
        <w:tc>
          <w:tcPr>
            <w:tcW w:w="2019" w:type="dxa"/>
            <w:tcBorders>
              <w:top w:val="single" w:sz="4" w:space="0" w:color="auto"/>
              <w:bottom w:val="single" w:sz="4" w:space="0" w:color="auto"/>
            </w:tcBorders>
          </w:tcPr>
          <w:p w14:paraId="48C8027C" w14:textId="77777777" w:rsidR="00A57A48" w:rsidRPr="00290FD5" w:rsidRDefault="00A57A48" w:rsidP="00E36DF4">
            <w:pPr>
              <w:spacing w:before="120" w:after="120" w:line="480" w:lineRule="auto"/>
              <w:contextualSpacing/>
              <w:jc w:val="both"/>
              <w:rPr>
                <w:rFonts w:cs="Arial"/>
                <w:b/>
                <w:szCs w:val="22"/>
                <w:lang w:val="en-US"/>
              </w:rPr>
            </w:pPr>
            <w:r w:rsidRPr="00290FD5">
              <w:rPr>
                <w:rFonts w:cs="Arial"/>
                <w:b/>
                <w:szCs w:val="22"/>
                <w:lang w:val="en-US"/>
              </w:rPr>
              <w:t>Name</w:t>
            </w:r>
          </w:p>
        </w:tc>
        <w:tc>
          <w:tcPr>
            <w:tcW w:w="4292" w:type="dxa"/>
            <w:tcBorders>
              <w:top w:val="single" w:sz="4" w:space="0" w:color="auto"/>
              <w:bottom w:val="single" w:sz="4" w:space="0" w:color="auto"/>
            </w:tcBorders>
          </w:tcPr>
          <w:p w14:paraId="3C1424EA" w14:textId="77777777" w:rsidR="00A57A48" w:rsidRPr="00290FD5" w:rsidRDefault="00A57A48" w:rsidP="00E36DF4">
            <w:pPr>
              <w:spacing w:before="120" w:after="120" w:line="480" w:lineRule="auto"/>
              <w:contextualSpacing/>
              <w:jc w:val="both"/>
              <w:rPr>
                <w:rFonts w:cs="Arial"/>
                <w:b/>
                <w:szCs w:val="22"/>
                <w:lang w:val="en-US"/>
              </w:rPr>
            </w:pPr>
            <w:r w:rsidRPr="00290FD5">
              <w:rPr>
                <w:rFonts w:cs="Arial"/>
                <w:b/>
                <w:szCs w:val="22"/>
                <w:lang w:val="en-US"/>
              </w:rPr>
              <w:t>Sequence</w:t>
            </w:r>
          </w:p>
        </w:tc>
      </w:tr>
      <w:tr w:rsidR="00A57A48" w:rsidRPr="00290FD5" w14:paraId="3A2D8910" w14:textId="77777777" w:rsidTr="00E36DF4">
        <w:trPr>
          <w:jc w:val="center"/>
        </w:trPr>
        <w:tc>
          <w:tcPr>
            <w:tcW w:w="2699" w:type="dxa"/>
            <w:vMerge w:val="restart"/>
            <w:tcBorders>
              <w:top w:val="single" w:sz="4" w:space="0" w:color="auto"/>
            </w:tcBorders>
          </w:tcPr>
          <w:p w14:paraId="7FA151E5"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sgRNA cloning</w:t>
            </w:r>
          </w:p>
        </w:tc>
        <w:tc>
          <w:tcPr>
            <w:tcW w:w="2019" w:type="dxa"/>
            <w:tcBorders>
              <w:top w:val="single" w:sz="4" w:space="0" w:color="auto"/>
            </w:tcBorders>
          </w:tcPr>
          <w:p w14:paraId="6ACFC549" w14:textId="77777777" w:rsidR="00A57A48" w:rsidRPr="00290FD5" w:rsidRDefault="00A57A48" w:rsidP="00E36DF4">
            <w:pPr>
              <w:spacing w:before="120" w:after="120" w:line="480" w:lineRule="auto"/>
              <w:contextualSpacing/>
              <w:jc w:val="both"/>
              <w:rPr>
                <w:rFonts w:cs="Arial"/>
                <w:szCs w:val="22"/>
                <w:lang w:val="en-US"/>
              </w:rPr>
            </w:pPr>
            <w:proofErr w:type="spellStart"/>
            <w:r w:rsidRPr="00290FD5">
              <w:rPr>
                <w:rFonts w:cs="Arial"/>
                <w:szCs w:val="22"/>
                <w:lang w:val="en-US"/>
              </w:rPr>
              <w:t>sgRNA_Fd</w:t>
            </w:r>
            <w:proofErr w:type="spellEnd"/>
          </w:p>
        </w:tc>
        <w:tc>
          <w:tcPr>
            <w:tcW w:w="4292" w:type="dxa"/>
            <w:tcBorders>
              <w:top w:val="single" w:sz="4" w:space="0" w:color="auto"/>
            </w:tcBorders>
          </w:tcPr>
          <w:p w14:paraId="3FD06E8A"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CACCGTCCACTGGGGTATTCGGA</w:t>
            </w:r>
          </w:p>
        </w:tc>
      </w:tr>
      <w:tr w:rsidR="00A57A48" w:rsidRPr="00290FD5" w14:paraId="55C6B877" w14:textId="77777777" w:rsidTr="00E36DF4">
        <w:trPr>
          <w:jc w:val="center"/>
        </w:trPr>
        <w:tc>
          <w:tcPr>
            <w:tcW w:w="2699" w:type="dxa"/>
            <w:vMerge/>
            <w:tcBorders>
              <w:bottom w:val="single" w:sz="4" w:space="0" w:color="auto"/>
            </w:tcBorders>
          </w:tcPr>
          <w:p w14:paraId="7FEFF7FC" w14:textId="77777777" w:rsidR="00A57A48" w:rsidRPr="00290FD5" w:rsidRDefault="00A57A48" w:rsidP="00E36DF4">
            <w:pPr>
              <w:spacing w:before="120" w:after="120" w:line="480" w:lineRule="auto"/>
              <w:contextualSpacing/>
              <w:jc w:val="both"/>
              <w:rPr>
                <w:rFonts w:cs="Arial"/>
                <w:szCs w:val="22"/>
                <w:lang w:val="en-US"/>
              </w:rPr>
            </w:pPr>
          </w:p>
        </w:tc>
        <w:tc>
          <w:tcPr>
            <w:tcW w:w="2019" w:type="dxa"/>
            <w:tcBorders>
              <w:bottom w:val="single" w:sz="4" w:space="0" w:color="auto"/>
            </w:tcBorders>
          </w:tcPr>
          <w:p w14:paraId="34098232" w14:textId="77777777" w:rsidR="00A57A48" w:rsidRPr="00290FD5" w:rsidRDefault="00A57A48" w:rsidP="00E36DF4">
            <w:pPr>
              <w:spacing w:before="120" w:after="120" w:line="480" w:lineRule="auto"/>
              <w:contextualSpacing/>
              <w:jc w:val="both"/>
              <w:rPr>
                <w:rFonts w:cs="Arial"/>
                <w:szCs w:val="22"/>
                <w:lang w:val="en-US"/>
              </w:rPr>
            </w:pPr>
            <w:proofErr w:type="spellStart"/>
            <w:r w:rsidRPr="00290FD5">
              <w:rPr>
                <w:rFonts w:cs="Arial"/>
                <w:szCs w:val="22"/>
                <w:lang w:val="en-US"/>
              </w:rPr>
              <w:t>sgRNA_Rv</w:t>
            </w:r>
            <w:proofErr w:type="spellEnd"/>
          </w:p>
        </w:tc>
        <w:tc>
          <w:tcPr>
            <w:tcW w:w="4292" w:type="dxa"/>
            <w:tcBorders>
              <w:bottom w:val="single" w:sz="4" w:space="0" w:color="auto"/>
            </w:tcBorders>
          </w:tcPr>
          <w:p w14:paraId="6BD4978C"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AAACTCCGAATACCCCAGTGGAC</w:t>
            </w:r>
          </w:p>
        </w:tc>
      </w:tr>
      <w:tr w:rsidR="00A57A48" w:rsidRPr="00290FD5" w14:paraId="379D3302" w14:textId="77777777" w:rsidTr="00E36DF4">
        <w:trPr>
          <w:jc w:val="center"/>
        </w:trPr>
        <w:tc>
          <w:tcPr>
            <w:tcW w:w="2699" w:type="dxa"/>
            <w:vMerge w:val="restart"/>
            <w:tcBorders>
              <w:top w:val="single" w:sz="4" w:space="0" w:color="auto"/>
            </w:tcBorders>
          </w:tcPr>
          <w:p w14:paraId="439F8891"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Amplicon containing sgRNA for sequencing verification</w:t>
            </w:r>
          </w:p>
        </w:tc>
        <w:tc>
          <w:tcPr>
            <w:tcW w:w="2019" w:type="dxa"/>
            <w:tcBorders>
              <w:top w:val="single" w:sz="4" w:space="0" w:color="auto"/>
            </w:tcBorders>
          </w:tcPr>
          <w:p w14:paraId="5A470CA0"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Amplicon_IE8_Fd</w:t>
            </w:r>
          </w:p>
        </w:tc>
        <w:tc>
          <w:tcPr>
            <w:tcW w:w="4292" w:type="dxa"/>
            <w:tcBorders>
              <w:top w:val="single" w:sz="4" w:space="0" w:color="auto"/>
            </w:tcBorders>
          </w:tcPr>
          <w:p w14:paraId="72BC29D1"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CCCTACTTCAGTCCCCTCT</w:t>
            </w:r>
          </w:p>
        </w:tc>
      </w:tr>
      <w:tr w:rsidR="00A57A48" w:rsidRPr="00290FD5" w14:paraId="68EE5258" w14:textId="77777777" w:rsidTr="00E36DF4">
        <w:trPr>
          <w:jc w:val="center"/>
        </w:trPr>
        <w:tc>
          <w:tcPr>
            <w:tcW w:w="2699" w:type="dxa"/>
            <w:vMerge/>
            <w:tcBorders>
              <w:bottom w:val="single" w:sz="4" w:space="0" w:color="auto"/>
            </w:tcBorders>
          </w:tcPr>
          <w:p w14:paraId="24BAA5C6" w14:textId="77777777" w:rsidR="00A57A48" w:rsidRPr="00290FD5" w:rsidRDefault="00A57A48" w:rsidP="00E36DF4">
            <w:pPr>
              <w:spacing w:before="120" w:after="120" w:line="480" w:lineRule="auto"/>
              <w:contextualSpacing/>
              <w:jc w:val="both"/>
              <w:rPr>
                <w:rFonts w:cs="Arial"/>
                <w:szCs w:val="22"/>
                <w:lang w:val="en-US"/>
              </w:rPr>
            </w:pPr>
          </w:p>
        </w:tc>
        <w:tc>
          <w:tcPr>
            <w:tcW w:w="2019" w:type="dxa"/>
            <w:tcBorders>
              <w:bottom w:val="single" w:sz="4" w:space="0" w:color="auto"/>
            </w:tcBorders>
          </w:tcPr>
          <w:p w14:paraId="277672CD"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Amplicon_IE8_Rv</w:t>
            </w:r>
          </w:p>
        </w:tc>
        <w:tc>
          <w:tcPr>
            <w:tcW w:w="4292" w:type="dxa"/>
            <w:tcBorders>
              <w:bottom w:val="single" w:sz="4" w:space="0" w:color="auto"/>
            </w:tcBorders>
          </w:tcPr>
          <w:p w14:paraId="061EDC19"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TTCAAAACCTGGGCTCATCC</w:t>
            </w:r>
          </w:p>
        </w:tc>
      </w:tr>
      <w:tr w:rsidR="00A57A48" w:rsidRPr="00290FD5" w14:paraId="7BF1E94B" w14:textId="77777777" w:rsidTr="00E36DF4">
        <w:trPr>
          <w:jc w:val="center"/>
        </w:trPr>
        <w:tc>
          <w:tcPr>
            <w:tcW w:w="2699" w:type="dxa"/>
            <w:tcBorders>
              <w:top w:val="single" w:sz="4" w:space="0" w:color="auto"/>
              <w:bottom w:val="single" w:sz="4" w:space="0" w:color="auto"/>
            </w:tcBorders>
          </w:tcPr>
          <w:p w14:paraId="19D9DAB4"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Sanger sequencing</w:t>
            </w:r>
          </w:p>
        </w:tc>
        <w:tc>
          <w:tcPr>
            <w:tcW w:w="2019" w:type="dxa"/>
            <w:tcBorders>
              <w:top w:val="single" w:sz="4" w:space="0" w:color="auto"/>
              <w:bottom w:val="single" w:sz="4" w:space="0" w:color="auto"/>
            </w:tcBorders>
          </w:tcPr>
          <w:p w14:paraId="55A7F1F9"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Amplicon_IE8_seq</w:t>
            </w:r>
          </w:p>
        </w:tc>
        <w:tc>
          <w:tcPr>
            <w:tcW w:w="4292" w:type="dxa"/>
            <w:tcBorders>
              <w:top w:val="single" w:sz="4" w:space="0" w:color="auto"/>
              <w:bottom w:val="single" w:sz="4" w:space="0" w:color="auto"/>
            </w:tcBorders>
          </w:tcPr>
          <w:p w14:paraId="26FABB58"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TTCAATGAAGTCACGGATGG</w:t>
            </w:r>
          </w:p>
        </w:tc>
      </w:tr>
      <w:tr w:rsidR="00A57A48" w:rsidRPr="00290FD5" w14:paraId="2793FD34" w14:textId="77777777" w:rsidTr="00E36DF4">
        <w:trPr>
          <w:jc w:val="center"/>
        </w:trPr>
        <w:tc>
          <w:tcPr>
            <w:tcW w:w="2699" w:type="dxa"/>
            <w:vMerge w:val="restart"/>
            <w:tcBorders>
              <w:top w:val="single" w:sz="4" w:space="0" w:color="auto"/>
            </w:tcBorders>
          </w:tcPr>
          <w:p w14:paraId="0A8FE9A5"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CUT&amp;RUN</w:t>
            </w:r>
          </w:p>
        </w:tc>
        <w:tc>
          <w:tcPr>
            <w:tcW w:w="2019" w:type="dxa"/>
            <w:tcBorders>
              <w:top w:val="single" w:sz="4" w:space="0" w:color="auto"/>
            </w:tcBorders>
          </w:tcPr>
          <w:p w14:paraId="4E031B1C"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IE8_r2_Fd</w:t>
            </w:r>
          </w:p>
        </w:tc>
        <w:tc>
          <w:tcPr>
            <w:tcW w:w="4292" w:type="dxa"/>
            <w:tcBorders>
              <w:top w:val="single" w:sz="4" w:space="0" w:color="auto"/>
            </w:tcBorders>
          </w:tcPr>
          <w:p w14:paraId="6833D58A"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color w:val="000000"/>
                <w:szCs w:val="22"/>
              </w:rPr>
              <w:t>TGCTAGTGGTCATCATGCCC</w:t>
            </w:r>
          </w:p>
        </w:tc>
      </w:tr>
      <w:tr w:rsidR="00A57A48" w:rsidRPr="00290FD5" w14:paraId="6417B67B" w14:textId="77777777" w:rsidTr="00E36DF4">
        <w:trPr>
          <w:trHeight w:val="363"/>
          <w:jc w:val="center"/>
        </w:trPr>
        <w:tc>
          <w:tcPr>
            <w:tcW w:w="2699" w:type="dxa"/>
            <w:vMerge/>
          </w:tcPr>
          <w:p w14:paraId="73658735"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1900FBDC"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IE8_r2_Rv</w:t>
            </w:r>
          </w:p>
        </w:tc>
        <w:tc>
          <w:tcPr>
            <w:tcW w:w="4292" w:type="dxa"/>
          </w:tcPr>
          <w:p w14:paraId="55CAE749"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color w:val="000000"/>
                <w:szCs w:val="22"/>
              </w:rPr>
              <w:t>AGTTCACCCTCCGAATACCC</w:t>
            </w:r>
          </w:p>
        </w:tc>
      </w:tr>
      <w:tr w:rsidR="00A57A48" w:rsidRPr="00290FD5" w14:paraId="3E94016B" w14:textId="77777777" w:rsidTr="00E36DF4">
        <w:trPr>
          <w:jc w:val="center"/>
        </w:trPr>
        <w:tc>
          <w:tcPr>
            <w:tcW w:w="2699" w:type="dxa"/>
            <w:vMerge w:val="restart"/>
            <w:tcBorders>
              <w:top w:val="single" w:sz="4" w:space="0" w:color="auto"/>
            </w:tcBorders>
          </w:tcPr>
          <w:p w14:paraId="7CC07A27"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qPCR</w:t>
            </w:r>
          </w:p>
        </w:tc>
        <w:tc>
          <w:tcPr>
            <w:tcW w:w="2019" w:type="dxa"/>
            <w:tcBorders>
              <w:top w:val="single" w:sz="4" w:space="0" w:color="auto"/>
            </w:tcBorders>
          </w:tcPr>
          <w:p w14:paraId="7F1B1277" w14:textId="77777777" w:rsidR="00A57A48" w:rsidRPr="00290FD5" w:rsidRDefault="00A57A48" w:rsidP="00E36DF4">
            <w:pPr>
              <w:spacing w:before="120" w:after="120" w:line="480" w:lineRule="auto"/>
              <w:contextualSpacing/>
              <w:jc w:val="both"/>
              <w:rPr>
                <w:rFonts w:cs="Arial"/>
                <w:szCs w:val="22"/>
                <w:lang w:val="en-US"/>
              </w:rPr>
            </w:pPr>
            <w:proofErr w:type="spellStart"/>
            <w:r w:rsidRPr="00290FD5">
              <w:rPr>
                <w:rFonts w:cs="Arial"/>
                <w:szCs w:val="22"/>
                <w:lang w:val="en-US"/>
              </w:rPr>
              <w:t>qGAPDH_Fd</w:t>
            </w:r>
            <w:proofErr w:type="spellEnd"/>
          </w:p>
        </w:tc>
        <w:tc>
          <w:tcPr>
            <w:tcW w:w="4292" w:type="dxa"/>
            <w:tcBorders>
              <w:top w:val="single" w:sz="4" w:space="0" w:color="auto"/>
            </w:tcBorders>
          </w:tcPr>
          <w:p w14:paraId="4CA05970"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TGCACCACCAACTGCTTAGC</w:t>
            </w:r>
          </w:p>
        </w:tc>
      </w:tr>
      <w:tr w:rsidR="00A57A48" w:rsidRPr="00290FD5" w14:paraId="0707C1A0" w14:textId="77777777" w:rsidTr="00E36DF4">
        <w:trPr>
          <w:trHeight w:val="377"/>
          <w:jc w:val="center"/>
        </w:trPr>
        <w:tc>
          <w:tcPr>
            <w:tcW w:w="2699" w:type="dxa"/>
            <w:vMerge/>
          </w:tcPr>
          <w:p w14:paraId="4F0736A5"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62C82A70" w14:textId="77777777" w:rsidR="00A57A48" w:rsidRPr="00290FD5" w:rsidRDefault="00A57A48" w:rsidP="00E36DF4">
            <w:pPr>
              <w:spacing w:before="120" w:after="120" w:line="480" w:lineRule="auto"/>
              <w:contextualSpacing/>
              <w:jc w:val="both"/>
              <w:rPr>
                <w:rFonts w:cs="Arial"/>
                <w:szCs w:val="22"/>
                <w:lang w:val="en-US"/>
              </w:rPr>
            </w:pPr>
            <w:proofErr w:type="spellStart"/>
            <w:r w:rsidRPr="00290FD5">
              <w:rPr>
                <w:rFonts w:cs="Arial"/>
                <w:szCs w:val="22"/>
                <w:lang w:val="en-US"/>
              </w:rPr>
              <w:t>qGAPDH_Rv</w:t>
            </w:r>
            <w:proofErr w:type="spellEnd"/>
          </w:p>
        </w:tc>
        <w:tc>
          <w:tcPr>
            <w:tcW w:w="4292" w:type="dxa"/>
          </w:tcPr>
          <w:p w14:paraId="3410E401"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GGCATGGACTGTGGTCATGAG</w:t>
            </w:r>
          </w:p>
        </w:tc>
      </w:tr>
      <w:tr w:rsidR="00A57A48" w:rsidRPr="00290FD5" w14:paraId="18C8D5A5" w14:textId="77777777" w:rsidTr="00E36DF4">
        <w:trPr>
          <w:jc w:val="center"/>
        </w:trPr>
        <w:tc>
          <w:tcPr>
            <w:tcW w:w="2699" w:type="dxa"/>
            <w:vMerge/>
          </w:tcPr>
          <w:p w14:paraId="4F9BC0A2"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2539F8D2"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qMMP1_Fd</w:t>
            </w:r>
          </w:p>
        </w:tc>
        <w:tc>
          <w:tcPr>
            <w:tcW w:w="4292" w:type="dxa"/>
          </w:tcPr>
          <w:p w14:paraId="3C0B4E55"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CCCACAAACCCCAAAAG</w:t>
            </w:r>
          </w:p>
        </w:tc>
      </w:tr>
      <w:tr w:rsidR="00A57A48" w:rsidRPr="00290FD5" w14:paraId="6D1B5B22" w14:textId="77777777" w:rsidTr="00E36DF4">
        <w:tblPrEx>
          <w:jc w:val="left"/>
        </w:tblPrEx>
        <w:trPr>
          <w:trHeight w:val="362"/>
        </w:trPr>
        <w:tc>
          <w:tcPr>
            <w:tcW w:w="2699" w:type="dxa"/>
            <w:vMerge/>
          </w:tcPr>
          <w:p w14:paraId="6BB8C858"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2AEADB05"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qMMP1_Rv</w:t>
            </w:r>
          </w:p>
        </w:tc>
        <w:tc>
          <w:tcPr>
            <w:tcW w:w="4292" w:type="dxa"/>
          </w:tcPr>
          <w:p w14:paraId="0EE11CD2"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GATTTGTGCGCATGTAGAATCT</w:t>
            </w:r>
          </w:p>
        </w:tc>
      </w:tr>
      <w:tr w:rsidR="00A57A48" w:rsidRPr="00290FD5" w14:paraId="07031736" w14:textId="77777777" w:rsidTr="00E36DF4">
        <w:tblPrEx>
          <w:jc w:val="left"/>
        </w:tblPrEx>
        <w:tc>
          <w:tcPr>
            <w:tcW w:w="2699" w:type="dxa"/>
            <w:vMerge/>
          </w:tcPr>
          <w:p w14:paraId="4D84260E"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61B4C6EB"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qMMP8_Fd</w:t>
            </w:r>
          </w:p>
        </w:tc>
        <w:tc>
          <w:tcPr>
            <w:tcW w:w="4292" w:type="dxa"/>
          </w:tcPr>
          <w:p w14:paraId="6F400B6C"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AGTTTTCCAGCAAGAACATT</w:t>
            </w:r>
          </w:p>
        </w:tc>
      </w:tr>
      <w:tr w:rsidR="00A57A48" w:rsidRPr="00290FD5" w14:paraId="2423CC07" w14:textId="77777777" w:rsidTr="00E36DF4">
        <w:tblPrEx>
          <w:jc w:val="left"/>
        </w:tblPrEx>
        <w:tc>
          <w:tcPr>
            <w:tcW w:w="2699" w:type="dxa"/>
            <w:vMerge/>
          </w:tcPr>
          <w:p w14:paraId="1C9E3887"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7CEB5893"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qMMP8_Rv</w:t>
            </w:r>
          </w:p>
        </w:tc>
        <w:tc>
          <w:tcPr>
            <w:tcW w:w="4292" w:type="dxa"/>
          </w:tcPr>
          <w:p w14:paraId="6BB1EED2"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CAGTTAAGCCATTTATTGCC</w:t>
            </w:r>
          </w:p>
        </w:tc>
      </w:tr>
      <w:tr w:rsidR="00A57A48" w:rsidRPr="00290FD5" w14:paraId="0FA8081C" w14:textId="77777777" w:rsidTr="00E36DF4">
        <w:tblPrEx>
          <w:jc w:val="left"/>
        </w:tblPrEx>
        <w:tc>
          <w:tcPr>
            <w:tcW w:w="2699" w:type="dxa"/>
            <w:vMerge/>
          </w:tcPr>
          <w:p w14:paraId="0C56E503"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7C9C6DF7"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qMMP2_Fd</w:t>
            </w:r>
          </w:p>
        </w:tc>
        <w:tc>
          <w:tcPr>
            <w:tcW w:w="4292" w:type="dxa"/>
          </w:tcPr>
          <w:p w14:paraId="1833A0AF"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GATAACCTGGATGCCGTCGT</w:t>
            </w:r>
          </w:p>
        </w:tc>
      </w:tr>
      <w:tr w:rsidR="00A57A48" w:rsidRPr="00290FD5" w14:paraId="306FAAF5" w14:textId="77777777" w:rsidTr="00E36DF4">
        <w:tblPrEx>
          <w:jc w:val="left"/>
        </w:tblPrEx>
        <w:tc>
          <w:tcPr>
            <w:tcW w:w="2699" w:type="dxa"/>
            <w:vMerge/>
          </w:tcPr>
          <w:p w14:paraId="3C4BC5EE"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41F5184C"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qMMP2_Rv</w:t>
            </w:r>
          </w:p>
        </w:tc>
        <w:tc>
          <w:tcPr>
            <w:tcW w:w="4292" w:type="dxa"/>
          </w:tcPr>
          <w:p w14:paraId="72B1F778"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CGAAGGCAGTGGAGAGGAAG</w:t>
            </w:r>
          </w:p>
        </w:tc>
      </w:tr>
      <w:tr w:rsidR="00A57A48" w:rsidRPr="00290FD5" w14:paraId="699C0325" w14:textId="77777777" w:rsidTr="00E36DF4">
        <w:tblPrEx>
          <w:jc w:val="left"/>
        </w:tblPrEx>
        <w:tc>
          <w:tcPr>
            <w:tcW w:w="2699" w:type="dxa"/>
            <w:vMerge/>
          </w:tcPr>
          <w:p w14:paraId="46FE564A" w14:textId="77777777" w:rsidR="00A57A48" w:rsidRPr="00290FD5" w:rsidRDefault="00A57A48" w:rsidP="00E36DF4">
            <w:pPr>
              <w:spacing w:before="120" w:after="120" w:line="480" w:lineRule="auto"/>
              <w:contextualSpacing/>
              <w:jc w:val="both"/>
              <w:rPr>
                <w:rFonts w:cs="Arial"/>
                <w:szCs w:val="22"/>
                <w:lang w:val="en-US"/>
              </w:rPr>
            </w:pPr>
          </w:p>
        </w:tc>
        <w:tc>
          <w:tcPr>
            <w:tcW w:w="2019" w:type="dxa"/>
          </w:tcPr>
          <w:p w14:paraId="26413432"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qMMP9_Fd</w:t>
            </w:r>
          </w:p>
        </w:tc>
        <w:tc>
          <w:tcPr>
            <w:tcW w:w="4292" w:type="dxa"/>
          </w:tcPr>
          <w:p w14:paraId="2E7C1771"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ATGCCATTCACGTCGTCCTT</w:t>
            </w:r>
          </w:p>
        </w:tc>
      </w:tr>
      <w:tr w:rsidR="00A57A48" w:rsidRPr="00290FD5" w14:paraId="292EB397" w14:textId="77777777" w:rsidTr="00E36DF4">
        <w:tblPrEx>
          <w:jc w:val="left"/>
        </w:tblPrEx>
        <w:tc>
          <w:tcPr>
            <w:tcW w:w="2699" w:type="dxa"/>
            <w:vMerge/>
            <w:tcBorders>
              <w:bottom w:val="single" w:sz="4" w:space="0" w:color="auto"/>
            </w:tcBorders>
          </w:tcPr>
          <w:p w14:paraId="21318C04" w14:textId="77777777" w:rsidR="00A57A48" w:rsidRPr="00290FD5" w:rsidRDefault="00A57A48" w:rsidP="00E36DF4">
            <w:pPr>
              <w:spacing w:before="120" w:after="120" w:line="480" w:lineRule="auto"/>
              <w:contextualSpacing/>
              <w:jc w:val="both"/>
              <w:rPr>
                <w:rFonts w:cs="Arial"/>
                <w:szCs w:val="22"/>
                <w:lang w:val="en-US"/>
              </w:rPr>
            </w:pPr>
          </w:p>
        </w:tc>
        <w:tc>
          <w:tcPr>
            <w:tcW w:w="2019" w:type="dxa"/>
            <w:tcBorders>
              <w:bottom w:val="single" w:sz="4" w:space="0" w:color="auto"/>
            </w:tcBorders>
          </w:tcPr>
          <w:p w14:paraId="04D54CAC"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qMMP9_Rv</w:t>
            </w:r>
          </w:p>
        </w:tc>
        <w:tc>
          <w:tcPr>
            <w:tcW w:w="4292" w:type="dxa"/>
            <w:tcBorders>
              <w:bottom w:val="single" w:sz="4" w:space="0" w:color="auto"/>
            </w:tcBorders>
          </w:tcPr>
          <w:p w14:paraId="05EB2673" w14:textId="77777777" w:rsidR="00A57A48" w:rsidRPr="00290FD5" w:rsidRDefault="00A57A48" w:rsidP="00E36DF4">
            <w:pPr>
              <w:spacing w:before="120" w:after="120" w:line="480" w:lineRule="auto"/>
              <w:contextualSpacing/>
              <w:jc w:val="both"/>
              <w:rPr>
                <w:rFonts w:cs="Arial"/>
                <w:szCs w:val="22"/>
                <w:lang w:val="en-US"/>
              </w:rPr>
            </w:pPr>
            <w:r w:rsidRPr="00290FD5">
              <w:rPr>
                <w:rFonts w:cs="Arial"/>
                <w:szCs w:val="22"/>
                <w:lang w:val="en-US"/>
              </w:rPr>
              <w:t>TGACAGCGACAAGAAGTGGG</w:t>
            </w:r>
          </w:p>
        </w:tc>
      </w:tr>
    </w:tbl>
    <w:p w14:paraId="7FAC68F7" w14:textId="77777777" w:rsidR="00A57A48" w:rsidRPr="00060F1A" w:rsidRDefault="00A57A48" w:rsidP="00A57A48">
      <w:pPr>
        <w:rPr>
          <w:lang w:val="en-US"/>
        </w:rPr>
      </w:pPr>
    </w:p>
    <w:p w14:paraId="1F0DEFE3" w14:textId="77777777" w:rsidR="00CC415C" w:rsidRDefault="00CC415C">
      <w:pPr>
        <w:rPr>
          <w:b/>
        </w:rPr>
      </w:pPr>
      <w:r>
        <w:rPr>
          <w:b/>
        </w:rPr>
        <w:br w:type="page"/>
      </w:r>
    </w:p>
    <w:p w14:paraId="37BF2DB3" w14:textId="21F0698C" w:rsidR="00A57A48" w:rsidRDefault="00CC415C">
      <w:pPr>
        <w:rPr>
          <w:b/>
        </w:rPr>
      </w:pPr>
      <w:proofErr w:type="spellStart"/>
      <w:r>
        <w:rPr>
          <w:b/>
        </w:rPr>
        <w:lastRenderedPageBreak/>
        <w:t>Supplemental</w:t>
      </w:r>
      <w:proofErr w:type="spellEnd"/>
      <w:r>
        <w:rPr>
          <w:b/>
        </w:rPr>
        <w:t xml:space="preserve"> </w:t>
      </w:r>
      <w:proofErr w:type="spellStart"/>
      <w:r>
        <w:rPr>
          <w:b/>
        </w:rPr>
        <w:t>methods</w:t>
      </w:r>
      <w:proofErr w:type="spellEnd"/>
    </w:p>
    <w:p w14:paraId="281BDCA2" w14:textId="77777777" w:rsidR="00CC415C" w:rsidRDefault="00CC415C">
      <w:pPr>
        <w:rPr>
          <w:b/>
        </w:rPr>
      </w:pPr>
    </w:p>
    <w:p w14:paraId="7FFD8F86" w14:textId="5D4B8904" w:rsidR="00CC415C" w:rsidRPr="00290FD5" w:rsidRDefault="00CC415C" w:rsidP="00CC415C">
      <w:pPr>
        <w:spacing w:beforeLines="120" w:before="288" w:afterLines="120" w:after="288" w:line="480" w:lineRule="auto"/>
        <w:contextualSpacing/>
        <w:jc w:val="both"/>
        <w:rPr>
          <w:rFonts w:eastAsia="Times New Roman" w:cs="Arial"/>
          <w:color w:val="000000"/>
          <w:szCs w:val="22"/>
          <w:shd w:val="clear" w:color="auto" w:fill="FFFFFF"/>
          <w:lang w:val="en-US"/>
        </w:rPr>
      </w:pPr>
      <w:r w:rsidRPr="00290FD5">
        <w:rPr>
          <w:rFonts w:cs="Arial"/>
          <w:b/>
          <w:szCs w:val="22"/>
          <w:lang w:val="en-US"/>
        </w:rPr>
        <w:t xml:space="preserve">Generation of stable models. </w:t>
      </w:r>
      <w:r w:rsidRPr="00290FD5">
        <w:rPr>
          <w:rFonts w:cs="Arial"/>
          <w:szCs w:val="22"/>
          <w:lang w:val="en-US"/>
        </w:rPr>
        <w:t>Single guide RNA (</w:t>
      </w:r>
      <w:r w:rsidRPr="00290FD5">
        <w:rPr>
          <w:rFonts w:eastAsia="Times New Roman" w:cs="Arial"/>
          <w:color w:val="000000"/>
          <w:szCs w:val="22"/>
          <w:shd w:val="clear" w:color="auto" w:fill="FFFFFF"/>
          <w:lang w:val="en-US"/>
        </w:rPr>
        <w:t>sgRNA) against the CTCF binding site located on the 3’-side of the MMP8 gene (chr11:102,730,781-102,736,005) was designed using the CHOPCHOP web tool (https://chopchop.cbu.uib.no/)</w:t>
      </w:r>
      <w:r w:rsidRPr="00290FD5">
        <w:rPr>
          <w:rFonts w:eastAsia="Times New Roman" w:cs="Arial"/>
          <w:color w:val="000000"/>
          <w:szCs w:val="22"/>
          <w:shd w:val="clear" w:color="auto" w:fill="FFFFFF"/>
          <w:lang w:val="en-US"/>
        </w:rPr>
        <w:fldChar w:fldCharType="begin"/>
      </w:r>
      <w:r>
        <w:rPr>
          <w:rFonts w:eastAsia="Times New Roman" w:cs="Arial"/>
          <w:color w:val="000000"/>
          <w:szCs w:val="22"/>
          <w:shd w:val="clear" w:color="auto" w:fill="FFFFFF"/>
          <w:lang w:val="en-US"/>
        </w:rPr>
        <w:instrText xml:space="preserve"> ADDIN ZOTERO_ITEM CSL_CITATION {"citationID":"ubIteTXJ","properties":{"formattedCitation":"[1]","plainCitation":"[1]","noteIndex":0},"citationItems":[{"id":20,"uris":["http://zotero.org/users/local/wJqCUmpF/items/Q2GT5TKW"],"itemData":{"id":20,"type":"article-journal","container-title":"Nucleic acids research","ISSN":"0305-1048","issue":"W1","note":"publisher: Oxford University Press","page":"W171-W174","title":"CHOPCHOP v3: expanding the CRISPR web toolbox beyond genome editing","volume":"47","author":[{"family":"Labun","given":"Kornel"},{"family":"Montague","given":"Tessa G."},{"family":"Krause","given":"Maximilian"},{"family":"Cleuren","given":"Yamila N. Torres"},{"family":"Tjeldnes","given":"Håkon"},{"family":"Valen","given":"Eivind"}],"issued":{"date-parts":[["2019"]]}}}],"schema":"https://github.com/citation-style-language/schema/raw/master/csl-citation.json"} </w:instrText>
      </w:r>
      <w:r w:rsidRPr="00290FD5">
        <w:rPr>
          <w:rFonts w:eastAsia="Times New Roman" w:cs="Arial"/>
          <w:color w:val="000000"/>
          <w:szCs w:val="22"/>
          <w:shd w:val="clear" w:color="auto" w:fill="FFFFFF"/>
          <w:lang w:val="en-US"/>
        </w:rPr>
        <w:fldChar w:fldCharType="separate"/>
      </w:r>
      <w:r w:rsidR="00911A6A">
        <w:rPr>
          <w:rFonts w:eastAsia="Times New Roman" w:cs="Arial"/>
          <w:color w:val="000000"/>
          <w:lang w:val="en-US"/>
        </w:rPr>
        <w:t xml:space="preserve"> [</w:t>
      </w:r>
      <w:r w:rsidRPr="00193892">
        <w:rPr>
          <w:rFonts w:eastAsia="Times New Roman" w:cs="Arial"/>
          <w:color w:val="000000"/>
          <w:lang w:val="en-US"/>
        </w:rPr>
        <w:t>1]</w:t>
      </w:r>
      <w:r w:rsidRPr="00290FD5">
        <w:rPr>
          <w:rFonts w:eastAsia="Times New Roman" w:cs="Arial"/>
          <w:color w:val="000000"/>
          <w:szCs w:val="22"/>
          <w:shd w:val="clear" w:color="auto" w:fill="FFFFFF"/>
          <w:lang w:val="en-US"/>
        </w:rPr>
        <w:fldChar w:fldCharType="end"/>
      </w:r>
      <w:r w:rsidRPr="00290FD5">
        <w:rPr>
          <w:rFonts w:eastAsia="Times New Roman" w:cs="Arial"/>
          <w:color w:val="000000"/>
          <w:szCs w:val="22"/>
          <w:shd w:val="clear" w:color="auto" w:fill="FFFFFF"/>
          <w:lang w:val="en-US"/>
        </w:rPr>
        <w:t>. sgRNA was assembled and cloned into a PsPCas9pSpCas9(BB)-2A-GFP (PX458) as described by Ran, Fa et al</w:t>
      </w:r>
      <w:r w:rsidRPr="00290FD5">
        <w:rPr>
          <w:rFonts w:eastAsia="Times New Roman" w:cs="Arial"/>
          <w:color w:val="000000"/>
          <w:szCs w:val="22"/>
          <w:shd w:val="clear" w:color="auto" w:fill="FFFFFF"/>
          <w:lang w:val="en-US"/>
        </w:rPr>
        <w:fldChar w:fldCharType="begin"/>
      </w:r>
      <w:r>
        <w:rPr>
          <w:rFonts w:eastAsia="Times New Roman" w:cs="Arial"/>
          <w:color w:val="000000"/>
          <w:szCs w:val="22"/>
          <w:shd w:val="clear" w:color="auto" w:fill="FFFFFF"/>
          <w:lang w:val="en-US"/>
        </w:rPr>
        <w:instrText xml:space="preserve"> ADDIN ZOTERO_ITEM CSL_CITATION {"citationID":"tZHABMWk","properties":{"formattedCitation":"[2]","plainCitation":"[2]","noteIndex":0},"citationItems":[{"id":87,"uris":["http://zotero.org/users/local/wJqCUmpF/items/PJ8T8PAZ"],"itemData":{"id":87,"type":"article-journal","abstract":"Targeted nucleases are powerful tools for mediating genome alteration with high precision. The RNA-guided Cas9 nuclease from the microbial clustered regularly interspaced short palindromic repeats (CRISPR) adaptive immune system can be used to facilitate efficient genome engineering in eukaryotic cells by simply specifying a 20-nt targeting sequence within its guide RNA. Here we describe a set of tools for Cas9-mediated genome editing via nonhomologous end joining (NHEJ) or homology-directed repair (HDR) in mammalian cells, as well as generation of modified cell lines for downstream functional studies. To minimize off-target cleavage, we further describe a double-nicking strategy using the Cas9 nickase mutant with paired guide RNAs. This protocol provides experimentally derived guidelines for the selection of target sites, evaluation of cleavage efficiency and analysis of off-target activity. Beginning with target design, gene modifications can be achieved within as little as 1-2 weeks, and modified clonal cell lines can be derived within 2-3 weeks.","container-title":"Nature Protocols","DOI":"10.1038/nprot.2013.143","ISSN":"1750-2799","issue":"11","journalAbbreviation":"Nat Protoc","language":"eng","note":"PMID: 24157548\nPMCID: PMC3969860","page":"2281-2308","source":"PubMed","title":"Genome engineering using the CRISPR-Cas9 system","volume":"8","author":[{"family":"Ran","given":"F. Ann"},{"family":"Hsu","given":"Patrick D."},{"family":"Wright","given":"Jason"},{"family":"Agarwala","given":"Vineeta"},{"family":"Scott","given":"David A."},{"family":"Zhang","given":"Feng"}],"issued":{"date-parts":[["2013",11]]}}}],"schema":"https://github.com/citation-style-language/schema/raw/master/csl-citation.json"} </w:instrText>
      </w:r>
      <w:r w:rsidRPr="00290FD5">
        <w:rPr>
          <w:rFonts w:eastAsia="Times New Roman" w:cs="Arial"/>
          <w:color w:val="000000"/>
          <w:szCs w:val="22"/>
          <w:shd w:val="clear" w:color="auto" w:fill="FFFFFF"/>
          <w:lang w:val="en-US"/>
        </w:rPr>
        <w:fldChar w:fldCharType="separate"/>
      </w:r>
      <w:r w:rsidR="00911A6A" w:rsidRPr="00911A6A">
        <w:rPr>
          <w:rFonts w:eastAsia="Times New Roman" w:cs="Arial"/>
          <w:color w:val="000000"/>
          <w:lang w:val="en-US"/>
        </w:rPr>
        <w:t xml:space="preserve"> </w:t>
      </w:r>
      <w:r w:rsidR="00911A6A">
        <w:rPr>
          <w:rFonts w:eastAsia="Times New Roman" w:cs="Arial"/>
          <w:color w:val="000000"/>
        </w:rPr>
        <w:t>[</w:t>
      </w:r>
      <w:r>
        <w:rPr>
          <w:rFonts w:eastAsia="Times New Roman" w:cs="Arial"/>
          <w:color w:val="000000"/>
        </w:rPr>
        <w:t>2]</w:t>
      </w:r>
      <w:r w:rsidRPr="00290FD5">
        <w:rPr>
          <w:rFonts w:eastAsia="Times New Roman" w:cs="Arial"/>
          <w:color w:val="000000"/>
          <w:szCs w:val="22"/>
          <w:shd w:val="clear" w:color="auto" w:fill="FFFFFF"/>
          <w:lang w:val="en-US"/>
        </w:rPr>
        <w:fldChar w:fldCharType="end"/>
      </w:r>
      <w:r w:rsidRPr="00290FD5">
        <w:rPr>
          <w:rFonts w:eastAsia="Times New Roman" w:cs="Arial"/>
          <w:color w:val="000000"/>
          <w:szCs w:val="22"/>
          <w:shd w:val="clear" w:color="auto" w:fill="FFFFFF"/>
          <w:lang w:val="en-US"/>
        </w:rPr>
        <w:t>. PX458 was a gift from Feng Zhang lab (</w:t>
      </w:r>
      <w:proofErr w:type="spellStart"/>
      <w:r w:rsidRPr="00290FD5">
        <w:rPr>
          <w:rFonts w:eastAsia="Times New Roman" w:cs="Arial"/>
          <w:color w:val="000000"/>
          <w:szCs w:val="22"/>
          <w:shd w:val="clear" w:color="auto" w:fill="FFFFFF"/>
          <w:lang w:val="en-US"/>
        </w:rPr>
        <w:t>Addgene</w:t>
      </w:r>
      <w:proofErr w:type="spellEnd"/>
      <w:r w:rsidRPr="00290FD5">
        <w:rPr>
          <w:rFonts w:eastAsia="Times New Roman" w:cs="Arial"/>
          <w:color w:val="000000"/>
          <w:szCs w:val="22"/>
          <w:shd w:val="clear" w:color="auto" w:fill="FFFFFF"/>
          <w:lang w:val="en-US"/>
        </w:rPr>
        <w:t xml:space="preserve"> # 48138). </w:t>
      </w:r>
      <w:r w:rsidR="00193892">
        <w:rPr>
          <w:rFonts w:eastAsia="Times New Roman" w:cs="Arial"/>
          <w:color w:val="000000"/>
          <w:szCs w:val="22"/>
          <w:shd w:val="clear" w:color="auto" w:fill="FFFFFF"/>
          <w:lang w:val="en-US"/>
        </w:rPr>
        <w:t>T</w:t>
      </w:r>
      <w:r w:rsidRPr="00290FD5">
        <w:rPr>
          <w:rFonts w:eastAsia="Times New Roman" w:cs="Arial"/>
          <w:color w:val="000000"/>
          <w:szCs w:val="22"/>
          <w:shd w:val="clear" w:color="auto" w:fill="FFFFFF"/>
          <w:lang w:val="en-US"/>
        </w:rPr>
        <w:t>NBC cell lines were transiently transfected with either the sgRNA-containing plasmid or the empty vector (EV) using lipofectamine 3000 (</w:t>
      </w:r>
      <w:proofErr w:type="spellStart"/>
      <w:r w:rsidRPr="00290FD5">
        <w:rPr>
          <w:rFonts w:eastAsia="Times New Roman" w:cs="Arial"/>
          <w:color w:val="000000"/>
          <w:szCs w:val="22"/>
          <w:shd w:val="clear" w:color="auto" w:fill="FFFFFF"/>
          <w:lang w:val="en-US"/>
        </w:rPr>
        <w:t>Thermofisher</w:t>
      </w:r>
      <w:proofErr w:type="spellEnd"/>
      <w:r w:rsidRPr="00290FD5">
        <w:rPr>
          <w:rFonts w:eastAsia="Times New Roman" w:cs="Arial"/>
          <w:color w:val="000000"/>
          <w:szCs w:val="22"/>
          <w:shd w:val="clear" w:color="auto" w:fill="FFFFFF"/>
          <w:lang w:val="en-US"/>
        </w:rPr>
        <w:t>), following the manufacturer’s instructions. Two days after transfection, the cells were sorted by FACS, and the EV-transfected GFP-positive cells were collected and maintained as the wild-type population. On the other hand, GFP-positive cells transfected with sgRNA-containing plasmid were serially diluted in 96-well plates to isolate single clones. The disruption of the sgRNA target sequence was analyzed by Sanger sequencing (</w:t>
      </w:r>
      <w:proofErr w:type="spellStart"/>
      <w:r w:rsidRPr="00290FD5">
        <w:rPr>
          <w:rFonts w:eastAsia="Times New Roman" w:cs="Arial"/>
          <w:color w:val="000000"/>
          <w:szCs w:val="22"/>
          <w:shd w:val="clear" w:color="auto" w:fill="FFFFFF"/>
          <w:lang w:val="en-US"/>
        </w:rPr>
        <w:t>Macrogen</w:t>
      </w:r>
      <w:proofErr w:type="spellEnd"/>
      <w:r w:rsidRPr="00290FD5">
        <w:rPr>
          <w:rFonts w:eastAsia="Times New Roman" w:cs="Arial"/>
          <w:color w:val="000000"/>
          <w:szCs w:val="22"/>
          <w:shd w:val="clear" w:color="auto" w:fill="FFFFFF"/>
          <w:lang w:val="en-US"/>
        </w:rPr>
        <w:t xml:space="preserve">, Madrid). Briefly, clones were grown and DNA was purified using Quick-DNA </w:t>
      </w:r>
      <w:proofErr w:type="spellStart"/>
      <w:r w:rsidRPr="00290FD5">
        <w:rPr>
          <w:rFonts w:eastAsia="Times New Roman" w:cs="Arial"/>
          <w:color w:val="000000"/>
          <w:szCs w:val="22"/>
          <w:shd w:val="clear" w:color="auto" w:fill="FFFFFF"/>
          <w:lang w:val="en-US"/>
        </w:rPr>
        <w:t>Microprep</w:t>
      </w:r>
      <w:proofErr w:type="spellEnd"/>
      <w:r w:rsidRPr="00290FD5">
        <w:rPr>
          <w:rFonts w:eastAsia="Times New Roman" w:cs="Arial"/>
          <w:color w:val="000000"/>
          <w:szCs w:val="22"/>
          <w:shd w:val="clear" w:color="auto" w:fill="FFFFFF"/>
          <w:lang w:val="en-US"/>
        </w:rPr>
        <w:t xml:space="preserve"> Kit (</w:t>
      </w:r>
      <w:proofErr w:type="spellStart"/>
      <w:r w:rsidRPr="00290FD5">
        <w:rPr>
          <w:rFonts w:eastAsia="Times New Roman" w:cs="Arial"/>
          <w:color w:val="000000"/>
          <w:szCs w:val="22"/>
          <w:shd w:val="clear" w:color="auto" w:fill="FFFFFF"/>
          <w:lang w:val="en-US"/>
        </w:rPr>
        <w:t>Zymo</w:t>
      </w:r>
      <w:proofErr w:type="spellEnd"/>
      <w:r w:rsidRPr="00290FD5">
        <w:rPr>
          <w:rFonts w:eastAsia="Times New Roman" w:cs="Arial"/>
          <w:color w:val="000000"/>
          <w:szCs w:val="22"/>
          <w:shd w:val="clear" w:color="auto" w:fill="FFFFFF"/>
          <w:lang w:val="en-US"/>
        </w:rPr>
        <w:t xml:space="preserve"> research). DNA containing the sgRNA target sequence was amplified by PCR, purified using </w:t>
      </w:r>
      <w:proofErr w:type="spellStart"/>
      <w:r w:rsidRPr="00290FD5">
        <w:rPr>
          <w:rFonts w:eastAsia="Times New Roman" w:cs="Arial"/>
          <w:color w:val="000000"/>
          <w:szCs w:val="22"/>
          <w:shd w:val="clear" w:color="auto" w:fill="FFFFFF"/>
          <w:lang w:val="en-US"/>
        </w:rPr>
        <w:t>NucleoSpin</w:t>
      </w:r>
      <w:proofErr w:type="spellEnd"/>
      <w:r w:rsidRPr="00290FD5">
        <w:rPr>
          <w:rFonts w:eastAsia="Times New Roman" w:cs="Arial"/>
          <w:color w:val="000000"/>
          <w:szCs w:val="22"/>
          <w:shd w:val="clear" w:color="auto" w:fill="FFFFFF"/>
          <w:lang w:val="en-US"/>
        </w:rPr>
        <w:t xml:space="preserve"> Gel and PCR clean-up kit (</w:t>
      </w:r>
      <w:proofErr w:type="spellStart"/>
      <w:r w:rsidRPr="00290FD5">
        <w:rPr>
          <w:rFonts w:eastAsia="Times New Roman" w:cs="Arial"/>
          <w:color w:val="000000"/>
          <w:szCs w:val="22"/>
          <w:shd w:val="clear" w:color="auto" w:fill="FFFFFF"/>
          <w:lang w:val="en-US"/>
        </w:rPr>
        <w:t>Macherey</w:t>
      </w:r>
      <w:proofErr w:type="spellEnd"/>
      <w:r w:rsidRPr="00290FD5">
        <w:rPr>
          <w:rFonts w:eastAsia="Times New Roman" w:cs="Arial"/>
          <w:color w:val="000000"/>
          <w:szCs w:val="22"/>
          <w:shd w:val="clear" w:color="auto" w:fill="FFFFFF"/>
          <w:lang w:val="en-US"/>
        </w:rPr>
        <w:t>-Nagel)</w:t>
      </w:r>
      <w:r w:rsidR="00911A6A">
        <w:rPr>
          <w:rFonts w:eastAsia="Times New Roman" w:cs="Arial"/>
          <w:color w:val="000000"/>
          <w:szCs w:val="22"/>
          <w:shd w:val="clear" w:color="auto" w:fill="FFFFFF"/>
          <w:lang w:val="en-US"/>
        </w:rPr>
        <w:t>,</w:t>
      </w:r>
      <w:r w:rsidRPr="00290FD5">
        <w:rPr>
          <w:rFonts w:eastAsia="Times New Roman" w:cs="Arial"/>
          <w:color w:val="000000"/>
          <w:szCs w:val="22"/>
          <w:shd w:val="clear" w:color="auto" w:fill="FFFFFF"/>
          <w:lang w:val="en-US"/>
        </w:rPr>
        <w:t xml:space="preserve"> and sequenced using </w:t>
      </w:r>
      <w:proofErr w:type="spellStart"/>
      <w:r w:rsidRPr="00290FD5">
        <w:rPr>
          <w:rFonts w:eastAsia="Times New Roman" w:cs="Arial"/>
          <w:color w:val="000000"/>
          <w:szCs w:val="22"/>
          <w:shd w:val="clear" w:color="auto" w:fill="FFFFFF"/>
          <w:lang w:val="en-US"/>
        </w:rPr>
        <w:t>Macrogen</w:t>
      </w:r>
      <w:proofErr w:type="spellEnd"/>
      <w:r w:rsidRPr="00290FD5">
        <w:rPr>
          <w:rFonts w:eastAsia="Times New Roman" w:cs="Arial"/>
          <w:color w:val="000000"/>
          <w:szCs w:val="22"/>
          <w:shd w:val="clear" w:color="auto" w:fill="FFFFFF"/>
          <w:lang w:val="en-US"/>
        </w:rPr>
        <w:t xml:space="preserve"> external service. PCR primers used for amplicon generation and sequencing were designed using Primer3 webtool</w:t>
      </w:r>
      <w:r w:rsidRPr="00290FD5">
        <w:rPr>
          <w:rFonts w:eastAsia="Times New Roman" w:cs="Arial"/>
          <w:szCs w:val="22"/>
          <w:vertAlign w:val="superscript"/>
          <w:lang w:val="en-US"/>
        </w:rPr>
        <w:t>22</w:t>
      </w:r>
      <w:r w:rsidRPr="00290FD5">
        <w:rPr>
          <w:rFonts w:eastAsia="Times New Roman" w:cs="Arial"/>
          <w:color w:val="000000"/>
          <w:szCs w:val="22"/>
          <w:shd w:val="clear" w:color="auto" w:fill="FFFFFF"/>
          <w:lang w:val="en-US"/>
        </w:rPr>
        <w:t xml:space="preserve">. PCR primers used for sgRNAs generation, amplicon generation and sequencing are listed in </w:t>
      </w:r>
      <w:r w:rsidRPr="00290FD5">
        <w:rPr>
          <w:rFonts w:eastAsia="Times New Roman" w:cs="Arial"/>
          <w:color w:val="C00000"/>
          <w:szCs w:val="22"/>
          <w:shd w:val="clear" w:color="auto" w:fill="FFFFFF"/>
          <w:lang w:val="en-US"/>
        </w:rPr>
        <w:t xml:space="preserve">Table </w:t>
      </w:r>
      <w:r>
        <w:rPr>
          <w:rFonts w:eastAsia="Times New Roman" w:cs="Arial"/>
          <w:color w:val="C00000"/>
          <w:szCs w:val="22"/>
          <w:shd w:val="clear" w:color="auto" w:fill="FFFFFF"/>
          <w:lang w:val="en-US"/>
        </w:rPr>
        <w:t>S</w:t>
      </w:r>
      <w:r w:rsidRPr="00290FD5">
        <w:rPr>
          <w:rFonts w:eastAsia="Times New Roman" w:cs="Arial"/>
          <w:color w:val="C00000"/>
          <w:szCs w:val="22"/>
          <w:shd w:val="clear" w:color="auto" w:fill="FFFFFF"/>
          <w:lang w:val="en-US"/>
        </w:rPr>
        <w:t>1</w:t>
      </w:r>
      <w:r w:rsidRPr="00290FD5">
        <w:rPr>
          <w:rFonts w:eastAsia="Times New Roman" w:cs="Arial"/>
          <w:color w:val="000000"/>
          <w:szCs w:val="22"/>
          <w:shd w:val="clear" w:color="auto" w:fill="FFFFFF"/>
          <w:lang w:val="en-US"/>
        </w:rPr>
        <w:t>.</w:t>
      </w:r>
    </w:p>
    <w:p w14:paraId="3D77FF44" w14:textId="77777777" w:rsidR="00CC415C" w:rsidRPr="00290FD5" w:rsidRDefault="00CC415C" w:rsidP="00CC415C">
      <w:pPr>
        <w:spacing w:beforeLines="120" w:before="288" w:afterLines="120" w:after="288" w:line="480" w:lineRule="auto"/>
        <w:contextualSpacing/>
        <w:jc w:val="both"/>
        <w:rPr>
          <w:rFonts w:eastAsia="Times New Roman" w:cs="Arial"/>
          <w:color w:val="000000"/>
          <w:szCs w:val="22"/>
          <w:shd w:val="clear" w:color="auto" w:fill="FFFFFF"/>
          <w:lang w:val="en-US"/>
        </w:rPr>
      </w:pPr>
    </w:p>
    <w:p w14:paraId="3F88A9A5" w14:textId="77777777" w:rsidR="00CC415C" w:rsidRPr="00290FD5" w:rsidRDefault="00CC415C" w:rsidP="00CC415C">
      <w:pPr>
        <w:spacing w:beforeLines="120" w:before="288" w:afterLines="120" w:after="288" w:line="480" w:lineRule="auto"/>
        <w:contextualSpacing/>
        <w:jc w:val="both"/>
        <w:rPr>
          <w:rFonts w:cs="Arial"/>
          <w:b/>
          <w:szCs w:val="22"/>
          <w:lang w:val="en-US"/>
        </w:rPr>
      </w:pPr>
      <w:r w:rsidRPr="00290FD5">
        <w:rPr>
          <w:rFonts w:cs="Arial"/>
          <w:b/>
          <w:szCs w:val="22"/>
          <w:lang w:val="en-US"/>
        </w:rPr>
        <w:t>High</w:t>
      </w:r>
      <w:r w:rsidRPr="00290FD5">
        <w:rPr>
          <w:rFonts w:ascii="Calibri" w:eastAsia="Calibri" w:hAnsi="Calibri" w:cs="Calibri"/>
          <w:b/>
          <w:szCs w:val="22"/>
          <w:lang w:val="en-US"/>
        </w:rPr>
        <w:t>‐</w:t>
      </w:r>
      <w:r w:rsidRPr="00290FD5">
        <w:rPr>
          <w:rFonts w:cs="Arial"/>
          <w:b/>
          <w:szCs w:val="22"/>
          <w:lang w:val="en-US"/>
        </w:rPr>
        <w:t xml:space="preserve">throughput chromosome conformation capture (Hi-C). </w:t>
      </w:r>
      <w:r w:rsidRPr="00290FD5">
        <w:rPr>
          <w:rFonts w:cs="Arial"/>
          <w:szCs w:val="22"/>
          <w:lang w:val="en-US"/>
        </w:rPr>
        <w:t>Hi-C was performed following the manufacturer's protocol from Cantata Bio at the National Genomics Infrastructure, Sweden. 10</w:t>
      </w:r>
      <w:r w:rsidRPr="00A10ACA">
        <w:rPr>
          <w:rFonts w:cs="Arial"/>
          <w:szCs w:val="22"/>
          <w:vertAlign w:val="superscript"/>
          <w:lang w:val="en-US"/>
        </w:rPr>
        <w:t>6</w:t>
      </w:r>
      <w:r w:rsidRPr="00290FD5">
        <w:rPr>
          <w:rFonts w:cs="Arial"/>
          <w:szCs w:val="22"/>
          <w:lang w:val="en-US"/>
        </w:rPr>
        <w:t xml:space="preserve"> cells were fixed, digested, and cross-linked. Chromatin fragments were extracted and captured using magnetic beads to Chromatin Capture Beads. Library prep was done using the </w:t>
      </w:r>
      <w:proofErr w:type="spellStart"/>
      <w:r w:rsidRPr="00290FD5">
        <w:rPr>
          <w:rFonts w:cs="Arial"/>
          <w:szCs w:val="22"/>
          <w:lang w:val="en-US"/>
        </w:rPr>
        <w:t>NEBNext</w:t>
      </w:r>
      <w:proofErr w:type="spellEnd"/>
      <w:r w:rsidRPr="00290FD5">
        <w:rPr>
          <w:rFonts w:cs="Arial"/>
          <w:szCs w:val="22"/>
          <w:lang w:val="en-US"/>
        </w:rPr>
        <w:t xml:space="preserve"> Ultra II DNA Library Prep (Illumina). </w:t>
      </w:r>
      <w:proofErr w:type="spellStart"/>
      <w:r w:rsidRPr="00290FD5">
        <w:rPr>
          <w:rFonts w:cs="Arial"/>
          <w:szCs w:val="22"/>
          <w:lang w:val="en-US"/>
        </w:rPr>
        <w:t>NEBNext</w:t>
      </w:r>
      <w:proofErr w:type="spellEnd"/>
      <w:r w:rsidRPr="00290FD5">
        <w:rPr>
          <w:rFonts w:cs="Arial"/>
          <w:szCs w:val="22"/>
          <w:lang w:val="en-US"/>
        </w:rPr>
        <w:t xml:space="preserve"> Multiplex Oligos for Illumina were used as indexes. Sequencing was performed using </w:t>
      </w:r>
      <w:proofErr w:type="spellStart"/>
      <w:r w:rsidRPr="00290FD5">
        <w:rPr>
          <w:rFonts w:cs="Arial"/>
          <w:szCs w:val="22"/>
          <w:lang w:val="en-US"/>
        </w:rPr>
        <w:t>NovaSeq</w:t>
      </w:r>
      <w:proofErr w:type="spellEnd"/>
      <w:r w:rsidRPr="00290FD5">
        <w:rPr>
          <w:rFonts w:cs="Arial"/>
          <w:szCs w:val="22"/>
          <w:lang w:val="en-US"/>
        </w:rPr>
        <w:t xml:space="preserve"> S4, 151nt(R1)-19nt(I1)-10nt(I2)-151nt(R2). 5 kb bin contact matrices for each replicate were generated.</w:t>
      </w:r>
    </w:p>
    <w:p w14:paraId="78E105E4" w14:textId="77777777" w:rsidR="00CC415C" w:rsidRPr="00290FD5" w:rsidRDefault="00CC415C" w:rsidP="00CC415C">
      <w:pPr>
        <w:spacing w:beforeLines="120" w:before="288" w:afterLines="120" w:after="288" w:line="480" w:lineRule="auto"/>
        <w:contextualSpacing/>
        <w:jc w:val="both"/>
        <w:rPr>
          <w:rFonts w:eastAsia="Times New Roman" w:cs="Arial"/>
          <w:color w:val="000000"/>
          <w:szCs w:val="22"/>
          <w:shd w:val="clear" w:color="auto" w:fill="FFFFFF"/>
          <w:lang w:val="en-US"/>
        </w:rPr>
      </w:pPr>
    </w:p>
    <w:p w14:paraId="6BABEBB2" w14:textId="1C1753FF" w:rsidR="00CC415C" w:rsidRPr="00290FD5" w:rsidRDefault="00CC415C" w:rsidP="00CC415C">
      <w:pPr>
        <w:spacing w:beforeLines="120" w:before="288" w:afterLines="120" w:after="288" w:line="480" w:lineRule="auto"/>
        <w:contextualSpacing/>
        <w:jc w:val="both"/>
        <w:rPr>
          <w:rFonts w:cs="Arial"/>
          <w:szCs w:val="22"/>
          <w:lang w:val="en-US"/>
        </w:rPr>
      </w:pPr>
      <w:r w:rsidRPr="00290FD5">
        <w:rPr>
          <w:rFonts w:cs="Arial"/>
          <w:b/>
          <w:szCs w:val="22"/>
          <w:lang w:val="en-US"/>
        </w:rPr>
        <w:lastRenderedPageBreak/>
        <w:t xml:space="preserve">Protein-chromatin interaction. </w:t>
      </w:r>
      <w:r w:rsidRPr="00290FD5">
        <w:rPr>
          <w:rFonts w:cs="Arial"/>
          <w:szCs w:val="22"/>
          <w:lang w:val="en-US"/>
        </w:rPr>
        <w:t>CTCF binding disruption was assessed by Cleavage Under Targets and Release Using Nuclease (CUT&amp;RUN) followed by qPCR in the two cell line models</w:t>
      </w:r>
      <w:r w:rsidRPr="00290FD5">
        <w:rPr>
          <w:rFonts w:cs="Arial"/>
          <w:b/>
          <w:szCs w:val="22"/>
          <w:lang w:val="en-US"/>
        </w:rPr>
        <w:t>.</w:t>
      </w:r>
      <w:r w:rsidRPr="00290FD5">
        <w:rPr>
          <w:rFonts w:cs="Arial"/>
          <w:szCs w:val="22"/>
          <w:lang w:val="en-US"/>
        </w:rPr>
        <w:t xml:space="preserve"> First, cells were fixed in 0.1% formaldehyde methanol free (</w:t>
      </w:r>
      <w:proofErr w:type="spellStart"/>
      <w:r w:rsidRPr="00290FD5">
        <w:rPr>
          <w:rFonts w:cs="Arial"/>
          <w:szCs w:val="22"/>
          <w:lang w:val="en-US"/>
        </w:rPr>
        <w:t>Thermo</w:t>
      </w:r>
      <w:proofErr w:type="spellEnd"/>
      <w:r w:rsidRPr="00290FD5">
        <w:rPr>
          <w:rFonts w:cs="Arial"/>
          <w:szCs w:val="22"/>
          <w:lang w:val="en-US"/>
        </w:rPr>
        <w:t xml:space="preserve"> Scientific) for 2 min at room temperature. Crosslinking was stopped by 1X Glycine Solution (#7005, Cell Signaling Technology (CST)) for 5 min and washed with Complete Wash Buffer (containing 1x Protease inhibitor cocktail and 1x spermidine) twice, and centrifuged at 3,000g at 4 °C for 3 min. All CUT&amp;RUN reactions were performed using CUT&amp;RUN Assay Kit (#86652, CST) following the manufacturer’s instructions. Antibodies were added at the following concentrations: H3K4me3 (C42D8, CST) 1:50; CTCF (3418S, CST) 1:50; IgG isotype control (#66362, CST) 1:20. Input DNA was sonicated using 5 cycles of -15s/45s on/off- at 25% of the power. Enriched chromatin DNA samples and DNA input were purified using DNA Purification Buffer and Spin Column system (#14209, CST). Enriched chromatin DNA samples and DNA input were </w:t>
      </w:r>
      <w:r w:rsidR="00911A6A">
        <w:rPr>
          <w:rFonts w:cs="Arial"/>
          <w:szCs w:val="22"/>
          <w:lang w:val="en-US"/>
        </w:rPr>
        <w:t>analyzed</w:t>
      </w:r>
      <w:r w:rsidRPr="00290FD5">
        <w:rPr>
          <w:rFonts w:cs="Arial"/>
          <w:szCs w:val="22"/>
          <w:lang w:val="en-US"/>
        </w:rPr>
        <w:t xml:space="preserve"> by qPCR using CFX96 Touch Real-Time PCR Detection System (Bio-Rad). H3K4me3-chromatin enrichment was used as the positive control, following the manufacturer’s guidelines. Fold enrichment was assessed by dividing CTCF-enriched into IgG-enriched chromatin extracts. PCR primers are listed in </w:t>
      </w:r>
      <w:r w:rsidRPr="00290FD5">
        <w:rPr>
          <w:rFonts w:cs="Arial"/>
          <w:color w:val="C00000"/>
          <w:szCs w:val="22"/>
          <w:lang w:val="en-US"/>
        </w:rPr>
        <w:t xml:space="preserve">Table </w:t>
      </w:r>
      <w:r>
        <w:rPr>
          <w:rFonts w:cs="Arial"/>
          <w:color w:val="C00000"/>
          <w:szCs w:val="22"/>
          <w:lang w:val="en-US"/>
        </w:rPr>
        <w:t>S</w:t>
      </w:r>
      <w:r w:rsidRPr="00290FD5">
        <w:rPr>
          <w:rFonts w:cs="Arial"/>
          <w:color w:val="C00000"/>
          <w:szCs w:val="22"/>
          <w:lang w:val="en-US"/>
        </w:rPr>
        <w:t>1</w:t>
      </w:r>
      <w:r w:rsidRPr="00290FD5">
        <w:rPr>
          <w:rFonts w:cs="Arial"/>
          <w:szCs w:val="22"/>
          <w:lang w:val="en-US"/>
        </w:rPr>
        <w:t>.</w:t>
      </w:r>
    </w:p>
    <w:p w14:paraId="3D7DECD9" w14:textId="77777777" w:rsidR="00CC415C" w:rsidRPr="00290FD5" w:rsidRDefault="00CC415C" w:rsidP="00CC415C">
      <w:pPr>
        <w:spacing w:before="120" w:after="120" w:line="480" w:lineRule="auto"/>
        <w:contextualSpacing/>
        <w:jc w:val="both"/>
        <w:rPr>
          <w:rFonts w:cs="Arial"/>
          <w:b/>
          <w:szCs w:val="22"/>
          <w:lang w:val="en-US"/>
        </w:rPr>
      </w:pPr>
    </w:p>
    <w:p w14:paraId="22F40AF0" w14:textId="3CD805F2" w:rsidR="00CC415C" w:rsidRPr="00290FD5" w:rsidRDefault="00CC415C" w:rsidP="00CC415C">
      <w:pPr>
        <w:spacing w:before="120" w:after="120" w:line="480" w:lineRule="auto"/>
        <w:contextualSpacing/>
        <w:jc w:val="both"/>
        <w:rPr>
          <w:rFonts w:cs="Arial"/>
          <w:szCs w:val="22"/>
          <w:lang w:val="en-US"/>
        </w:rPr>
      </w:pPr>
      <w:r w:rsidRPr="00290FD5">
        <w:rPr>
          <w:rFonts w:cs="Arial"/>
          <w:b/>
          <w:szCs w:val="22"/>
          <w:lang w:val="en-US"/>
        </w:rPr>
        <w:t>Chromatin accessibility profiling by ATAC-seq.</w:t>
      </w:r>
      <w:r w:rsidRPr="00290FD5">
        <w:rPr>
          <w:rFonts w:cs="Arial"/>
          <w:szCs w:val="22"/>
          <w:lang w:val="en-US"/>
        </w:rPr>
        <w:t xml:space="preserve"> 100,000 viable cells were collected and centrifuged for each replicate. Cell pellets were gently lysed for 3 min on ice. Cell nuclei were incubated for 30 min at 37ºC 1000 rpm in a thermal mixer in the presence of </w:t>
      </w:r>
      <w:proofErr w:type="spellStart"/>
      <w:r w:rsidRPr="00290FD5">
        <w:rPr>
          <w:rFonts w:cs="Arial"/>
          <w:szCs w:val="22"/>
          <w:lang w:val="en-US"/>
        </w:rPr>
        <w:t>tagmentase</w:t>
      </w:r>
      <w:proofErr w:type="spellEnd"/>
      <w:r w:rsidRPr="00290FD5">
        <w:rPr>
          <w:rFonts w:cs="Arial"/>
          <w:szCs w:val="22"/>
          <w:lang w:val="en-US"/>
        </w:rPr>
        <w:t xml:space="preserve">. DNA product was purified using </w:t>
      </w:r>
      <w:proofErr w:type="spellStart"/>
      <w:r w:rsidRPr="00290FD5">
        <w:rPr>
          <w:rFonts w:cs="Arial"/>
          <w:szCs w:val="22"/>
          <w:lang w:val="en-US"/>
        </w:rPr>
        <w:t>MinElut</w:t>
      </w:r>
      <w:proofErr w:type="spellEnd"/>
      <w:r w:rsidRPr="00290FD5">
        <w:rPr>
          <w:rFonts w:cs="Arial"/>
          <w:szCs w:val="22"/>
          <w:lang w:val="en-US"/>
        </w:rPr>
        <w:t xml:space="preserve"> purification columns (Qiagen). Samples were sent to the National Genomics Infrastructure, Sweden. Libraries were prepared following the </w:t>
      </w:r>
      <w:proofErr w:type="spellStart"/>
      <w:r w:rsidRPr="00290FD5">
        <w:rPr>
          <w:rFonts w:cs="Arial"/>
          <w:szCs w:val="22"/>
          <w:lang w:val="en-US"/>
        </w:rPr>
        <w:t>OmniATAC</w:t>
      </w:r>
      <w:proofErr w:type="spellEnd"/>
      <w:r w:rsidRPr="00290FD5">
        <w:rPr>
          <w:rFonts w:cs="Arial"/>
          <w:szCs w:val="22"/>
          <w:lang w:val="en-US"/>
        </w:rPr>
        <w:t xml:space="preserve"> protocol</w:t>
      </w:r>
      <w:r w:rsidRPr="00290FD5">
        <w:rPr>
          <w:rFonts w:cs="Arial"/>
          <w:szCs w:val="22"/>
          <w:lang w:val="en-US"/>
        </w:rPr>
        <w:fldChar w:fldCharType="begin"/>
      </w:r>
      <w:r>
        <w:rPr>
          <w:rFonts w:cs="Arial"/>
          <w:szCs w:val="22"/>
          <w:lang w:val="en-US"/>
        </w:rPr>
        <w:instrText xml:space="preserve"> ADDIN ZOTERO_ITEM CSL_CITATION {"citationID":"FtNHsDBI","properties":{"formattedCitation":"[3]","plainCitation":"[3]","noteIndex":0},"citationItems":[{"id":177,"uris":["http://zotero.org/users/local/wJqCUmpF/items/IF9IS8DT"],"itemData":{"id":177,"type":"article-journal","abstract":"The Omni-ATAC protocol improves the signal-to-background ratio in chromatin accessibility profiles and is suitable for a range of cell lines and primary cell types, as well as frozen tissue.","container-title":"Nature Methods","DOI":"10.1038/nmeth.4396","ISSN":"1548-7105","issue":"10","journalAbbreviation":"Nat Methods","language":"en","license":"2017 Nature Publishing Group, a division of Macmillan Publishers Limited. All Rights Reserved.","note":"number: 10\npublisher: Nature Publishing Group","page":"959-962","source":"www.nature.com","title":"An improved ATAC-seq protocol reduces background and enables interrogation of frozen tissues","URL":"https://www.nature.com/articles/nmeth.4396","volume":"14","author":[{"family":"Corces","given":"M. Ryan"},{"family":"Trevino","given":"Alexandro E."},{"family":"Hamilton","given":"Emily G."},{"family":"Greenside","given":"Peyton G."},{"family":"Sinnott-Armstrong","given":"Nicholas A."},{"family":"Vesuna","given":"Sam"},{"family":"Satpathy","given":"Ansuman T."},{"family":"Rubin","given":"Adam J."},{"family":"Montine","given":"Kathleen S."},{"family":"Wu","given":"Beijing"},{"family":"Kathiria","given":"Arwa"},{"family":"Cho","given":"Seung Woo"},{"family":"Mumbach","given":"Maxwell R."},{"family":"Carter","given":"Ava C."},{"family":"Kasowski","given":"Maya"},{"family":"Orloff","given":"Lisa A."},{"family":"Risca","given":"Viviana I."},{"family":"Kundaje","given":"Anshul"},{"family":"Khavari","given":"Paul A."},{"family":"Montine","given":"Thomas J."},{"family":"Greenleaf","given":"William J."},{"family":"Chang","given":"Howard Y."}],"accessed":{"date-parts":[["2023",3,8]]},"issued":{"date-parts":[["2017",10]]}}}],"schema":"https://github.com/citation-style-language/schema/raw/master/csl-citation.json"} </w:instrText>
      </w:r>
      <w:r w:rsidRPr="00290FD5">
        <w:rPr>
          <w:rFonts w:cs="Arial"/>
          <w:szCs w:val="22"/>
          <w:lang w:val="en-US"/>
        </w:rPr>
        <w:fldChar w:fldCharType="separate"/>
      </w:r>
      <w:r w:rsidR="00911A6A">
        <w:rPr>
          <w:rFonts w:eastAsia="Times New Roman" w:cs="Arial"/>
          <w:lang w:val="en-US"/>
        </w:rPr>
        <w:t xml:space="preserve"> [</w:t>
      </w:r>
      <w:r w:rsidRPr="00193892">
        <w:rPr>
          <w:rFonts w:eastAsia="Times New Roman" w:cs="Arial"/>
          <w:lang w:val="en-US"/>
        </w:rPr>
        <w:t>3]</w:t>
      </w:r>
      <w:r w:rsidRPr="00290FD5">
        <w:rPr>
          <w:rFonts w:cs="Arial"/>
          <w:szCs w:val="22"/>
          <w:lang w:val="en-US"/>
        </w:rPr>
        <w:fldChar w:fldCharType="end"/>
      </w:r>
      <w:r w:rsidRPr="00290FD5">
        <w:rPr>
          <w:rFonts w:cs="Arial"/>
          <w:szCs w:val="22"/>
          <w:lang w:val="en-US"/>
        </w:rPr>
        <w:t xml:space="preserve">. All libraries were purified using </w:t>
      </w:r>
      <w:proofErr w:type="spellStart"/>
      <w:r w:rsidRPr="00290FD5">
        <w:rPr>
          <w:rFonts w:cs="Arial"/>
          <w:szCs w:val="22"/>
          <w:lang w:val="en-US"/>
        </w:rPr>
        <w:t>AMPure</w:t>
      </w:r>
      <w:proofErr w:type="spellEnd"/>
      <w:r w:rsidRPr="00290FD5">
        <w:rPr>
          <w:rFonts w:cs="Arial"/>
          <w:szCs w:val="22"/>
          <w:lang w:val="en-US"/>
        </w:rPr>
        <w:t xml:space="preserve"> XP beads (Beckman Coulter) with a 1:1.8 ratio and sequenced in paired-end mode with a read length of 51nt(R1)-10nt(I1)-10nt(I2)-51nt(R2)</w:t>
      </w:r>
      <w:r>
        <w:rPr>
          <w:rFonts w:cs="Arial"/>
          <w:szCs w:val="22"/>
          <w:lang w:val="en-US"/>
        </w:rPr>
        <w:t xml:space="preserve"> </w:t>
      </w:r>
      <w:r w:rsidRPr="00290FD5">
        <w:rPr>
          <w:rFonts w:cs="Arial"/>
          <w:szCs w:val="22"/>
          <w:lang w:val="en-US"/>
        </w:rPr>
        <w:t xml:space="preserve">on a Novaseq6000(Illumina) following the manufacturer’s instructions. Data was processed following the Galaxy project </w:t>
      </w:r>
      <w:proofErr w:type="spellStart"/>
      <w:r w:rsidRPr="00290FD5">
        <w:rPr>
          <w:rFonts w:cs="Arial"/>
          <w:szCs w:val="22"/>
          <w:lang w:val="en-US"/>
        </w:rPr>
        <w:t>ATACseq</w:t>
      </w:r>
      <w:proofErr w:type="spellEnd"/>
      <w:r w:rsidRPr="00290FD5">
        <w:rPr>
          <w:rFonts w:cs="Arial"/>
          <w:szCs w:val="22"/>
          <w:lang w:val="en-US"/>
        </w:rPr>
        <w:t xml:space="preserve"> guidelines</w:t>
      </w:r>
      <w:r w:rsidRPr="00290FD5">
        <w:rPr>
          <w:rFonts w:cs="Arial"/>
          <w:szCs w:val="22"/>
          <w:lang w:val="en-US"/>
        </w:rPr>
        <w:fldChar w:fldCharType="begin"/>
      </w:r>
      <w:r>
        <w:rPr>
          <w:rFonts w:cs="Arial"/>
          <w:szCs w:val="22"/>
          <w:lang w:val="en-US"/>
        </w:rPr>
        <w:instrText xml:space="preserve"> ADDIN ZOTERO_ITEM CSL_CITATION {"citationID":"xBrBIUt7","properties":{"formattedCitation":"[4]","plainCitation":"[4]","noteIndex":0},"citationItems":[{"id":137,"uris":["http://zotero.org/users/local/wJqCUmpF/items/QURZSFB5"],"itemData":{"id":137,"type":"webpage","abstract":"DNA methylation is an epigenetic mechanism used by higher...","container-title":"Galaxy Training Network","genre":"text","language":"en","note":"publisher: Galaxy Training Network","title":"ATAC-Seq data analysis (Galaxy Training Materials)","URL":"https://training.galaxyproject.org/training-material/topics/epigenetics/tutorials/atac-seq/tutorial.html","author":[{"family":"Delisle","given":"Lucille"},{"family":"Doyle","given":"Maria"},{"family":"Heyl","given":"Florian"}],"accessed":{"date-parts":[["2022",12,16]]},"issued":{"date-parts":[["0000"]],"season":"23:35"}}}],"schema":"https://github.com/citation-style-language/schema/raw/master/csl-citation.json"} </w:instrText>
      </w:r>
      <w:r w:rsidRPr="00290FD5">
        <w:rPr>
          <w:rFonts w:cs="Arial"/>
          <w:szCs w:val="22"/>
          <w:lang w:val="en-US"/>
        </w:rPr>
        <w:fldChar w:fldCharType="separate"/>
      </w:r>
      <w:r w:rsidR="00911A6A">
        <w:rPr>
          <w:rFonts w:eastAsia="Times New Roman" w:cs="Arial"/>
          <w:lang w:val="en-US"/>
        </w:rPr>
        <w:t xml:space="preserve"> [</w:t>
      </w:r>
      <w:r w:rsidRPr="00193892">
        <w:rPr>
          <w:rFonts w:eastAsia="Times New Roman" w:cs="Arial"/>
          <w:lang w:val="en-US"/>
        </w:rPr>
        <w:t>4]</w:t>
      </w:r>
      <w:r w:rsidRPr="00290FD5">
        <w:rPr>
          <w:rFonts w:cs="Arial"/>
          <w:szCs w:val="22"/>
          <w:lang w:val="en-US"/>
        </w:rPr>
        <w:fldChar w:fldCharType="end"/>
      </w:r>
      <w:r w:rsidRPr="00290FD5">
        <w:rPr>
          <w:rFonts w:cs="Arial"/>
          <w:szCs w:val="22"/>
          <w:lang w:val="en-US"/>
        </w:rPr>
        <w:t xml:space="preserve">. Briefly, raw sequencing reads were first processed using </w:t>
      </w:r>
      <w:proofErr w:type="spellStart"/>
      <w:r w:rsidRPr="00290FD5">
        <w:rPr>
          <w:rFonts w:cs="Arial"/>
          <w:szCs w:val="22"/>
          <w:lang w:val="en-US"/>
        </w:rPr>
        <w:t>cutadapt</w:t>
      </w:r>
      <w:proofErr w:type="spellEnd"/>
      <w:r w:rsidRPr="00290FD5">
        <w:rPr>
          <w:rFonts w:cs="Arial"/>
          <w:szCs w:val="22"/>
          <w:lang w:val="en-US"/>
        </w:rPr>
        <w:t xml:space="preserve"> to remove low-quality reads and adapters. Trimmed reads were then aligned to the human reference genome assembly hg38 using bowtie2. Poorly </w:t>
      </w:r>
      <w:r w:rsidRPr="00290FD5">
        <w:rPr>
          <w:rFonts w:cs="Arial"/>
          <w:szCs w:val="22"/>
          <w:lang w:val="en-US"/>
        </w:rPr>
        <w:lastRenderedPageBreak/>
        <w:t xml:space="preserve">mapped reads, PCR duplicates, and reads that mapped to mitochondrial DNA were removed using </w:t>
      </w:r>
      <w:proofErr w:type="spellStart"/>
      <w:r w:rsidRPr="00290FD5">
        <w:rPr>
          <w:rFonts w:cs="Arial"/>
          <w:szCs w:val="22"/>
          <w:lang w:val="en-US"/>
        </w:rPr>
        <w:t>BAMtools</w:t>
      </w:r>
      <w:proofErr w:type="spellEnd"/>
      <w:r w:rsidRPr="00290FD5">
        <w:rPr>
          <w:rFonts w:cs="Arial"/>
          <w:szCs w:val="22"/>
          <w:lang w:val="en-US"/>
        </w:rPr>
        <w:t xml:space="preserve">. Peaks were generated using MACS2 without building any shifting model. The resulting </w:t>
      </w:r>
      <w:proofErr w:type="spellStart"/>
      <w:r w:rsidRPr="00290FD5">
        <w:rPr>
          <w:rFonts w:cs="Arial"/>
          <w:szCs w:val="22"/>
          <w:lang w:val="en-US"/>
        </w:rPr>
        <w:t>bedgraphs</w:t>
      </w:r>
      <w:proofErr w:type="spellEnd"/>
      <w:r w:rsidRPr="00290FD5">
        <w:rPr>
          <w:rFonts w:cs="Arial"/>
          <w:szCs w:val="22"/>
          <w:lang w:val="en-US"/>
        </w:rPr>
        <w:t xml:space="preserve"> were used to generate bigwig files, which were used to visualize the peaks on the UCSC genome browser. Consensus peaks for each cell line and condition were defined by their presence in all three replicates. </w:t>
      </w:r>
      <w:proofErr w:type="spellStart"/>
      <w:r w:rsidRPr="00290FD5">
        <w:rPr>
          <w:rFonts w:cs="Arial"/>
          <w:szCs w:val="22"/>
          <w:lang w:val="en-US"/>
        </w:rPr>
        <w:t>Bedtools</w:t>
      </w:r>
      <w:proofErr w:type="spellEnd"/>
      <w:r w:rsidRPr="00290FD5">
        <w:rPr>
          <w:rFonts w:cs="Arial"/>
          <w:szCs w:val="22"/>
          <w:lang w:val="en-US"/>
        </w:rPr>
        <w:t xml:space="preserve"> v2.18 was employed to determine common and exclusive peaks between each condition. Heatmaps around TSS, insulators</w:t>
      </w:r>
      <w:r w:rsidR="00911A6A">
        <w:rPr>
          <w:rFonts w:cs="Arial"/>
          <w:szCs w:val="22"/>
          <w:lang w:val="en-US"/>
        </w:rPr>
        <w:t>,</w:t>
      </w:r>
      <w:r w:rsidRPr="00290FD5">
        <w:rPr>
          <w:rFonts w:cs="Arial"/>
          <w:szCs w:val="22"/>
          <w:lang w:val="en-US"/>
        </w:rPr>
        <w:t xml:space="preserve"> and enhancers were performed using the </w:t>
      </w:r>
      <w:proofErr w:type="spellStart"/>
      <w:r w:rsidRPr="00290FD5">
        <w:rPr>
          <w:rFonts w:cs="Arial"/>
          <w:szCs w:val="22"/>
          <w:lang w:val="en-US"/>
        </w:rPr>
        <w:t>computeMatrix</w:t>
      </w:r>
      <w:proofErr w:type="spellEnd"/>
      <w:r w:rsidRPr="00290FD5">
        <w:rPr>
          <w:rFonts w:cs="Arial"/>
          <w:szCs w:val="22"/>
          <w:lang w:val="en-US"/>
        </w:rPr>
        <w:t xml:space="preserve"> tool in Galaxy. NCBI </w:t>
      </w:r>
      <w:proofErr w:type="spellStart"/>
      <w:r w:rsidRPr="00290FD5">
        <w:rPr>
          <w:rFonts w:cs="Arial"/>
          <w:szCs w:val="22"/>
          <w:lang w:val="en-US"/>
        </w:rPr>
        <w:t>RefSeq</w:t>
      </w:r>
      <w:proofErr w:type="spellEnd"/>
      <w:r w:rsidRPr="00290FD5">
        <w:rPr>
          <w:rFonts w:cs="Arial"/>
          <w:szCs w:val="22"/>
          <w:lang w:val="en-US"/>
        </w:rPr>
        <w:t xml:space="preserve"> genes were considered for TSS regions. Insulator elements were defined as the intersection of CTCF and RAD21 </w:t>
      </w:r>
      <w:proofErr w:type="spellStart"/>
      <w:r w:rsidRPr="00290FD5">
        <w:rPr>
          <w:rFonts w:cs="Arial"/>
          <w:szCs w:val="22"/>
          <w:lang w:val="en-US"/>
        </w:rPr>
        <w:t>ChIP</w:t>
      </w:r>
      <w:proofErr w:type="spellEnd"/>
      <w:r w:rsidRPr="00290FD5">
        <w:rPr>
          <w:rFonts w:cs="Arial"/>
          <w:szCs w:val="22"/>
          <w:lang w:val="en-US"/>
        </w:rPr>
        <w:t xml:space="preserve">-seq peaks. The location of Enhancer elements was downloaded from </w:t>
      </w:r>
      <w:r w:rsidR="00911A6A">
        <w:rPr>
          <w:rFonts w:cs="Arial"/>
          <w:szCs w:val="22"/>
          <w:lang w:val="en-US"/>
        </w:rPr>
        <w:t xml:space="preserve">the </w:t>
      </w:r>
      <w:r w:rsidRPr="00290FD5">
        <w:rPr>
          <w:rFonts w:cs="Arial"/>
          <w:szCs w:val="22"/>
          <w:lang w:val="en-US"/>
        </w:rPr>
        <w:t>FANTOM5 website</w:t>
      </w:r>
      <w:r w:rsidRPr="00290FD5">
        <w:rPr>
          <w:rFonts w:cs="Arial"/>
          <w:szCs w:val="22"/>
          <w:lang w:val="en-US"/>
        </w:rPr>
        <w:fldChar w:fldCharType="begin"/>
      </w:r>
      <w:r>
        <w:rPr>
          <w:rFonts w:cs="Arial"/>
          <w:szCs w:val="22"/>
          <w:lang w:val="en-US"/>
        </w:rPr>
        <w:instrText xml:space="preserve"> ADDIN ZOTERO_ITEM CSL_CITATION {"citationID":"1iHmNP4W","properties":{"formattedCitation":"[5]","plainCitation":"[5]","noteIndex":0},"citationItems":[{"id":141,"uris":["http://zotero.org/users/local/wJqCUmpF/items/HJL7NCZ2"],"itemData":{"id":141,"type":"article-journal","abstract":"The FANTOM web resource (http://fantom.gsc.riken.jp/) was developed to provide easy access to the data produced by the FANTOM project. It contains the most complete and comprehensive sets of actively transcribed enhancers and promoters in the human and mouse genomes. We determined the transcription activities of these regulatory elements by CAGE (Cap Analysis of Gene Expression) for both steady and dynamic cellular states in all major and some rare cell types, consecutive stages of differentiation and responses to stimuli. We have expanded the resource by employing different assays, such as RNA-seq, short RNA-seq and a paired-end protocol for CAGE (CAGEscan), to provide new angles to study the transcriptome. That yielded additional atlases of long noncoding RNAs, miRNAs and their promoters. We have also expanded the CAGE analysis to cover rat, dog, chicken, and macaque species for a limited number of cell types. The CAGE data obtained from human and mouse were reprocessed to make them available on the latest genome assemblies. Here, we report the recent updates of both data and interfaces in the FANTOM web resource.","container-title":"Nucleic Acids Research","DOI":"10.1093/nar/gky1099","ISSN":"1362-4962","issue":"D1","journalAbbreviation":"Nucleic Acids Res","language":"eng","note":"PMID: 30407557\nPMCID: PMC6323950","page":"D752-D758","source":"PubMed","title":"Update of the FANTOM web resource: expansion to provide additional transcriptome atlases","title-short":"Update of the FANTOM web resource","volume":"47","author":[{"family":"Lizio","given":"Marina"},{"family":"Abugessaisa","given":"Imad"},{"family":"Noguchi","given":"Shuhei"},{"family":"Kondo","given":"Atsushi"},{"family":"Hasegawa","given":"Akira"},{"family":"Hon","given":"Chung Chau"},{"family":"Hoon","given":"Michiel","non-dropping-particle":"de"},{"family":"Severin","given":"Jessica"},{"family":"Oki","given":"Shinya"},{"family":"Hayashizaki","given":"Yoshihide"},{"family":"Carninci","given":"Piero"},{"family":"Kasukawa","given":"Takeya"},{"family":"Kawaji","given":"Hideya"}],"issued":{"date-parts":[["2019",1,8]]}}}],"schema":"https://github.com/citation-style-language/schema/raw/master/csl-citation.json"} </w:instrText>
      </w:r>
      <w:r w:rsidRPr="00290FD5">
        <w:rPr>
          <w:rFonts w:cs="Arial"/>
          <w:szCs w:val="22"/>
          <w:lang w:val="en-US"/>
        </w:rPr>
        <w:fldChar w:fldCharType="separate"/>
      </w:r>
      <w:r w:rsidR="00911A6A">
        <w:rPr>
          <w:rFonts w:eastAsia="Times New Roman" w:cs="Arial"/>
          <w:lang w:val="en-US"/>
        </w:rPr>
        <w:t xml:space="preserve"> [</w:t>
      </w:r>
      <w:r w:rsidRPr="00193892">
        <w:rPr>
          <w:rFonts w:eastAsia="Times New Roman" w:cs="Arial"/>
          <w:lang w:val="en-US"/>
        </w:rPr>
        <w:t>5]</w:t>
      </w:r>
      <w:r w:rsidRPr="00290FD5">
        <w:rPr>
          <w:rFonts w:cs="Arial"/>
          <w:szCs w:val="22"/>
          <w:lang w:val="en-US"/>
        </w:rPr>
        <w:fldChar w:fldCharType="end"/>
      </w:r>
      <w:r w:rsidRPr="00290FD5">
        <w:rPr>
          <w:rFonts w:cs="Arial"/>
          <w:szCs w:val="22"/>
          <w:lang w:val="en-US"/>
        </w:rPr>
        <w:t>.</w:t>
      </w:r>
    </w:p>
    <w:p w14:paraId="07546552" w14:textId="77777777" w:rsidR="00CC415C" w:rsidRPr="00290FD5" w:rsidRDefault="00CC415C" w:rsidP="00CC415C">
      <w:pPr>
        <w:spacing w:before="120" w:after="120" w:line="480" w:lineRule="auto"/>
        <w:contextualSpacing/>
        <w:jc w:val="both"/>
        <w:rPr>
          <w:rFonts w:cs="Arial"/>
          <w:szCs w:val="22"/>
          <w:lang w:val="en-US"/>
        </w:rPr>
      </w:pPr>
    </w:p>
    <w:p w14:paraId="4BBF9CE2" w14:textId="77777777" w:rsidR="00CC415C" w:rsidRPr="00290FD5" w:rsidRDefault="00CC415C" w:rsidP="00CC415C">
      <w:pPr>
        <w:spacing w:before="120" w:after="120" w:line="480" w:lineRule="auto"/>
        <w:contextualSpacing/>
        <w:jc w:val="both"/>
        <w:rPr>
          <w:rFonts w:cs="Arial"/>
          <w:szCs w:val="22"/>
          <w:lang w:val="en-US"/>
        </w:rPr>
      </w:pPr>
      <w:r w:rsidRPr="00290FD5">
        <w:rPr>
          <w:rFonts w:cs="Arial"/>
          <w:b/>
          <w:szCs w:val="22"/>
          <w:lang w:val="en-US"/>
        </w:rPr>
        <w:t xml:space="preserve">RNA expression analysis by RNA-seq. </w:t>
      </w:r>
      <w:r w:rsidRPr="00290FD5">
        <w:rPr>
          <w:rFonts w:cs="Arial"/>
          <w:szCs w:val="22"/>
          <w:lang w:val="en-US"/>
        </w:rPr>
        <w:t xml:space="preserve">Total RNA was purified using the EZNA Total RNA Kit I (Omega </w:t>
      </w:r>
      <w:proofErr w:type="spellStart"/>
      <w:r w:rsidRPr="00290FD5">
        <w:rPr>
          <w:rFonts w:cs="Arial"/>
          <w:szCs w:val="22"/>
          <w:lang w:val="en-US"/>
        </w:rPr>
        <w:t>Biotek</w:t>
      </w:r>
      <w:proofErr w:type="spellEnd"/>
      <w:r w:rsidRPr="00290FD5">
        <w:rPr>
          <w:rFonts w:cs="Arial"/>
          <w:szCs w:val="22"/>
          <w:lang w:val="en-US"/>
        </w:rPr>
        <w:t xml:space="preserve">). For qPCR, 1 </w:t>
      </w:r>
      <w:proofErr w:type="spellStart"/>
      <w:r w:rsidRPr="00290FD5">
        <w:rPr>
          <w:rFonts w:cs="Arial"/>
          <w:szCs w:val="22"/>
          <w:lang w:val="en-US"/>
        </w:rPr>
        <w:t>μg</w:t>
      </w:r>
      <w:proofErr w:type="spellEnd"/>
      <w:r w:rsidRPr="00290FD5">
        <w:rPr>
          <w:rFonts w:cs="Arial"/>
          <w:szCs w:val="22"/>
          <w:lang w:val="en-US"/>
        </w:rPr>
        <w:t xml:space="preserve"> of RNA was retrotranscribed using </w:t>
      </w:r>
      <w:proofErr w:type="spellStart"/>
      <w:r w:rsidRPr="00290FD5">
        <w:rPr>
          <w:rFonts w:cs="Arial"/>
          <w:szCs w:val="22"/>
          <w:lang w:val="en-US"/>
        </w:rPr>
        <w:t>SensiFAST</w:t>
      </w:r>
      <w:proofErr w:type="spellEnd"/>
      <w:r w:rsidRPr="00290FD5">
        <w:rPr>
          <w:rFonts w:cs="Arial"/>
          <w:szCs w:val="22"/>
          <w:lang w:val="en-US"/>
        </w:rPr>
        <w:t xml:space="preserve"> cDNA Synthesis Kit (</w:t>
      </w:r>
      <w:proofErr w:type="spellStart"/>
      <w:r w:rsidRPr="00290FD5">
        <w:rPr>
          <w:rFonts w:cs="Arial"/>
          <w:szCs w:val="22"/>
          <w:lang w:val="en-US"/>
        </w:rPr>
        <w:t>Bioline</w:t>
      </w:r>
      <w:proofErr w:type="spellEnd"/>
      <w:r w:rsidRPr="00290FD5">
        <w:rPr>
          <w:rFonts w:cs="Arial"/>
          <w:szCs w:val="22"/>
          <w:lang w:val="en-US"/>
        </w:rPr>
        <w:t xml:space="preserve">). qPCR reactions were performed using </w:t>
      </w:r>
      <w:proofErr w:type="spellStart"/>
      <w:r w:rsidRPr="00290FD5">
        <w:rPr>
          <w:rFonts w:cs="Arial"/>
          <w:szCs w:val="22"/>
          <w:lang w:val="en-US"/>
        </w:rPr>
        <w:t>PerfeCTa</w:t>
      </w:r>
      <w:proofErr w:type="spellEnd"/>
      <w:r w:rsidRPr="00290FD5">
        <w:rPr>
          <w:rFonts w:cs="Arial"/>
          <w:szCs w:val="22"/>
          <w:lang w:val="en-US"/>
        </w:rPr>
        <w:t xml:space="preserve"> qPCR </w:t>
      </w:r>
      <w:proofErr w:type="spellStart"/>
      <w:r w:rsidRPr="00290FD5">
        <w:rPr>
          <w:rFonts w:cs="Arial"/>
          <w:szCs w:val="22"/>
          <w:lang w:val="en-US"/>
        </w:rPr>
        <w:t>SuperMix</w:t>
      </w:r>
      <w:proofErr w:type="spellEnd"/>
      <w:r w:rsidRPr="00290FD5">
        <w:rPr>
          <w:rFonts w:cs="Arial"/>
          <w:szCs w:val="22"/>
          <w:lang w:val="en-US"/>
        </w:rPr>
        <w:t xml:space="preserve"> (</w:t>
      </w:r>
      <w:proofErr w:type="spellStart"/>
      <w:r w:rsidRPr="00290FD5">
        <w:rPr>
          <w:rFonts w:cs="Arial"/>
          <w:szCs w:val="22"/>
          <w:lang w:val="en-US"/>
        </w:rPr>
        <w:t>Quantabio</w:t>
      </w:r>
      <w:proofErr w:type="spellEnd"/>
      <w:r w:rsidRPr="00290FD5">
        <w:rPr>
          <w:rFonts w:cs="Arial"/>
          <w:szCs w:val="22"/>
          <w:lang w:val="en-US"/>
        </w:rPr>
        <w:t xml:space="preserve">) in a CFX96 Touch Real-Time PCR Detection System (Bio-Rad). Data were normalized using GAPDH as an endogenous control. qPCR primers are listed in </w:t>
      </w:r>
      <w:r w:rsidRPr="00290FD5">
        <w:rPr>
          <w:rFonts w:cs="Arial"/>
          <w:color w:val="C00000"/>
          <w:szCs w:val="22"/>
          <w:lang w:val="en-US"/>
        </w:rPr>
        <w:t xml:space="preserve">Table </w:t>
      </w:r>
      <w:r>
        <w:rPr>
          <w:rFonts w:cs="Arial"/>
          <w:color w:val="C00000"/>
          <w:szCs w:val="22"/>
          <w:lang w:val="en-US"/>
        </w:rPr>
        <w:t>S</w:t>
      </w:r>
      <w:r w:rsidRPr="00290FD5">
        <w:rPr>
          <w:rFonts w:cs="Arial"/>
          <w:color w:val="C00000"/>
          <w:szCs w:val="22"/>
          <w:lang w:val="en-US"/>
        </w:rPr>
        <w:t>1</w:t>
      </w:r>
      <w:r w:rsidRPr="00290FD5">
        <w:rPr>
          <w:rFonts w:cs="Arial"/>
          <w:szCs w:val="22"/>
          <w:lang w:val="en-US"/>
        </w:rPr>
        <w:t xml:space="preserve">. RNA-seq was performed for three independent replicates of the MDA-MB-231 WT and MDA-MB-231 IE8-disrupted cell lines at NIMGENETICS, Madrid. Briefly, RNA quality was controlled by RNA </w:t>
      </w:r>
      <w:proofErr w:type="spellStart"/>
      <w:r w:rsidRPr="00290FD5">
        <w:rPr>
          <w:rFonts w:cs="Arial"/>
          <w:szCs w:val="22"/>
          <w:lang w:val="en-US"/>
        </w:rPr>
        <w:t>ScreenTape</w:t>
      </w:r>
      <w:proofErr w:type="spellEnd"/>
      <w:r w:rsidRPr="00290FD5">
        <w:rPr>
          <w:rFonts w:cs="Arial"/>
          <w:szCs w:val="22"/>
          <w:lang w:val="en-US"/>
        </w:rPr>
        <w:t xml:space="preserve"> (Agilent). All samples showed an RNA Integrity Number (RIN) equal to 10. Libraries were prepared with </w:t>
      </w:r>
      <w:proofErr w:type="spellStart"/>
      <w:r w:rsidRPr="00290FD5">
        <w:rPr>
          <w:rFonts w:cs="Arial"/>
          <w:szCs w:val="22"/>
          <w:lang w:val="en-US"/>
        </w:rPr>
        <w:t>TruSeq</w:t>
      </w:r>
      <w:proofErr w:type="spellEnd"/>
      <w:r w:rsidRPr="00290FD5">
        <w:rPr>
          <w:rFonts w:cs="Arial"/>
          <w:szCs w:val="22"/>
          <w:lang w:val="en-US"/>
        </w:rPr>
        <w:t xml:space="preserve"> stranded mRNA kit (Illumina) and sequenced in paired-end mode with a read length of 2x100bp on a HiSeq2000 (Illumina) following the manufacturer’s protocol. An average of 50 million pairs of 100-bp paired-end read per sample was generated. After adapter trimming and quality score calculation, an average of 64 to 87 million reads was left on each sample. Table counts were processed using the DEseq2 package to identify differentially expressed genes (DEGs). Gene Ontology was performed using the </w:t>
      </w:r>
      <w:proofErr w:type="spellStart"/>
      <w:r w:rsidRPr="00290FD5">
        <w:rPr>
          <w:rFonts w:cs="Arial"/>
          <w:szCs w:val="22"/>
          <w:lang w:val="en-US"/>
        </w:rPr>
        <w:t>topGO</w:t>
      </w:r>
      <w:proofErr w:type="spellEnd"/>
      <w:r w:rsidRPr="00290FD5">
        <w:rPr>
          <w:rFonts w:cs="Arial"/>
          <w:szCs w:val="22"/>
          <w:lang w:val="en-US"/>
        </w:rPr>
        <w:t xml:space="preserve"> R package. DEGs were also used to calculate the local enrichment of expression changes, comparing DEGs 1MB around IE8, the entire chromosome 11 (chr11), </w:t>
      </w:r>
      <w:r w:rsidRPr="00290FD5">
        <w:rPr>
          <w:rFonts w:cs="Arial"/>
          <w:szCs w:val="22"/>
          <w:lang w:val="en-US"/>
        </w:rPr>
        <w:lastRenderedPageBreak/>
        <w:t>and the entire genome. The representation factor was assessed through a hypergeometric test.</w:t>
      </w:r>
    </w:p>
    <w:p w14:paraId="10F25662" w14:textId="77777777" w:rsidR="00CC415C" w:rsidRPr="00290FD5" w:rsidRDefault="00CC415C" w:rsidP="00CC415C">
      <w:pPr>
        <w:spacing w:beforeLines="120" w:before="288" w:afterLines="120" w:after="288" w:line="480" w:lineRule="auto"/>
        <w:contextualSpacing/>
        <w:jc w:val="both"/>
        <w:rPr>
          <w:rFonts w:cs="Arial"/>
          <w:szCs w:val="22"/>
          <w:lang w:val="en-US"/>
        </w:rPr>
      </w:pPr>
    </w:p>
    <w:p w14:paraId="3BE89DA2" w14:textId="77777777" w:rsidR="00CC415C" w:rsidRPr="00290FD5" w:rsidRDefault="00CC415C" w:rsidP="00CC415C">
      <w:pPr>
        <w:spacing w:beforeLines="120" w:before="288" w:afterLines="120" w:after="288" w:line="480" w:lineRule="auto"/>
        <w:contextualSpacing/>
        <w:jc w:val="both"/>
        <w:rPr>
          <w:rFonts w:cs="Arial"/>
          <w:szCs w:val="22"/>
          <w:lang w:val="en-US"/>
        </w:rPr>
      </w:pPr>
      <w:r w:rsidRPr="00290FD5">
        <w:rPr>
          <w:rFonts w:cs="Arial"/>
          <w:b/>
          <w:szCs w:val="22"/>
          <w:lang w:val="en-US"/>
        </w:rPr>
        <w:t>MMP1 protein level determination.</w:t>
      </w:r>
      <w:r w:rsidRPr="00290FD5">
        <w:rPr>
          <w:rFonts w:cs="Arial"/>
          <w:szCs w:val="22"/>
          <w:lang w:val="en-US"/>
        </w:rPr>
        <w:t xml:space="preserve"> Free Pro-MMP1 was determined using the Human Pro-MMP1 </w:t>
      </w:r>
      <w:proofErr w:type="spellStart"/>
      <w:r w:rsidRPr="00290FD5">
        <w:rPr>
          <w:rFonts w:cs="Arial"/>
          <w:szCs w:val="22"/>
          <w:lang w:val="en-US"/>
        </w:rPr>
        <w:t>Quantikine</w:t>
      </w:r>
      <w:proofErr w:type="spellEnd"/>
      <w:r w:rsidRPr="00290FD5">
        <w:rPr>
          <w:rFonts w:cs="Arial"/>
          <w:szCs w:val="22"/>
          <w:lang w:val="en-US"/>
        </w:rPr>
        <w:t xml:space="preserve"> ELISA Kit (DMP100, R&amp;D) using </w:t>
      </w:r>
      <w:proofErr w:type="spellStart"/>
      <w:r w:rsidRPr="00290FD5">
        <w:rPr>
          <w:rFonts w:cs="Arial"/>
          <w:szCs w:val="22"/>
          <w:lang w:val="en-US"/>
        </w:rPr>
        <w:t>Quantikine</w:t>
      </w:r>
      <w:proofErr w:type="spellEnd"/>
      <w:r w:rsidRPr="00290FD5">
        <w:rPr>
          <w:rFonts w:cs="Arial"/>
          <w:szCs w:val="22"/>
          <w:lang w:val="en-US"/>
        </w:rPr>
        <w:t xml:space="preserve"> Immunoassay Control Set 656 for Human Pro-MMP-1 as an internal control (QC125, R&amp;D). The optical density values were interpolated to a standard curve to calculate the corresponding concentration of the unknown samples.</w:t>
      </w:r>
    </w:p>
    <w:p w14:paraId="65F413E2" w14:textId="77777777" w:rsidR="00CC415C" w:rsidRPr="00290FD5" w:rsidRDefault="00CC415C" w:rsidP="00CC415C">
      <w:pPr>
        <w:spacing w:before="120" w:after="120" w:line="480" w:lineRule="auto"/>
        <w:contextualSpacing/>
        <w:jc w:val="both"/>
        <w:rPr>
          <w:rFonts w:cs="Arial"/>
          <w:szCs w:val="22"/>
          <w:lang w:val="en-US"/>
        </w:rPr>
      </w:pPr>
    </w:p>
    <w:p w14:paraId="5FABC29B" w14:textId="77777777" w:rsidR="00CC415C" w:rsidRPr="00290FD5" w:rsidRDefault="00CC415C" w:rsidP="00CC415C">
      <w:pPr>
        <w:spacing w:before="120" w:after="120" w:line="480" w:lineRule="auto"/>
        <w:contextualSpacing/>
        <w:jc w:val="both"/>
        <w:rPr>
          <w:rFonts w:cs="Arial"/>
          <w:b/>
          <w:szCs w:val="22"/>
          <w:lang w:val="en-US"/>
        </w:rPr>
      </w:pPr>
      <w:r w:rsidRPr="00290FD5">
        <w:rPr>
          <w:rFonts w:cs="Arial"/>
          <w:b/>
          <w:szCs w:val="22"/>
          <w:lang w:val="en-US"/>
        </w:rPr>
        <w:t xml:space="preserve">Cell proliferation. </w:t>
      </w:r>
      <w:r w:rsidRPr="00290FD5">
        <w:rPr>
          <w:rFonts w:cs="Arial"/>
          <w:szCs w:val="22"/>
          <w:lang w:val="en-US"/>
        </w:rPr>
        <w:t xml:space="preserve">Cell viability was assessed by the </w:t>
      </w:r>
      <w:proofErr w:type="spellStart"/>
      <w:r w:rsidRPr="00290FD5">
        <w:rPr>
          <w:rFonts w:cs="Arial"/>
          <w:szCs w:val="22"/>
          <w:lang w:val="en-US"/>
        </w:rPr>
        <w:t>Celltiter</w:t>
      </w:r>
      <w:proofErr w:type="spellEnd"/>
      <w:r w:rsidRPr="00290FD5">
        <w:rPr>
          <w:rFonts w:cs="Arial"/>
          <w:szCs w:val="22"/>
          <w:lang w:val="en-US"/>
        </w:rPr>
        <w:t xml:space="preserve">-GLO® assay (Promega). 1,000 cells/well were seeded in 96-well white opaque plates. Cell viability was assessed by adding 25uL of </w:t>
      </w:r>
      <w:proofErr w:type="spellStart"/>
      <w:r w:rsidRPr="00290FD5">
        <w:rPr>
          <w:rFonts w:cs="Arial"/>
          <w:szCs w:val="22"/>
          <w:lang w:val="en-US"/>
        </w:rPr>
        <w:t>Celltiter</w:t>
      </w:r>
      <w:proofErr w:type="spellEnd"/>
      <w:r w:rsidRPr="00290FD5">
        <w:rPr>
          <w:rFonts w:cs="Arial"/>
          <w:szCs w:val="22"/>
          <w:lang w:val="en-US"/>
        </w:rPr>
        <w:t xml:space="preserve"> reconstituted reagent on each well and measuring luminescence using microplate reader Synergy H1(</w:t>
      </w:r>
      <w:proofErr w:type="spellStart"/>
      <w:r w:rsidRPr="00290FD5">
        <w:rPr>
          <w:rFonts w:cs="Arial"/>
          <w:szCs w:val="22"/>
          <w:lang w:val="en-US"/>
        </w:rPr>
        <w:t>Biotek</w:t>
      </w:r>
      <w:proofErr w:type="spellEnd"/>
      <w:r w:rsidRPr="00290FD5">
        <w:rPr>
          <w:rFonts w:cs="Arial"/>
          <w:szCs w:val="22"/>
          <w:lang w:val="en-US"/>
        </w:rPr>
        <w:t>). Luminescence signals were normalized to time zero for each cell line and condition.</w:t>
      </w:r>
    </w:p>
    <w:p w14:paraId="5B5597AA" w14:textId="77777777" w:rsidR="00CC415C" w:rsidRPr="00290FD5" w:rsidRDefault="00CC415C" w:rsidP="00CC415C">
      <w:pPr>
        <w:spacing w:before="120" w:after="120" w:line="480" w:lineRule="auto"/>
        <w:contextualSpacing/>
        <w:jc w:val="both"/>
        <w:rPr>
          <w:rFonts w:cs="Arial"/>
          <w:szCs w:val="22"/>
          <w:lang w:val="en-US"/>
        </w:rPr>
      </w:pPr>
    </w:p>
    <w:p w14:paraId="7DA8290C" w14:textId="77777777" w:rsidR="00CC415C" w:rsidRPr="00290FD5" w:rsidRDefault="00CC415C" w:rsidP="00CC415C">
      <w:pPr>
        <w:spacing w:before="120" w:after="120" w:line="480" w:lineRule="auto"/>
        <w:contextualSpacing/>
        <w:jc w:val="both"/>
        <w:rPr>
          <w:rFonts w:cs="Arial"/>
          <w:szCs w:val="22"/>
          <w:lang w:val="en-US"/>
        </w:rPr>
      </w:pPr>
      <w:r w:rsidRPr="00290FD5">
        <w:rPr>
          <w:rFonts w:cs="Arial"/>
          <w:b/>
          <w:szCs w:val="22"/>
          <w:lang w:val="en-US"/>
        </w:rPr>
        <w:t xml:space="preserve">Colony formation assay. </w:t>
      </w:r>
      <w:r w:rsidRPr="00290FD5">
        <w:rPr>
          <w:rFonts w:cs="Arial"/>
          <w:szCs w:val="22"/>
          <w:lang w:val="en-US"/>
        </w:rPr>
        <w:t>200 cells per well were seeded in 6-well plates and incubated at 37ºC and 5% CO</w:t>
      </w:r>
      <w:r w:rsidRPr="00290FD5">
        <w:rPr>
          <w:rFonts w:cs="Arial"/>
          <w:szCs w:val="22"/>
          <w:vertAlign w:val="subscript"/>
          <w:lang w:val="en-US"/>
        </w:rPr>
        <w:t>2</w:t>
      </w:r>
      <w:r w:rsidRPr="00290FD5">
        <w:rPr>
          <w:rFonts w:cs="Arial"/>
          <w:szCs w:val="22"/>
          <w:lang w:val="en-US"/>
        </w:rPr>
        <w:t xml:space="preserve"> for 10 days. After incubation, colonies were fixed using 4% formaldehyde for 10 minutes and stained with 1% crystal violet for 1h. Wells were washed using PBS twice. After drying overnight, colonies were manually counted. Images were taken using iPhone 10.</w:t>
      </w:r>
    </w:p>
    <w:p w14:paraId="373BBED3" w14:textId="77777777" w:rsidR="00CC415C" w:rsidRPr="00290FD5" w:rsidRDefault="00CC415C" w:rsidP="00CC415C">
      <w:pPr>
        <w:spacing w:before="120" w:after="120" w:line="480" w:lineRule="auto"/>
        <w:contextualSpacing/>
        <w:jc w:val="both"/>
        <w:rPr>
          <w:rFonts w:cs="Arial"/>
          <w:b/>
          <w:szCs w:val="22"/>
          <w:lang w:val="en-US"/>
        </w:rPr>
      </w:pPr>
    </w:p>
    <w:p w14:paraId="0A147C19" w14:textId="77777777" w:rsidR="00CC415C" w:rsidRPr="00290FD5" w:rsidRDefault="00CC415C" w:rsidP="00CC415C">
      <w:pPr>
        <w:spacing w:before="120" w:after="120" w:line="480" w:lineRule="auto"/>
        <w:contextualSpacing/>
        <w:jc w:val="both"/>
        <w:rPr>
          <w:rFonts w:cs="Arial"/>
          <w:szCs w:val="22"/>
          <w:lang w:val="en-US"/>
        </w:rPr>
      </w:pPr>
      <w:r w:rsidRPr="00290FD5">
        <w:rPr>
          <w:rFonts w:cs="Arial"/>
          <w:b/>
          <w:szCs w:val="22"/>
          <w:lang w:val="en-US"/>
        </w:rPr>
        <w:t>Wound healing assay.</w:t>
      </w:r>
      <w:r w:rsidRPr="00290FD5">
        <w:rPr>
          <w:rFonts w:cs="Arial"/>
          <w:szCs w:val="22"/>
          <w:lang w:val="en-US"/>
        </w:rPr>
        <w:t xml:space="preserve"> A longitudinal line was drawn on each well of 6-well plates before seeding 500,000 cells/well. Cells were incubated at 37ºC and 5% CO</w:t>
      </w:r>
      <w:r w:rsidRPr="00290FD5">
        <w:rPr>
          <w:rFonts w:cs="Arial"/>
          <w:szCs w:val="22"/>
          <w:vertAlign w:val="subscript"/>
          <w:lang w:val="en-US"/>
        </w:rPr>
        <w:t>2</w:t>
      </w:r>
      <w:r w:rsidRPr="00290FD5">
        <w:rPr>
          <w:rFonts w:cs="Arial"/>
          <w:szCs w:val="22"/>
          <w:lang w:val="en-US"/>
        </w:rPr>
        <w:t xml:space="preserve">. Vertical scratch wounds were performed using 200uL pipette tips once the cells reached 95% confluence. Then, wells were gently washed with PBS and continuously cultured until the wound was completely closed. Images were taken at different time points using </w:t>
      </w:r>
      <w:proofErr w:type="spellStart"/>
      <w:r w:rsidRPr="00290FD5">
        <w:rPr>
          <w:rFonts w:cs="Arial"/>
          <w:szCs w:val="22"/>
          <w:lang w:val="en-US"/>
        </w:rPr>
        <w:t>Axio</w:t>
      </w:r>
      <w:proofErr w:type="spellEnd"/>
      <w:r w:rsidRPr="00290FD5">
        <w:rPr>
          <w:rFonts w:cs="Arial"/>
          <w:szCs w:val="22"/>
          <w:lang w:val="en-US"/>
        </w:rPr>
        <w:t xml:space="preserve"> Vert.A1 inverted microscope (Zeiss). Then, images were processed using the ImageJ </w:t>
      </w:r>
      <w:proofErr w:type="spellStart"/>
      <w:r w:rsidRPr="00290FD5">
        <w:rPr>
          <w:rFonts w:cs="Arial"/>
          <w:i/>
          <w:szCs w:val="22"/>
          <w:lang w:val="en-US"/>
        </w:rPr>
        <w:t>Wound_healing_size_tool</w:t>
      </w:r>
      <w:proofErr w:type="spellEnd"/>
      <w:r w:rsidRPr="00290FD5">
        <w:rPr>
          <w:rFonts w:cs="Arial"/>
          <w:szCs w:val="22"/>
          <w:lang w:val="en-US"/>
        </w:rPr>
        <w:t xml:space="preserve"> plugin. Area calculations were performed following the plugin author’s guidelines.</w:t>
      </w:r>
    </w:p>
    <w:p w14:paraId="4EE97D95" w14:textId="77777777" w:rsidR="00CC415C" w:rsidRPr="00290FD5" w:rsidRDefault="00CC415C" w:rsidP="00CC415C">
      <w:pPr>
        <w:spacing w:before="120" w:after="120" w:line="480" w:lineRule="auto"/>
        <w:contextualSpacing/>
        <w:jc w:val="both"/>
        <w:rPr>
          <w:rFonts w:cs="Arial"/>
          <w:szCs w:val="22"/>
          <w:lang w:val="en-US"/>
        </w:rPr>
      </w:pPr>
    </w:p>
    <w:p w14:paraId="6E83A74D" w14:textId="77777777" w:rsidR="00CC415C" w:rsidRPr="00290FD5" w:rsidRDefault="00CC415C" w:rsidP="00CC415C">
      <w:pPr>
        <w:spacing w:before="120" w:after="120" w:line="480" w:lineRule="auto"/>
        <w:contextualSpacing/>
        <w:jc w:val="both"/>
        <w:rPr>
          <w:rFonts w:cs="Arial"/>
          <w:szCs w:val="22"/>
          <w:lang w:val="en-US"/>
        </w:rPr>
      </w:pPr>
      <w:r w:rsidRPr="00290FD5">
        <w:rPr>
          <w:rFonts w:cs="Arial"/>
          <w:b/>
          <w:szCs w:val="22"/>
          <w:lang w:val="en-US"/>
        </w:rPr>
        <w:t>Spheroid invasion assay.</w:t>
      </w:r>
      <w:r w:rsidRPr="00290FD5">
        <w:rPr>
          <w:rFonts w:cs="Arial"/>
          <w:szCs w:val="22"/>
          <w:lang w:val="en-US"/>
        </w:rPr>
        <w:t xml:space="preserve"> 5,000 cells for each cell type and condition were seeded into low attachment </w:t>
      </w:r>
      <w:proofErr w:type="spellStart"/>
      <w:r w:rsidRPr="00290FD5">
        <w:rPr>
          <w:rFonts w:cs="Arial"/>
          <w:szCs w:val="22"/>
          <w:lang w:val="en-US"/>
        </w:rPr>
        <w:t>Biofloat</w:t>
      </w:r>
      <w:proofErr w:type="spellEnd"/>
      <w:r w:rsidRPr="00290FD5">
        <w:rPr>
          <w:rFonts w:cs="Arial"/>
          <w:szCs w:val="22"/>
          <w:lang w:val="en-US"/>
        </w:rPr>
        <w:t xml:space="preserve"> 96-well plates (</w:t>
      </w:r>
      <w:proofErr w:type="spellStart"/>
      <w:r w:rsidRPr="00290FD5">
        <w:rPr>
          <w:rFonts w:cs="Arial"/>
          <w:szCs w:val="22"/>
          <w:lang w:val="en-US"/>
        </w:rPr>
        <w:t>faCellitate</w:t>
      </w:r>
      <w:proofErr w:type="spellEnd"/>
      <w:r w:rsidRPr="00290FD5">
        <w:rPr>
          <w:rFonts w:cs="Arial"/>
          <w:szCs w:val="22"/>
          <w:lang w:val="en-US"/>
        </w:rPr>
        <w:t>, Mannheim). Cells were incubated for 72h at 37ºC and 5% CO</w:t>
      </w:r>
      <w:r w:rsidRPr="00290FD5">
        <w:rPr>
          <w:rFonts w:cs="Arial"/>
          <w:szCs w:val="22"/>
          <w:vertAlign w:val="subscript"/>
          <w:lang w:val="en-US"/>
        </w:rPr>
        <w:t>2</w:t>
      </w:r>
      <w:r w:rsidRPr="00290FD5">
        <w:rPr>
          <w:rFonts w:cs="Arial"/>
          <w:szCs w:val="22"/>
          <w:lang w:val="en-US"/>
        </w:rPr>
        <w:t xml:space="preserve"> for spheroid formation. Then, cells were embedded in a mixture of cold 8mg/ml EBM (</w:t>
      </w:r>
      <w:proofErr w:type="spellStart"/>
      <w:r w:rsidRPr="00290FD5">
        <w:rPr>
          <w:rFonts w:cs="Arial"/>
          <w:szCs w:val="22"/>
          <w:lang w:val="en-US"/>
        </w:rPr>
        <w:t>Thermofisher</w:t>
      </w:r>
      <w:proofErr w:type="spellEnd"/>
      <w:r w:rsidRPr="00290FD5">
        <w:rPr>
          <w:rFonts w:cs="Arial"/>
          <w:szCs w:val="22"/>
          <w:lang w:val="en-US"/>
        </w:rPr>
        <w:t>) and 250ug/ml of rat collagen I (</w:t>
      </w:r>
      <w:proofErr w:type="spellStart"/>
      <w:r w:rsidRPr="00290FD5">
        <w:rPr>
          <w:rFonts w:cs="Arial"/>
          <w:szCs w:val="22"/>
          <w:lang w:val="en-US"/>
        </w:rPr>
        <w:t>Thermofisher</w:t>
      </w:r>
      <w:proofErr w:type="spellEnd"/>
      <w:r w:rsidRPr="00290FD5">
        <w:rPr>
          <w:rFonts w:cs="Arial"/>
          <w:szCs w:val="22"/>
          <w:lang w:val="en-US"/>
        </w:rPr>
        <w:t xml:space="preserve">), which was loaded into each well while the plate was placed on ice. The plate was centrifuged at 200 x g for 2min and </w:t>
      </w:r>
      <w:proofErr w:type="spellStart"/>
      <w:r w:rsidRPr="00290FD5">
        <w:rPr>
          <w:rFonts w:cs="Arial"/>
          <w:szCs w:val="22"/>
          <w:lang w:val="en-US"/>
        </w:rPr>
        <w:t>reincubated</w:t>
      </w:r>
      <w:proofErr w:type="spellEnd"/>
      <w:r w:rsidRPr="00290FD5">
        <w:rPr>
          <w:rFonts w:cs="Arial"/>
          <w:szCs w:val="22"/>
          <w:lang w:val="en-US"/>
        </w:rPr>
        <w:t xml:space="preserve"> at 37°C and 5% CO2 for one hour. Subsequently, 100uL of RPMI complete media was added to the top of the matrix mixture. Plates were incubated for 10 days. Images of spheroids were taken with </w:t>
      </w:r>
      <w:proofErr w:type="spellStart"/>
      <w:r w:rsidRPr="00290FD5">
        <w:rPr>
          <w:rFonts w:cs="Arial"/>
          <w:szCs w:val="22"/>
          <w:lang w:val="en-US"/>
        </w:rPr>
        <w:t>Axio</w:t>
      </w:r>
      <w:proofErr w:type="spellEnd"/>
      <w:r w:rsidRPr="00290FD5">
        <w:rPr>
          <w:rFonts w:cs="Arial"/>
          <w:szCs w:val="22"/>
          <w:lang w:val="en-US"/>
        </w:rPr>
        <w:t xml:space="preserve"> Vert.A1 microscope (Zeiss) to evaluate the extent of spheroid proliferation and invasion. Spheroids were analyzed using Fiji. Spheroid volume was calculated from the area, which was first determined by combining the threshold, magic wand, and measurement tools.</w:t>
      </w:r>
    </w:p>
    <w:p w14:paraId="4BB61D92" w14:textId="77777777" w:rsidR="00CC415C" w:rsidRPr="00290FD5" w:rsidRDefault="00CC415C" w:rsidP="00CC415C">
      <w:pPr>
        <w:spacing w:before="120" w:after="120" w:line="480" w:lineRule="auto"/>
        <w:contextualSpacing/>
        <w:jc w:val="both"/>
        <w:rPr>
          <w:rFonts w:cs="Arial"/>
          <w:szCs w:val="22"/>
          <w:lang w:val="en-US"/>
        </w:rPr>
      </w:pPr>
    </w:p>
    <w:p w14:paraId="13AC0D28" w14:textId="77777777" w:rsidR="00CC415C" w:rsidRDefault="00CC415C" w:rsidP="00193892">
      <w:pPr>
        <w:pStyle w:val="Bibliography1"/>
        <w:spacing w:line="480" w:lineRule="auto"/>
      </w:pPr>
      <w:r w:rsidRPr="00290FD5">
        <w:rPr>
          <w:b/>
          <w:bCs/>
        </w:rPr>
        <w:t>Collagen-based cell invasion assay.</w:t>
      </w:r>
      <w:r w:rsidRPr="00290FD5">
        <w:t xml:space="preserve"> Cells were incubated for 18h in serum-free media. Cells were seeded in QCM-24-well collagen-based cell invasion assay (ECM551, Merck). The assay was performed following the manufacturer’s guidelines. Briefly, 300uL of pre-warmed serum-free media was added to the chamber inserts, which were deposited on 24-well plates. Inserts were incubated to rehydrate the collagen layer for 30 min at 37ºC and 5% CO</w:t>
      </w:r>
      <w:r w:rsidRPr="00290FD5">
        <w:rPr>
          <w:vertAlign w:val="subscript"/>
        </w:rPr>
        <w:t>2</w:t>
      </w:r>
      <w:r w:rsidRPr="00290FD5">
        <w:t>. Then, 250uL of media was replaced by 250uL of cell suspension in serum-free media containing 100,000 cells. Complete media was added to the lower chamber to act as a chemoattractant. The plate was incubated for 48h at 37ºC and 5% CO</w:t>
      </w:r>
      <w:r w:rsidRPr="00290FD5">
        <w:rPr>
          <w:vertAlign w:val="subscript"/>
        </w:rPr>
        <w:t xml:space="preserve">2 </w:t>
      </w:r>
      <w:r w:rsidRPr="00290FD5">
        <w:t>to allow cell invasion. Inserts were stained for 20 min and washed following the kit instructions. Cell staining was quantified using extraction buffer followed by optical density determination through microplate reader Synergy H1 (</w:t>
      </w:r>
      <w:proofErr w:type="spellStart"/>
      <w:r w:rsidRPr="00290FD5">
        <w:t>Biotek</w:t>
      </w:r>
      <w:proofErr w:type="spellEnd"/>
      <w:r w:rsidRPr="00290FD5">
        <w:t>). Cell invasion index was norm</w:t>
      </w:r>
      <w:r>
        <w:t>alized to MDA-MB-231 WT signal.</w:t>
      </w:r>
    </w:p>
    <w:p w14:paraId="400A7FA7" w14:textId="77777777" w:rsidR="00193892" w:rsidRDefault="00193892">
      <w:pPr>
        <w:rPr>
          <w:rFonts w:cs="Arial"/>
          <w:b/>
          <w:bCs/>
          <w:szCs w:val="22"/>
          <w:lang w:val="en-US"/>
        </w:rPr>
      </w:pPr>
      <w:r>
        <w:rPr>
          <w:b/>
          <w:bCs/>
        </w:rPr>
        <w:br w:type="page"/>
      </w:r>
    </w:p>
    <w:p w14:paraId="06063D72" w14:textId="33DF36D1" w:rsidR="00CC415C" w:rsidRPr="00193892" w:rsidRDefault="00193892" w:rsidP="00CC415C">
      <w:pPr>
        <w:pStyle w:val="Bibliography1"/>
        <w:rPr>
          <w:b/>
          <w:bCs/>
        </w:rPr>
      </w:pPr>
      <w:r w:rsidRPr="00193892">
        <w:rPr>
          <w:b/>
          <w:bCs/>
        </w:rPr>
        <w:lastRenderedPageBreak/>
        <w:t xml:space="preserve">Extended methods - </w:t>
      </w:r>
      <w:r w:rsidR="00911A6A">
        <w:rPr>
          <w:b/>
          <w:bCs/>
        </w:rPr>
        <w:t>references</w:t>
      </w:r>
    </w:p>
    <w:p w14:paraId="510CEB7C" w14:textId="77777777" w:rsidR="00193892" w:rsidRDefault="00193892" w:rsidP="00CC415C">
      <w:pPr>
        <w:pStyle w:val="Bibliography1"/>
      </w:pPr>
    </w:p>
    <w:p w14:paraId="6047EF50" w14:textId="4A817E0A" w:rsidR="00CC415C" w:rsidRPr="00CC415C" w:rsidRDefault="00CC415C" w:rsidP="00193892">
      <w:pPr>
        <w:pStyle w:val="Bibliography1"/>
        <w:spacing w:line="360" w:lineRule="auto"/>
        <w:rPr>
          <w:rFonts w:eastAsia="Times New Roman"/>
        </w:rPr>
      </w:pPr>
      <w:r>
        <w:fldChar w:fldCharType="begin"/>
      </w:r>
      <w:r>
        <w:instrText xml:space="preserve"> ADDIN ZOTERO_BIBL {"uncited":[],"omitted":[],"custom":[]} CSL_BIBLIOGRAPHY </w:instrText>
      </w:r>
      <w:r>
        <w:fldChar w:fldCharType="separate"/>
      </w:r>
      <w:r w:rsidRPr="00CC415C">
        <w:rPr>
          <w:rFonts w:eastAsia="Times New Roman"/>
        </w:rPr>
        <w:t xml:space="preserve">1. Labun K, Montague TG, Krause M, Cleuren YNT, Tjeldnes H, Valen E. CHOPCHOP v3: expanding the CRISPR web toolbox beyond genome editing. Nucleic Acids Res. Oxford University Press; 2019;47:W171–4. </w:t>
      </w:r>
    </w:p>
    <w:p w14:paraId="7BC18836" w14:textId="77777777" w:rsidR="00CC415C" w:rsidRDefault="00CC415C" w:rsidP="00193892">
      <w:pPr>
        <w:pStyle w:val="Bibliography1"/>
        <w:spacing w:line="360" w:lineRule="auto"/>
        <w:rPr>
          <w:rFonts w:eastAsia="Times New Roman"/>
        </w:rPr>
      </w:pPr>
    </w:p>
    <w:p w14:paraId="42B4BF1B" w14:textId="77777777" w:rsidR="00CC415C" w:rsidRPr="00CC415C" w:rsidRDefault="00CC415C" w:rsidP="00193892">
      <w:pPr>
        <w:pStyle w:val="Bibliography1"/>
        <w:spacing w:line="360" w:lineRule="auto"/>
        <w:rPr>
          <w:rFonts w:eastAsia="Times New Roman"/>
        </w:rPr>
      </w:pPr>
      <w:r w:rsidRPr="00CC415C">
        <w:rPr>
          <w:rFonts w:eastAsia="Times New Roman"/>
        </w:rPr>
        <w:t xml:space="preserve">2. Ran FA, Hsu PD, Wright J, Agarwala V, Scott DA, Zhang F. Genome engineering using the CRISPR-Cas9 system. Nat Protoc. 2013;8:2281–308. </w:t>
      </w:r>
    </w:p>
    <w:p w14:paraId="264CA857" w14:textId="77777777" w:rsidR="00CC415C" w:rsidRDefault="00CC415C" w:rsidP="00193892">
      <w:pPr>
        <w:pStyle w:val="Bibliography1"/>
        <w:spacing w:line="360" w:lineRule="auto"/>
        <w:rPr>
          <w:rFonts w:eastAsia="Times New Roman"/>
        </w:rPr>
      </w:pPr>
    </w:p>
    <w:p w14:paraId="2B144FFE" w14:textId="16A0467B" w:rsidR="00CC415C" w:rsidRPr="00CC415C" w:rsidRDefault="00CC415C" w:rsidP="00193892">
      <w:pPr>
        <w:pStyle w:val="Bibliography1"/>
        <w:spacing w:line="360" w:lineRule="auto"/>
        <w:rPr>
          <w:rFonts w:eastAsia="Times New Roman"/>
        </w:rPr>
      </w:pPr>
      <w:r w:rsidRPr="00CC415C">
        <w:rPr>
          <w:rFonts w:eastAsia="Times New Roman"/>
        </w:rPr>
        <w:t>3. Corces MR, Trevino AE, Hamilton EG, Greenside PG, Sinnott-Armstrong NA, Vesuna S, et al. An improved ATAC-seq protocol reduces background and enables interrogation of frozen tissues. Nat Methods</w:t>
      </w:r>
      <w:r w:rsidR="00911A6A">
        <w:rPr>
          <w:rFonts w:eastAsia="Times New Roman"/>
        </w:rPr>
        <w:t xml:space="preserve"> [</w:t>
      </w:r>
      <w:r w:rsidRPr="00CC415C">
        <w:rPr>
          <w:rFonts w:eastAsia="Times New Roman"/>
        </w:rPr>
        <w:t>Internet]. Nature Publishing Group; 2017</w:t>
      </w:r>
      <w:r w:rsidR="00911A6A">
        <w:rPr>
          <w:rFonts w:eastAsia="Times New Roman"/>
        </w:rPr>
        <w:t xml:space="preserve"> [</w:t>
      </w:r>
      <w:r w:rsidRPr="00CC415C">
        <w:rPr>
          <w:rFonts w:eastAsia="Times New Roman"/>
        </w:rPr>
        <w:t>cited 2023 Mar 8</w:t>
      </w:r>
      <w:proofErr w:type="gramStart"/>
      <w:r w:rsidRPr="00CC415C">
        <w:rPr>
          <w:rFonts w:eastAsia="Times New Roman"/>
        </w:rPr>
        <w:t>];14:959</w:t>
      </w:r>
      <w:proofErr w:type="gramEnd"/>
      <w:r w:rsidRPr="00CC415C">
        <w:rPr>
          <w:rFonts w:eastAsia="Times New Roman"/>
        </w:rPr>
        <w:t>–62. Available from: https://www.nature.com/articles/nmeth.4396</w:t>
      </w:r>
    </w:p>
    <w:p w14:paraId="28E6662E" w14:textId="77777777" w:rsidR="00CC415C" w:rsidRDefault="00CC415C" w:rsidP="00193892">
      <w:pPr>
        <w:pStyle w:val="Bibliography1"/>
        <w:spacing w:line="360" w:lineRule="auto"/>
        <w:rPr>
          <w:rFonts w:eastAsia="Times New Roman"/>
        </w:rPr>
      </w:pPr>
    </w:p>
    <w:p w14:paraId="454D8D4D" w14:textId="27BE221B" w:rsidR="00CC415C" w:rsidRPr="00CC415C" w:rsidRDefault="00CC415C" w:rsidP="00193892">
      <w:pPr>
        <w:pStyle w:val="Bibliography1"/>
        <w:spacing w:line="360" w:lineRule="auto"/>
        <w:rPr>
          <w:rFonts w:eastAsia="Times New Roman"/>
        </w:rPr>
      </w:pPr>
      <w:r w:rsidRPr="00CC415C">
        <w:rPr>
          <w:rFonts w:eastAsia="Times New Roman"/>
        </w:rPr>
        <w:t>4. Delisle L, Doyle M, Heyl F. ATAC-Seq data analysis (Galaxy Training Materials)</w:t>
      </w:r>
      <w:r w:rsidR="00911A6A">
        <w:rPr>
          <w:rFonts w:eastAsia="Times New Roman"/>
        </w:rPr>
        <w:t xml:space="preserve"> [</w:t>
      </w:r>
      <w:r w:rsidRPr="00CC415C">
        <w:rPr>
          <w:rFonts w:eastAsia="Times New Roman"/>
        </w:rPr>
        <w:t>Internet]. Galaxy Train. Netw. Galaxy Training Network;</w:t>
      </w:r>
      <w:r w:rsidR="00911A6A">
        <w:rPr>
          <w:rFonts w:eastAsia="Times New Roman"/>
        </w:rPr>
        <w:t xml:space="preserve"> [</w:t>
      </w:r>
      <w:r w:rsidRPr="00CC415C">
        <w:rPr>
          <w:rFonts w:eastAsia="Times New Roman"/>
        </w:rPr>
        <w:t>cited 2022 Dec 16]. Available from: https://training.galaxyproject.org/training-material/topics/epigenetics/tutorials/atac-seq/tutorial.html</w:t>
      </w:r>
    </w:p>
    <w:p w14:paraId="325ECBF6" w14:textId="77777777" w:rsidR="00CC415C" w:rsidRDefault="00CC415C" w:rsidP="00193892">
      <w:pPr>
        <w:pStyle w:val="Bibliography1"/>
        <w:spacing w:line="360" w:lineRule="auto"/>
        <w:rPr>
          <w:rFonts w:eastAsia="Times New Roman"/>
        </w:rPr>
      </w:pPr>
    </w:p>
    <w:p w14:paraId="4B32AE7F" w14:textId="77777777" w:rsidR="00CC415C" w:rsidRPr="00CC415C" w:rsidRDefault="00CC415C" w:rsidP="00193892">
      <w:pPr>
        <w:pStyle w:val="Bibliography1"/>
        <w:spacing w:line="360" w:lineRule="auto"/>
        <w:rPr>
          <w:rFonts w:eastAsia="Times New Roman"/>
        </w:rPr>
      </w:pPr>
      <w:r w:rsidRPr="00CC415C">
        <w:rPr>
          <w:rFonts w:eastAsia="Times New Roman"/>
        </w:rPr>
        <w:t xml:space="preserve">5. Lizio M, Abugessaisa I, Noguchi S, Kondo A, Hasegawa A, Hon CC, et al. Update of the FANTOM web resource: expansion to provide additional transcriptome atlases. Nucleic Acids Res. 2019;47:D752–8. </w:t>
      </w:r>
    </w:p>
    <w:p w14:paraId="5763E3EC" w14:textId="16D2C7D7" w:rsidR="00CC415C" w:rsidRPr="00A57A48" w:rsidRDefault="00CC415C" w:rsidP="00193892">
      <w:pPr>
        <w:spacing w:before="120" w:after="120" w:line="360" w:lineRule="auto"/>
        <w:contextualSpacing/>
        <w:jc w:val="both"/>
        <w:rPr>
          <w:b/>
        </w:rPr>
      </w:pPr>
      <w:r>
        <w:rPr>
          <w:rFonts w:cs="Arial"/>
          <w:szCs w:val="22"/>
          <w:lang w:val="en-US"/>
        </w:rPr>
        <w:fldChar w:fldCharType="end"/>
      </w:r>
    </w:p>
    <w:sectPr w:rsidR="00CC415C" w:rsidRPr="00A57A48" w:rsidSect="003F02A5">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stem-ui">
    <w:altName w:val="Cambria"/>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E1C"/>
    <w:rsid w:val="000A1467"/>
    <w:rsid w:val="000F5CDC"/>
    <w:rsid w:val="00143762"/>
    <w:rsid w:val="00193892"/>
    <w:rsid w:val="001B7464"/>
    <w:rsid w:val="00202E1C"/>
    <w:rsid w:val="005061E1"/>
    <w:rsid w:val="005763FA"/>
    <w:rsid w:val="006C1722"/>
    <w:rsid w:val="00770A7F"/>
    <w:rsid w:val="00911A6A"/>
    <w:rsid w:val="00A57A48"/>
    <w:rsid w:val="00AA3622"/>
    <w:rsid w:val="00B12AAE"/>
    <w:rsid w:val="00CC415C"/>
    <w:rsid w:val="00D11EC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E24DE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Arial"/>
    <w:qFormat/>
    <w:rsid w:val="00202E1C"/>
    <w:rPr>
      <w:rFonts w:ascii="Arial" w:hAnsi="Arial" w:cs="Times New Roman"/>
      <w:sz w:val="22"/>
      <w:lang w:eastAsia="es-ES_tradnl"/>
    </w:rPr>
  </w:style>
  <w:style w:type="paragraph" w:styleId="Heading3">
    <w:name w:val="heading 3"/>
    <w:basedOn w:val="Normal"/>
    <w:next w:val="Normal"/>
    <w:link w:val="Heading3Char"/>
    <w:uiPriority w:val="9"/>
    <w:unhideWhenUsed/>
    <w:qFormat/>
    <w:rsid w:val="00202E1C"/>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aliases w:val="Título leyenda"/>
    <w:basedOn w:val="DefaultParagraphFont"/>
    <w:uiPriority w:val="21"/>
    <w:qFormat/>
    <w:rsid w:val="005763FA"/>
    <w:rPr>
      <w:rFonts w:ascii="Arial" w:hAnsi="Arial"/>
      <w:b w:val="0"/>
      <w:i/>
      <w:iCs/>
      <w:color w:val="C00000"/>
      <w:sz w:val="20"/>
    </w:rPr>
  </w:style>
  <w:style w:type="character" w:customStyle="1" w:styleId="Heading3Char">
    <w:name w:val="Heading 3 Char"/>
    <w:basedOn w:val="DefaultParagraphFont"/>
    <w:link w:val="Heading3"/>
    <w:uiPriority w:val="9"/>
    <w:rsid w:val="00202E1C"/>
    <w:rPr>
      <w:rFonts w:asciiTheme="majorHAnsi" w:eastAsiaTheme="majorEastAsia" w:hAnsiTheme="majorHAnsi" w:cstheme="majorBidi"/>
      <w:color w:val="1F4D78" w:themeColor="accent1" w:themeShade="7F"/>
      <w:lang w:eastAsia="es-ES_tradnl"/>
    </w:rPr>
  </w:style>
  <w:style w:type="character" w:styleId="LineNumber">
    <w:name w:val="line number"/>
    <w:basedOn w:val="DefaultParagraphFont"/>
    <w:uiPriority w:val="99"/>
    <w:semiHidden/>
    <w:unhideWhenUsed/>
    <w:rsid w:val="00202E1C"/>
  </w:style>
  <w:style w:type="character" w:styleId="Hyperlink">
    <w:name w:val="Hyperlink"/>
    <w:basedOn w:val="DefaultParagraphFont"/>
    <w:uiPriority w:val="99"/>
    <w:unhideWhenUsed/>
    <w:rsid w:val="00202E1C"/>
    <w:rPr>
      <w:color w:val="0000FF"/>
      <w:u w:val="single"/>
    </w:rPr>
  </w:style>
  <w:style w:type="table" w:styleId="TableGrid">
    <w:name w:val="Table Grid"/>
    <w:basedOn w:val="TableNormal"/>
    <w:uiPriority w:val="39"/>
    <w:rsid w:val="00A57A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bliography1">
    <w:name w:val="Bibliography1"/>
    <w:basedOn w:val="Normal"/>
    <w:rsid w:val="00CC415C"/>
    <w:pPr>
      <w:spacing w:before="120" w:after="240"/>
      <w:contextualSpacing/>
      <w:jc w:val="both"/>
    </w:pPr>
    <w:rPr>
      <w:rFonts w:cs="Arial"/>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4845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hyperlink" Target="mailto:diego.marzese@ssib.es" TargetMode="Externa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11FCD32-0264-B340-B9B2-C480216E5313}">
  <we:reference id="wa200001011" version="1.2.0.0" store="en-GB" storeType="OMEX"/>
  <we:alternateReferences>
    <we:reference id="wa200001011" version="1.2.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8</TotalTime>
  <Pages>17</Pages>
  <Words>3973</Words>
  <Characters>23964</Characters>
  <Application>Microsoft Office Word</Application>
  <DocSecurity>0</DocSecurity>
  <Lines>489</Lines>
  <Paragraphs>164</Paragraphs>
  <ScaleCrop>false</ScaleCrop>
  <HeadingPairs>
    <vt:vector size="4" baseType="variant">
      <vt:variant>
        <vt:lpstr>Título</vt:lpstr>
      </vt:variant>
      <vt:variant>
        <vt:i4>1</vt:i4>
      </vt:variant>
      <vt:variant>
        <vt:lpstr>Headings</vt:lpstr>
      </vt:variant>
      <vt:variant>
        <vt:i4>1</vt:i4>
      </vt:variant>
    </vt:vector>
  </HeadingPairs>
  <TitlesOfParts>
    <vt:vector size="2" baseType="lpstr">
      <vt:lpstr/>
      <vt:lpstr>        Supplemental Figures</vt:lpstr>
    </vt:vector>
  </TitlesOfParts>
  <Company/>
  <LinksUpToDate>false</LinksUpToDate>
  <CharactersWithSpaces>27773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Pere Llinàs-Arias</cp:lastModifiedBy>
  <cp:revision>5</cp:revision>
  <dcterms:created xsi:type="dcterms:W3CDTF">2023-05-03T09:49:00Z</dcterms:created>
  <dcterms:modified xsi:type="dcterms:W3CDTF">2023-05-08T19:06:00Z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id="6qMDrb30"/&gt;&lt;style id="http://www.zotero.org/styles/molecular-cancer"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y fmtid="{D5CDD505-2E9C-101B-9397-08002B2CF9AE}" pid="4" name="grammarly_documentId">
    <vt:lpwstr>documentId_7838</vt:lpwstr>
  </property>
  <property fmtid="{D5CDD505-2E9C-101B-9397-08002B2CF9AE}" pid="5" name="grammarly_documentContext">
    <vt:lpwstr>{"goals":[],"domain":"general","emotions":[],"dialect":"american"}</vt:lpwstr>
  </property>
</Properties>
</file>