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Times New Roman" w:hAnsi="Times New Roman" w:eastAsia="宋体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/>
          <w:b/>
          <w:bCs/>
          <w:color w:val="0000FF"/>
          <w:sz w:val="24"/>
          <w:szCs w:val="24"/>
        </w:rPr>
        <w:t>Supporting Information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Silico Screening of Laccases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with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Universality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based on Structural Analysis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pBdr>
          <w:bottom w:val="single" w:color="auto" w:sz="6" w:space="0"/>
        </w:pBdr>
        <w:snapToGrid w:val="0"/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Yun</w:t>
      </w:r>
      <w:r>
        <w:rPr>
          <w:rFonts w:hint="eastAsia" w:ascii="Times New Roman" w:hAnsi="Times New Roman" w:eastAsia="宋体" w:cs="Times New Roman"/>
          <w:sz w:val="24"/>
          <w:szCs w:val="24"/>
        </w:rPr>
        <w:t>xin</w:t>
      </w:r>
      <w:r>
        <w:rPr>
          <w:rFonts w:ascii="Times New Roman" w:hAnsi="Times New Roman" w:eastAsia="宋体" w:cs="Times New Roman"/>
          <w:sz w:val="24"/>
          <w:szCs w:val="24"/>
        </w:rPr>
        <w:t xml:space="preserve"> Zheng 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a, 1</w:t>
      </w:r>
      <w:r>
        <w:rPr>
          <w:rFonts w:ascii="Times New Roman" w:hAnsi="Times New Roman" w:eastAsia="宋体" w:cs="Times New Roman"/>
          <w:sz w:val="24"/>
          <w:szCs w:val="24"/>
        </w:rPr>
        <w:t xml:space="preserve">, Chang Liu 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a, 1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bookmarkStart w:id="0" w:name="_Hlk119835077"/>
      <w:r>
        <w:rPr>
          <w:rFonts w:ascii="Times New Roman" w:hAnsi="Times New Roman" w:eastAsia="宋体" w:cs="Times New Roman"/>
          <w:sz w:val="24"/>
          <w:szCs w:val="24"/>
        </w:rPr>
        <w:t>Chengyu Zhang</w:t>
      </w:r>
      <w:bookmarkEnd w:id="0"/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</w:rPr>
        <w:t>Zixin</w:t>
      </w:r>
      <w:r>
        <w:rPr>
          <w:rFonts w:ascii="Times New Roman" w:hAnsi="Times New Roman" w:eastAsia="宋体" w:cs="Times New Roman"/>
          <w:sz w:val="24"/>
          <w:szCs w:val="24"/>
        </w:rPr>
        <w:t xml:space="preserve"> qi 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sz w:val="24"/>
          <w:szCs w:val="24"/>
        </w:rPr>
        <w:t>, Shengping You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*, a, d</w:t>
      </w:r>
      <w:r>
        <w:rPr>
          <w:rFonts w:ascii="Times New Roman" w:hAnsi="Times New Roman" w:eastAsia="宋体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Wei Qi 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a, b, c, d</w:t>
      </w:r>
      <w:r>
        <w:rPr>
          <w:rFonts w:ascii="Times New Roman" w:hAnsi="Times New Roman" w:eastAsia="宋体" w:cs="Times New Roman"/>
          <w:sz w:val="24"/>
          <w:szCs w:val="24"/>
        </w:rPr>
        <w:t>, Rongxin Su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 xml:space="preserve"> a, b, c, d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>
      <w:pPr>
        <w:snapToGrid w:val="0"/>
        <w:spacing w:line="48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* Corresponding author. </w:t>
      </w:r>
    </w:p>
    <w:p>
      <w:pPr>
        <w:widowControl/>
        <w:spacing w:line="48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Two authors contributed equally to the work.</w:t>
      </w:r>
    </w:p>
    <w:p>
      <w:pPr>
        <w:snapToGrid w:val="0"/>
        <w:spacing w:line="48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>
      <w:pPr>
        <w:overflowPunct w:val="0"/>
        <w:autoSpaceDE w:val="0"/>
        <w:autoSpaceDN w:val="0"/>
        <w:snapToGrid w:val="0"/>
        <w:spacing w:line="480" w:lineRule="auto"/>
        <w:ind w:left="972" w:hanging="972" w:hangingChars="405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t xml:space="preserve">Address: </w:t>
      </w:r>
    </w:p>
    <w:p>
      <w:pPr>
        <w:overflowPunct w:val="0"/>
        <w:autoSpaceDE w:val="0"/>
        <w:autoSpaceDN w:val="0"/>
        <w:snapToGrid w:val="0"/>
        <w:spacing w:line="480" w:lineRule="auto"/>
        <w:ind w:left="283" w:hanging="283" w:hangingChars="118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 xml:space="preserve">a </w:t>
      </w:r>
      <w:bookmarkStart w:id="1" w:name="OLE_LINK87"/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Chemical Engineering Research Center, School of Chemical Engineering and Technology, Tianjin University, Tianjin 300072, PR China</w:t>
      </w:r>
      <w:bookmarkEnd w:id="1"/>
    </w:p>
    <w:p>
      <w:pPr>
        <w:overflowPunct w:val="0"/>
        <w:autoSpaceDE w:val="0"/>
        <w:autoSpaceDN w:val="0"/>
        <w:snapToGrid w:val="0"/>
        <w:spacing w:line="480" w:lineRule="auto"/>
        <w:ind w:left="283" w:hanging="283" w:hangingChars="118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State Key Laboratory of Chemical Engineering, Tianjin University, Tianjin 300072, PR China</w:t>
      </w:r>
    </w:p>
    <w:p>
      <w:pPr>
        <w:overflowPunct w:val="0"/>
        <w:autoSpaceDE w:val="0"/>
        <w:autoSpaceDN w:val="0"/>
        <w:snapToGrid w:val="0"/>
        <w:spacing w:line="480" w:lineRule="auto"/>
        <w:ind w:left="403" w:hanging="403" w:hangingChars="168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>c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 Collaborative Innovation Center of Chemical Science and Engineering (Tianjin), Tianjin 300072, P. R. China.</w:t>
      </w:r>
    </w:p>
    <w:p>
      <w:pPr>
        <w:overflowPunct w:val="0"/>
        <w:autoSpaceDE w:val="0"/>
        <w:autoSpaceDN w:val="0"/>
        <w:snapToGrid w:val="0"/>
        <w:spacing w:line="480" w:lineRule="auto"/>
        <w:ind w:left="283" w:hanging="283" w:hangingChars="118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 xml:space="preserve">d 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Tianjin Key Laboratory of Membrane Science and Desalination Technology, Tianjin University, Tianjin 300072, PR China</w:t>
      </w:r>
    </w:p>
    <w:p>
      <w:pPr>
        <w:overflowPunct w:val="0"/>
        <w:autoSpaceDE w:val="0"/>
        <w:autoSpaceDN w:val="0"/>
        <w:snapToGrid w:val="0"/>
        <w:spacing w:line="48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Tel: +86 22 27407799</w:t>
      </w:r>
    </w:p>
    <w:p>
      <w:pPr>
        <w:overflowPunct w:val="0"/>
        <w:autoSpaceDE w:val="0"/>
        <w:autoSpaceDN w:val="0"/>
        <w:snapToGrid w:val="0"/>
        <w:spacing w:line="48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Fax: +86 22 27407599</w:t>
      </w:r>
    </w:p>
    <w:p>
      <w:pPr>
        <w:rPr>
          <w:rFonts w:ascii="Calibri" w:hAnsi="Calibri" w:eastAsia="宋体" w:cs="Times New Roman"/>
          <w:szCs w:val="21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E-mail address: </w:t>
      </w:r>
      <w:r>
        <w:fldChar w:fldCharType="begin"/>
      </w:r>
      <w:r>
        <w:instrText xml:space="preserve"> HYPERLINK "mailto:ysp@tju.edu.cn" </w:instrText>
      </w:r>
      <w:r>
        <w:fldChar w:fldCharType="separate"/>
      </w:r>
      <w:r>
        <w:rPr>
          <w:rFonts w:ascii="Times New Roman" w:hAnsi="Times New Roman" w:eastAsia="Times New Roman" w:cs="Times New Roman"/>
          <w:bCs/>
          <w:sz w:val="24"/>
          <w:szCs w:val="24"/>
        </w:rPr>
        <w:t>ysp@tju.edu.cn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bCs/>
          <w:sz w:val="24"/>
          <w:szCs w:val="24"/>
        </w:rPr>
        <w:t>;</w:t>
      </w:r>
    </w:p>
    <w:p>
      <w:pPr>
        <w:snapToGrid w:val="0"/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eastAsia="微软雅黑" w:cs="Times New Roman"/>
          <w:b/>
          <w:color w:val="0000CC"/>
          <w:kern w:val="0"/>
          <w:sz w:val="24"/>
          <w:szCs w:val="24"/>
        </w:rPr>
      </w:pPr>
      <w:r>
        <w:rPr>
          <w:rFonts w:ascii="Times New Roman" w:hAnsi="Times New Roman" w:eastAsia="微软雅黑" w:cs="Times New Roman"/>
          <w:b/>
          <w:color w:val="0000CC"/>
          <w:kern w:val="0"/>
          <w:sz w:val="24"/>
          <w:szCs w:val="24"/>
        </w:rPr>
        <w:br w:type="page"/>
      </w:r>
    </w:p>
    <w:p>
      <w:pPr>
        <w:spacing w:line="480" w:lineRule="auto"/>
        <w:jc w:val="center"/>
        <w:rPr>
          <w:rFonts w:ascii="Times New Roman" w:hAnsi="Times New Roman" w:eastAsia="微软雅黑" w:cs="Times New Roman"/>
          <w:b/>
          <w:color w:val="0000CC"/>
          <w:kern w:val="0"/>
          <w:sz w:val="24"/>
          <w:szCs w:val="24"/>
        </w:rPr>
        <w:sectPr>
          <w:headerReference r:id="rId3" w:type="default"/>
          <w:headerReference r:id="rId4" w:type="even"/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>
      <w:pPr>
        <w:spacing w:line="48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Four different sources of laccases was analyzed based on sequence and crystal structure, </w:t>
      </w:r>
      <w:r>
        <w:rPr>
          <w:rFonts w:hint="eastAsia" w:ascii="Times New Roman" w:hAnsi="Times New Roman" w:cs="Times New Roman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maize laccase (6KLI), </w:t>
      </w:r>
      <w:r>
        <w:rPr>
          <w:rFonts w:ascii="Times New Roman" w:hAnsi="Times New Roman" w:cs="Times New Roman"/>
          <w:i/>
          <w:iCs/>
          <w:sz w:val="24"/>
          <w:szCs w:val="24"/>
        </w:rPr>
        <w:t>T.versicolor</w:t>
      </w:r>
      <w:r>
        <w:rPr>
          <w:rFonts w:ascii="Times New Roman" w:hAnsi="Times New Roman" w:cs="Times New Roman"/>
          <w:sz w:val="24"/>
          <w:szCs w:val="24"/>
        </w:rPr>
        <w:t xml:space="preserve">-derived laccase (1KYA), </w:t>
      </w:r>
      <w:r>
        <w:rPr>
          <w:rFonts w:ascii="Times New Roman" w:hAnsi="Times New Roman" w:cs="Times New Roman"/>
          <w:i/>
          <w:iCs/>
          <w:sz w:val="24"/>
          <w:szCs w:val="24"/>
        </w:rPr>
        <w:t>E.coli</w:t>
      </w:r>
      <w:r>
        <w:rPr>
          <w:rFonts w:ascii="Times New Roman" w:hAnsi="Times New Roman" w:cs="Times New Roman"/>
          <w:sz w:val="24"/>
          <w:szCs w:val="24"/>
        </w:rPr>
        <w:t>-derived laccase (3PAV) and CotA (4Q8B). T</w:t>
      </w:r>
      <w:r>
        <w:rPr>
          <w:rFonts w:hint="eastAsia" w:ascii="Times New Roman" w:hAnsi="Times New Roman" w:cs="Times New Roman"/>
          <w:sz w:val="24"/>
          <w:szCs w:val="24"/>
        </w:rPr>
        <w:t>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19918482"/>
      <w:r>
        <w:rPr>
          <w:rFonts w:ascii="Times New Roman" w:hAnsi="Times New Roman" w:cs="Times New Roman"/>
          <w:sz w:val="24"/>
          <w:szCs w:val="24"/>
        </w:rPr>
        <w:t>amino acid sequences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are highly divergent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CC"/>
          <w:sz w:val="24"/>
          <w:szCs w:val="24"/>
        </w:rPr>
        <w:t>(</w:t>
      </w:r>
      <w:r>
        <w:rPr>
          <w:rFonts w:ascii="Times New Roman" w:hAnsi="Times New Roman" w:cs="Times New Roman"/>
          <w:color w:val="0000CC"/>
          <w:sz w:val="24"/>
          <w:szCs w:val="24"/>
        </w:rPr>
        <w:t>Fig. S1)</w:t>
      </w:r>
      <w:r>
        <w:rPr>
          <w:rFonts w:ascii="Times New Roman" w:hAnsi="Times New Roman" w:cs="Times New Roman"/>
          <w:sz w:val="24"/>
          <w:szCs w:val="24"/>
        </w:rPr>
        <w:t xml:space="preserve">. However, their amino acid residues </w:t>
      </w:r>
      <w:bookmarkStart w:id="3" w:name="_Hlk119918497"/>
      <w:r>
        <w:rPr>
          <w:rFonts w:ascii="Times New Roman" w:hAnsi="Times New Roman" w:cs="Times New Roman"/>
          <w:sz w:val="24"/>
          <w:szCs w:val="24"/>
        </w:rPr>
        <w:t>that interact with copper ions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share high similarity. </w:t>
      </w:r>
    </w:p>
    <w:p>
      <w:pPr>
        <w:spacing w:line="480" w:lineRule="auto"/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three-dimensional structure of laccase, different domains are close to each other by hydrophobic forces, and the disulfide bonds between the domains also contributes to the compactness of the structure (</w:t>
      </w:r>
      <w:r>
        <w:rPr>
          <w:rFonts w:ascii="Times New Roman" w:hAnsi="Times New Roman" w:cs="Times New Roman"/>
          <w:color w:val="0000CC"/>
          <w:sz w:val="24"/>
          <w:szCs w:val="24"/>
        </w:rPr>
        <w:t>Fig. S2</w:t>
      </w:r>
      <w:r>
        <w:rPr>
          <w:rFonts w:ascii="Times New Roman" w:hAnsi="Times New Roman" w:cs="Times New Roman"/>
          <w:sz w:val="24"/>
          <w:szCs w:val="24"/>
        </w:rPr>
        <w:t>). Although these four laccases are highly conserved in the amino acid sequences that interact with copper ions, their exposed area of surface copper (T1 copper) varies greatly (</w:t>
      </w:r>
      <w:r>
        <w:rPr>
          <w:rFonts w:ascii="Times New Roman" w:hAnsi="Times New Roman" w:cs="Times New Roman"/>
          <w:color w:val="0000CC"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). T1 copper is located in the </w:t>
      </w:r>
      <w:r>
        <w:rPr>
          <w:rFonts w:ascii="Times New Roman" w:hAnsi="Times New Roman" w:eastAsia="微软雅黑" w:cs="Times New Roman"/>
          <w:kern w:val="0"/>
          <w:sz w:val="24"/>
          <w:szCs w:val="24"/>
        </w:rPr>
        <w:t>recess</w:t>
      </w:r>
      <w:r>
        <w:rPr>
          <w:rFonts w:ascii="Times New Roman" w:hAnsi="Times New Roman" w:cs="Times New Roman"/>
          <w:sz w:val="24"/>
          <w:szCs w:val="24"/>
        </w:rPr>
        <w:t xml:space="preserve"> of the catalytic active center and receives electrons from the substrate. Its exposure area reflects the size of the active pocket.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exposure degree of T1 copper and </w:t>
      </w:r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type and spacing of amino acids interacting with T1 copper in the active pocket are closely related to its oxidation ability. </w:t>
      </w:r>
      <w:r>
        <w:rPr>
          <w:rFonts w:ascii="Times New Roman" w:hAnsi="Times New Roman" w:eastAsia="微软雅黑" w:cs="Times New Roman"/>
          <w:kern w:val="0"/>
          <w:sz w:val="24"/>
          <w:szCs w:val="24"/>
        </w:rPr>
        <w:t>The distance between T1 copper and its coordinated cysteine residue was 2.2 Å for all four laccases (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Fig. </w:t>
      </w:r>
      <w:r>
        <w:rPr>
          <w:rFonts w:ascii="Times New Roman" w:hAnsi="Times New Roman" w:cs="Times New Roman"/>
          <w:color w:val="0000CC"/>
          <w:sz w:val="24"/>
          <w:szCs w:val="24"/>
        </w:rPr>
        <w:t>S4</w:t>
      </w:r>
      <w:r>
        <w:rPr>
          <w:rFonts w:ascii="Times New Roman" w:hAnsi="Times New Roman" w:eastAsia="微软雅黑" w:cs="Times New Roman"/>
          <w:kern w:val="0"/>
          <w:sz w:val="24"/>
          <w:szCs w:val="24"/>
        </w:rPr>
        <w:t>).</w:t>
      </w:r>
    </w:p>
    <w:p>
      <w:pPr>
        <w:spacing w:line="480" w:lineRule="auto"/>
        <w:ind w:firstLine="240" w:firstLineChars="100"/>
        <w:rPr>
          <w:rFonts w:hint="eastAsia" w:ascii="Times New Roman" w:hAnsi="Times New Roman" w:eastAsia="等线" w:cs="Times New Roman"/>
          <w:sz w:val="24"/>
          <w:szCs w:val="24"/>
          <w:lang w:val="en-US" w:eastAsia="zh-CN" w:bidi="ar"/>
        </w:rPr>
      </w:pPr>
      <w:r>
        <w:rPr>
          <w:rFonts w:ascii="Times New Roman" w:hAnsi="Times New Roman" w:eastAsia="等线" w:cs="Times New Roman"/>
          <w:sz w:val="24"/>
          <w:szCs w:val="24"/>
          <w:lang w:bidi="ar"/>
        </w:rPr>
        <w:t>In order to compare the catalytic properties of the four laccases, eight substances were selected as ligands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(</w:t>
      </w:r>
      <w:r>
        <w:rPr>
          <w:rFonts w:ascii="Times New Roman" w:hAnsi="Times New Roman" w:cs="Times New Roman"/>
          <w:color w:val="0000CC"/>
          <w:sz w:val="24"/>
          <w:szCs w:val="24"/>
        </w:rPr>
        <w:t>Table S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. The specific binding position of the ligand and the interaction force between the ligand and amino acid residues in the active pocket were further analyzed (</w:t>
      </w:r>
      <w:r>
        <w:rPr>
          <w:rFonts w:ascii="Times New Roman" w:hAnsi="Times New Roman" w:cs="Times New Roman"/>
          <w:color w:val="0000CC"/>
          <w:sz w:val="24"/>
          <w:szCs w:val="24"/>
        </w:rPr>
        <w:t>Fig. S5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>).</w:t>
      </w:r>
      <w:r>
        <w:t xml:space="preserve"> 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The active pocket of 4Q8B can accommodate large ligand molecules. All the ligands are close to the bottom of active pocket, which </w:t>
      </w:r>
      <w:r>
        <w:rPr>
          <w:rFonts w:hint="eastAsia" w:ascii="Times New Roman" w:hAnsi="Times New Roman" w:eastAsia="等线" w:cs="Times New Roman"/>
          <w:sz w:val="24"/>
          <w:szCs w:val="24"/>
          <w:lang w:bidi="ar"/>
        </w:rPr>
        <w:t>shows</w:t>
      </w:r>
      <w:r>
        <w:rPr>
          <w:rFonts w:ascii="Times New Roman" w:hAnsi="Times New Roman" w:eastAsia="等线" w:cs="Times New Roman"/>
          <w:sz w:val="24"/>
          <w:szCs w:val="24"/>
          <w:lang w:bidi="ar"/>
        </w:rPr>
        <w:t xml:space="preserve"> a broader extent for substrates.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 w:bidi="ar"/>
        </w:rPr>
        <w:t xml:space="preserve"> And representative data were selected to further analyze the relevance of the data (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Table S3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 w:bidi="ar"/>
        </w:rPr>
        <w:t xml:space="preserve">). </w:t>
      </w:r>
    </w:p>
    <w:p>
      <w:pPr>
        <w:spacing w:line="480" w:lineRule="auto"/>
        <w:ind w:firstLine="240" w:firstLineChars="100"/>
        <w:rPr>
          <w:rFonts w:ascii="Times New Roman" w:hAnsi="Times New Roman" w:eastAsia="等线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Therefore, CotA (4Q8B) was selected for broad-spectrum catalytic applications in view of its strong substrate universality, short fermentation cycle and high tolerability.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CotA</w:t>
      </w:r>
      <w:r>
        <w:rPr>
          <w:rFonts w:hint="eastAsia" w:ascii="Times New Roman" w:hAnsi="Times New Roman" w:cs="Times New Roman"/>
          <w:sz w:val="24"/>
          <w:szCs w:val="24"/>
        </w:rPr>
        <w:t xml:space="preserve"> gene was introduced into the plasmid by double enzyme digestion technique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and the primer information is listed in 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Table S2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Finally, the CotA obtained through screening has been further applied in our group, and shows excellent catalytic performance (</w:t>
      </w:r>
      <w:r>
        <w:rPr>
          <w:rFonts w:ascii="Times New Roman" w:hAnsi="Times New Roman" w:cs="Times New Roman"/>
          <w:color w:val="0000CC"/>
          <w:sz w:val="24"/>
          <w:szCs w:val="24"/>
        </w:rPr>
        <w:t>Table S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). It's an eco-friendly tool for disease treatment, biological detection, contaminant degradation, biomass conversion, and protein cross-linking.  </w:t>
      </w:r>
    </w:p>
    <w:p>
      <w:pPr>
        <w:widowControl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br w:type="page"/>
      </w:r>
    </w:p>
    <w:p>
      <w:pPr>
        <w:jc w:val="center"/>
        <w:rPr>
          <w:rFonts w:ascii="Times New Roman" w:hAnsi="Times New Roman" w:eastAsia="宋体" w:cs="Times New Roman"/>
          <w:b/>
          <w:bCs/>
          <w:szCs w:val="21"/>
        </w:rPr>
      </w:pPr>
      <w:r>
        <w:drawing>
          <wp:inline distT="0" distB="0" distL="0" distR="0">
            <wp:extent cx="5255895" cy="2595245"/>
            <wp:effectExtent l="0" t="0" r="1905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25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 xml:space="preserve">Fig. S1 </w:t>
      </w:r>
      <w:r>
        <w:rPr>
          <w:rFonts w:ascii="Times New Roman" w:hAnsi="Times New Roman" w:cs="Times New Roman"/>
          <w:sz w:val="24"/>
          <w:szCs w:val="24"/>
        </w:rPr>
        <w:t>Amino acid sequence homology analysis of four laccases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Copper-binding domains (≡) were labeled below the sequence, the red region shows the amino acid residues that interact with copper ions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917950" cy="3627120"/>
            <wp:effectExtent l="0" t="0" r="6350" b="508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0199" cy="36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Fig. S2</w:t>
      </w:r>
      <w:r>
        <w:rPr>
          <w:rFonts w:ascii="Times New Roman" w:hAnsi="Times New Roman" w:cs="Times New Roman"/>
          <w:sz w:val="24"/>
          <w:szCs w:val="24"/>
        </w:rPr>
        <w:t xml:space="preserve"> Comparison of disulfide bonds </w:t>
      </w:r>
      <w:bookmarkStart w:id="4" w:name="_Hlk119759394"/>
      <w:r>
        <w:rPr>
          <w:rFonts w:ascii="Times New Roman" w:hAnsi="Times New Roman" w:cs="Times New Roman"/>
          <w:sz w:val="24"/>
          <w:szCs w:val="24"/>
        </w:rPr>
        <w:t>in laccases from different sources.</w:t>
      </w:r>
      <w:bookmarkEnd w:id="4"/>
      <w:r>
        <w:rPr>
          <w:rFonts w:ascii="Times New Roman" w:hAnsi="Times New Roman" w:cs="Times New Roman"/>
        </w:rPr>
        <w:t xml:space="preserve"> </w:t>
      </w:r>
    </w:p>
    <w:p>
      <w:pPr>
        <w:spacing w:line="480" w:lineRule="auto"/>
        <w:jc w:val="center"/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35450" cy="3765550"/>
            <wp:effectExtent l="0" t="0" r="0" b="635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9162" cy="378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Fig. S</w:t>
      </w:r>
      <w:r>
        <w:rPr>
          <w:rFonts w:hint="eastAsia" w:ascii="Times New Roman" w:hAnsi="Times New Roman" w:cs="Times New Roman"/>
          <w:color w:val="0000CC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bookmarkStart w:id="5" w:name="_Hlk44880363"/>
      <w:r>
        <w:rPr>
          <w:rFonts w:ascii="Times New Roman" w:hAnsi="Times New Roman" w:cs="Times New Roman"/>
          <w:sz w:val="24"/>
          <w:szCs w:val="24"/>
        </w:rPr>
        <w:t>T1 copper exposure diagrams for laccases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(a) 6KLI, (b)1KYA, (c) 4Q8B and (d) 3PAV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4051300" cy="3733165"/>
            <wp:effectExtent l="0" t="0" r="0" b="63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509" cy="376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Fig. S</w:t>
      </w:r>
      <w:r>
        <w:rPr>
          <w:rFonts w:hint="eastAsia" w:ascii="Times New Roman" w:hAnsi="Times New Roman" w:cs="Times New Roman"/>
          <w:color w:val="0000CC"/>
          <w:sz w:val="24"/>
          <w:szCs w:val="24"/>
        </w:rPr>
        <w:t>4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key amino acid residues near the T1 copper of four laccases. (a) 6KLI, (b) 1KYA, (c) 4Q8B, (d) 3PAV.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Cs w:val="21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941310" cy="51974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6051" cy="521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929245" cy="52152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7794" cy="52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847965" cy="5189855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77355" cy="520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763510" cy="528637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7470" cy="53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775575" cy="52660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6618" cy="527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958455" cy="5219700"/>
            <wp:effectExtent l="0" t="0" r="444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5083" cy="523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7848600" cy="51898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78893" cy="521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8371205" cy="524065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6530" cy="525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Fig. S</w:t>
      </w:r>
      <w:r>
        <w:rPr>
          <w:rFonts w:hint="eastAsia" w:ascii="Times New Roman" w:hAnsi="Times New Roman" w:cs="Times New Roman"/>
          <w:color w:val="0000CC"/>
          <w:sz w:val="24"/>
          <w:szCs w:val="24"/>
        </w:rPr>
        <w:t>5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binding diagrams of 8 ligands and four laccases. A-H represent the binding diagrams of four laccases with ABTS, SA, GU, CA, HBT, TEMPO, AMP and TET, respectively; a1-h1 represent the docking diagrams of the active pockets for four laccases and ABTS, SA, GU, CA, HBT, TEMPO, AMP, TET, respectively; a2-h2 represent the docking diagram details of the active pockets of four laccases with ABTS, SA, GU, CA, HBT, TEMPO, AMP, TET, respectively; a3-h3 represent the interaction in the docking complex formed by four laccases and 8 ligands (ABTS, SA, GU, CA, HBT, TEMPO, AMP, and TET).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linePitch="312" w:charSpace="0"/>
        </w:sectPr>
      </w:pPr>
    </w:p>
    <w:p>
      <w:pPr>
        <w:spacing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Table S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The information of ligands for enzymes</w:t>
      </w:r>
    </w:p>
    <w:tbl>
      <w:tblPr>
        <w:tblStyle w:val="6"/>
        <w:tblW w:w="821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592"/>
        <w:gridCol w:w="2500"/>
        <w:gridCol w:w="1845"/>
        <w:gridCol w:w="141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Num</w:t>
            </w:r>
          </w:p>
        </w:tc>
        <w:tc>
          <w:tcPr>
            <w:tcW w:w="15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bookmarkStart w:id="6" w:name="_Hlk37076857"/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Abbreviation</w:t>
            </w:r>
          </w:p>
        </w:tc>
        <w:tc>
          <w:tcPr>
            <w:tcW w:w="250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Structure</w:t>
            </w:r>
          </w:p>
        </w:tc>
        <w:tc>
          <w:tcPr>
            <w:tcW w:w="1845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Molecular Weight</w:t>
            </w:r>
          </w:p>
        </w:tc>
        <w:tc>
          <w:tcPr>
            <w:tcW w:w="141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CAS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67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1592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ABTS</w:t>
            </w:r>
          </w:p>
        </w:tc>
        <w:tc>
          <w:tcPr>
            <w:tcW w:w="2500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79375</wp:posOffset>
                  </wp:positionV>
                  <wp:extent cx="1026160" cy="417830"/>
                  <wp:effectExtent l="0" t="0" r="2540" b="1270"/>
                  <wp:wrapSquare wrapText="bothSides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60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548.68</w:t>
            </w:r>
          </w:p>
        </w:tc>
        <w:tc>
          <w:tcPr>
            <w:tcW w:w="1413" w:type="dxa"/>
            <w:tcBorders>
              <w:top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30931-67-0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SA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5715</wp:posOffset>
                  </wp:positionV>
                  <wp:extent cx="716915" cy="347980"/>
                  <wp:effectExtent l="0" t="0" r="6985" b="7620"/>
                  <wp:wrapSquare wrapText="bothSides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15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210.23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537-33-7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GU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47625</wp:posOffset>
                  </wp:positionV>
                  <wp:extent cx="410210" cy="327660"/>
                  <wp:effectExtent l="0" t="0" r="8890" b="2540"/>
                  <wp:wrapSquare wrapText="bothSides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1021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124.14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90-05-1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CA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46355</wp:posOffset>
                  </wp:positionV>
                  <wp:extent cx="809625" cy="340360"/>
                  <wp:effectExtent l="0" t="0" r="0" b="0"/>
                  <wp:wrapTight wrapText="bothSides">
                    <wp:wrapPolygon>
                      <wp:start x="0" y="0"/>
                      <wp:lineTo x="0" y="20955"/>
                      <wp:lineTo x="21346" y="20955"/>
                      <wp:lineTo x="21346" y="0"/>
                      <wp:lineTo x="0" y="0"/>
                    </wp:wrapPolygon>
                  </wp:wrapTight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180.20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458-35-5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HBT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17780</wp:posOffset>
                  </wp:positionV>
                  <wp:extent cx="751205" cy="405765"/>
                  <wp:effectExtent l="0" t="0" r="0" b="0"/>
                  <wp:wrapTight wrapText="bothSides">
                    <wp:wrapPolygon>
                      <wp:start x="0" y="0"/>
                      <wp:lineTo x="0" y="20958"/>
                      <wp:lineTo x="21180" y="20958"/>
                      <wp:lineTo x="21180" y="0"/>
                      <wp:lineTo x="0" y="0"/>
                    </wp:wrapPolygon>
                  </wp:wrapTight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227.28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3411-95-8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TEMPO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26035</wp:posOffset>
                  </wp:positionV>
                  <wp:extent cx="427355" cy="408940"/>
                  <wp:effectExtent l="0" t="0" r="4445" b="10160"/>
                  <wp:wrapSquare wrapText="bothSides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156.25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2564-83-2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AMP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114935</wp:posOffset>
                  </wp:positionV>
                  <wp:extent cx="1011555" cy="475615"/>
                  <wp:effectExtent l="0" t="0" r="4445" b="6985"/>
                  <wp:wrapSquare wrapText="bothSides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5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403.45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7177-48-2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8</w:t>
            </w:r>
          </w:p>
        </w:tc>
        <w:tc>
          <w:tcPr>
            <w:tcW w:w="159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TET</w:t>
            </w:r>
          </w:p>
        </w:tc>
        <w:tc>
          <w:tcPr>
            <w:tcW w:w="250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94615</wp:posOffset>
                  </wp:positionV>
                  <wp:extent cx="1015365" cy="460375"/>
                  <wp:effectExtent l="0" t="0" r="635" b="9525"/>
                  <wp:wrapSquare wrapText="bothSides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65" cy="46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444.44</w:t>
            </w: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60-54-8</w:t>
            </w:r>
          </w:p>
        </w:tc>
      </w:tr>
      <w:bookmarkEnd w:id="6"/>
    </w:tbl>
    <w:p>
      <w:pPr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Table S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rimers for CotA</w:t>
      </w:r>
    </w:p>
    <w:tbl>
      <w:tblPr>
        <w:tblStyle w:val="6"/>
        <w:tblW w:w="4999" w:type="pct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7334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9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szCs w:val="21"/>
              </w:rPr>
              <w:t>Name</w:t>
            </w:r>
          </w:p>
        </w:tc>
        <w:tc>
          <w:tcPr>
            <w:tcW w:w="430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b/>
                <w:bCs/>
                <w:szCs w:val="21"/>
              </w:rPr>
              <w:t>Sequence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9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Laccase-F</w:t>
            </w:r>
          </w:p>
        </w:tc>
        <w:tc>
          <w:tcPr>
            <w:tcW w:w="430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5´-CGCGGATCCATGACACTTGAAAAATTTGTGGATGCTCTC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9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Laccase-R</w:t>
            </w:r>
          </w:p>
        </w:tc>
        <w:tc>
          <w:tcPr>
            <w:tcW w:w="430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spacing w:line="400" w:lineRule="exact"/>
              <w:ind w:left="210" w:hanging="210" w:hangingChars="100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5´-CCGCTCGAGCTAGTGGTGGTGGTGGTGGTGTTTATGGGGATCAGTT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eastAsia="宋体"/>
                <w:szCs w:val="21"/>
              </w:rPr>
              <w:t>ATATCC</w:t>
            </w:r>
          </w:p>
        </w:tc>
      </w:tr>
    </w:tbl>
    <w:p>
      <w:pPr>
        <w:spacing w:line="300" w:lineRule="exact"/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spacing w:line="300" w:lineRule="exact"/>
        <w:ind w:firstLine="422" w:firstLineChars="200"/>
        <w:jc w:val="center"/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br w:type="page"/>
      </w:r>
    </w:p>
    <w:p>
      <w:pPr>
        <w:spacing w:line="480" w:lineRule="auto"/>
        <w:jc w:val="center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  <w:highlight w:val="none"/>
        </w:rPr>
        <w:t>Table S</w:t>
      </w:r>
      <w:r>
        <w:rPr>
          <w:rFonts w:hint="eastAsia" w:ascii="Times New Roman" w:hAnsi="Times New Roman" w:cs="Times New Roman"/>
          <w:color w:val="0000CC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cs="Times New Roman"/>
          <w:color w:val="0000CC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Representativ</w:t>
      </w:r>
      <w:r>
        <w:rPr>
          <w:rFonts w:ascii="Times New Roman" w:hAnsi="Times New Roman" w:cs="Times New Roman"/>
          <w:sz w:val="24"/>
          <w:szCs w:val="24"/>
        </w:rPr>
        <w:t xml:space="preserve">e data were selected for correlation analysis </w:t>
      </w:r>
    </w:p>
    <w:tbl>
      <w:tblPr>
        <w:tblStyle w:val="6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683"/>
        <w:gridCol w:w="1683"/>
        <w:gridCol w:w="1566"/>
        <w:gridCol w:w="116"/>
        <w:gridCol w:w="179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6" w:type="pct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986" w:type="pct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6KLI </w:t>
            </w:r>
          </w:p>
        </w:tc>
        <w:tc>
          <w:tcPr>
            <w:tcW w:w="986" w:type="pct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1KYA </w:t>
            </w:r>
          </w:p>
        </w:tc>
        <w:tc>
          <w:tcPr>
            <w:tcW w:w="986" w:type="pct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4Q8B </w:t>
            </w:r>
          </w:p>
        </w:tc>
        <w:tc>
          <w:tcPr>
            <w:tcW w:w="1052" w:type="pct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 xml:space="preserve">3PAV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ABTS</w:t>
            </w:r>
          </w:p>
        </w:tc>
        <w:tc>
          <w:tcPr>
            <w:tcW w:w="986" w:type="pc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-13.75</w:t>
            </w:r>
          </w:p>
        </w:tc>
        <w:tc>
          <w:tcPr>
            <w:tcW w:w="986" w:type="pc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-13.45</w:t>
            </w:r>
          </w:p>
        </w:tc>
        <w:tc>
          <w:tcPr>
            <w:tcW w:w="918" w:type="pc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-11.58</w:t>
            </w:r>
          </w:p>
        </w:tc>
        <w:tc>
          <w:tcPr>
            <w:tcW w:w="1120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SA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-11.22</w:t>
            </w:r>
          </w:p>
        </w:tc>
        <w:tc>
          <w:tcPr>
            <w:tcW w:w="986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-10.64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-11.81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GU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-19.08</w:t>
            </w:r>
          </w:p>
        </w:tc>
        <w:tc>
          <w:tcPr>
            <w:tcW w:w="986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-15.53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-17.76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-8.50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CA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-15.53</w:t>
            </w:r>
          </w:p>
        </w:tc>
        <w:tc>
          <w:tcPr>
            <w:tcW w:w="986" w:type="pct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-13.02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-16.18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-4.72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HBT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-9.37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-8.84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-8.92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TEMPO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-5.73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-5.32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-8.79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AMP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-19.32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-16.48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-22.95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-10.49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TET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-3.17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-4.57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-19.58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-1.90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T1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84.96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95.55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186.3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51.03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pocket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786.45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399.73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1095.54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132.48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charge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46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59</w:t>
            </w:r>
          </w:p>
        </w:tc>
        <w:tc>
          <w:tcPr>
            <w:tcW w:w="918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29</w:t>
            </w:r>
          </w:p>
        </w:tc>
        <w:tc>
          <w:tcPr>
            <w:tcW w:w="11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86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pI</w:t>
            </w:r>
          </w:p>
        </w:tc>
        <w:tc>
          <w:tcPr>
            <w:tcW w:w="98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5.88</w:t>
            </w:r>
          </w:p>
        </w:tc>
        <w:tc>
          <w:tcPr>
            <w:tcW w:w="98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4.51</w:t>
            </w:r>
          </w:p>
        </w:tc>
        <w:tc>
          <w:tcPr>
            <w:tcW w:w="918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6.38</w:t>
            </w:r>
          </w:p>
        </w:tc>
        <w:tc>
          <w:tcPr>
            <w:tcW w:w="1120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6.55</w:t>
            </w:r>
          </w:p>
        </w:tc>
      </w:tr>
    </w:tbl>
    <w:p/>
    <w:p>
      <w:pPr>
        <w:widowControl/>
        <w:jc w:val="left"/>
        <w:rPr>
          <w:rFonts w:ascii="Times New Roman" w:hAnsi="Times New Roman" w:cs="Times New Roman"/>
          <w:color w:val="0000CC"/>
          <w:sz w:val="24"/>
          <w:szCs w:val="24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br w:type="page"/>
      </w:r>
    </w:p>
    <w:p>
      <w:pPr>
        <w:spacing w:line="300" w:lineRule="exact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cs="Times New Roman"/>
          <w:color w:val="0000CC"/>
          <w:sz w:val="24"/>
          <w:szCs w:val="24"/>
        </w:rPr>
        <w:t>Table S</w:t>
      </w:r>
      <w:r>
        <w:rPr>
          <w:rFonts w:hint="eastAsia" w:ascii="Times New Roman" w:hAnsi="Times New Roman" w:cs="Times New Roman"/>
          <w:color w:val="0000CC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applications of </w:t>
      </w:r>
      <w:r>
        <w:rPr>
          <w:rFonts w:ascii="Times New Roman" w:hAnsi="Times New Roman" w:cs="Times New Roman"/>
          <w:i/>
          <w:iCs/>
          <w:sz w:val="24"/>
          <w:szCs w:val="24"/>
        </w:rPr>
        <w:t>B. subtilis</w:t>
      </w:r>
      <w:r>
        <w:rPr>
          <w:rFonts w:ascii="Times New Roman" w:hAnsi="Times New Roman" w:cs="Times New Roman"/>
          <w:sz w:val="24"/>
          <w:szCs w:val="24"/>
        </w:rPr>
        <w:t>-derived laccase (CotA) in our group.</w:t>
      </w:r>
    </w:p>
    <w:tbl>
      <w:tblPr>
        <w:tblStyle w:val="6"/>
        <w:tblpPr w:leftFromText="180" w:rightFromText="180" w:vertAnchor="text" w:horzAnchor="margin" w:tblpX="1" w:tblpY="344"/>
        <w:tblW w:w="5000" w:type="pct"/>
        <w:tblInd w:w="0" w:type="dxa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700"/>
        <w:gridCol w:w="2162"/>
        <w:gridCol w:w="2154"/>
        <w:gridCol w:w="1148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9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szCs w:val="21"/>
              </w:rPr>
              <w:t>ield</w:t>
            </w:r>
          </w:p>
        </w:tc>
        <w:tc>
          <w:tcPr>
            <w:tcW w:w="996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Substrate</w:t>
            </w:r>
          </w:p>
        </w:tc>
        <w:tc>
          <w:tcPr>
            <w:tcW w:w="1267" w:type="pct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Reaction system</w:t>
            </w:r>
          </w:p>
        </w:tc>
        <w:tc>
          <w:tcPr>
            <w:tcW w:w="1262" w:type="pct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Results</w:t>
            </w:r>
          </w:p>
        </w:tc>
        <w:tc>
          <w:tcPr>
            <w:tcW w:w="67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99" w:type="pct"/>
            <w:tcBorders>
              <w:top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Disease treatment</w:t>
            </w:r>
          </w:p>
        </w:tc>
        <w:tc>
          <w:tcPr>
            <w:tcW w:w="996" w:type="pct"/>
            <w:tcBorders>
              <w:top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Quercetin (QU) </w:t>
            </w:r>
          </w:p>
        </w:tc>
        <w:tc>
          <w:tcPr>
            <w:tcW w:w="1267" w:type="pct"/>
            <w:tcBorders>
              <w:top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Activate prodrug QU to produce toxic oxide quercetin</w:t>
            </w:r>
            <w:r>
              <w:rPr>
                <w:rFonts w:ascii="Times New Roman" w:hAnsi="Times New Roman" w:eastAsia="宋体" w:cs="Times New Roman"/>
                <w:szCs w:val="21"/>
              </w:rPr>
              <w:t>.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</w:p>
        </w:tc>
        <w:tc>
          <w:tcPr>
            <w:tcW w:w="1262" w:type="pct"/>
            <w:tcBorders>
              <w:top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szCs w:val="21"/>
              </w:rPr>
              <w:t>he enzymatic activity of CotA to QU was up to 0.5 U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/</w:t>
            </w:r>
            <w:r>
              <w:rPr>
                <w:rFonts w:ascii="Times New Roman" w:hAnsi="Times New Roman" w:eastAsia="宋体" w:cs="Times New Roman"/>
                <w:szCs w:val="21"/>
              </w:rPr>
              <w:t>mg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.</w:t>
            </w:r>
          </w:p>
        </w:tc>
        <w:tc>
          <w:tcPr>
            <w:tcW w:w="673" w:type="pct"/>
            <w:tcBorders>
              <w:top w:val="single" w:color="auto" w:sz="6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Zhou et al., 2022b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9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Biological detection</w:t>
            </w:r>
          </w:p>
        </w:tc>
        <w:tc>
          <w:tcPr>
            <w:tcW w:w="996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Direct bilirubin (DB)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and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Total bilirubin (TB)</w:t>
            </w:r>
          </w:p>
        </w:tc>
        <w:tc>
          <w:tcPr>
            <w:tcW w:w="1267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Oxidized bilirubin</w:t>
            </w:r>
          </w:p>
        </w:tc>
        <w:tc>
          <w:tcPr>
            <w:tcW w:w="1262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The pH selective oxidation of </w:t>
            </w:r>
            <w:r>
              <w:rPr>
                <w:rFonts w:ascii="Times New Roman" w:hAnsi="Times New Roman" w:eastAsia="宋体" w:cs="Times New Roman"/>
                <w:szCs w:val="21"/>
              </w:rPr>
              <w:t>D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B at pH 5.5 and TB at pH 7.5.</w:t>
            </w:r>
          </w:p>
        </w:tc>
        <w:tc>
          <w:tcPr>
            <w:tcW w:w="673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Zhang et al., 2021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9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Biomass conversion</w:t>
            </w:r>
          </w:p>
        </w:tc>
        <w:tc>
          <w:tcPr>
            <w:tcW w:w="996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5-hydroxymethylfurfural (5-HMF)</w:t>
            </w:r>
          </w:p>
        </w:tc>
        <w:tc>
          <w:tcPr>
            <w:tcW w:w="1267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Selectively convert 5-HMF to FFCA with TEMPO </w:t>
            </w:r>
          </w:p>
        </w:tc>
        <w:tc>
          <w:tcPr>
            <w:tcW w:w="1262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FFCA yield reached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98.55% with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high selectivity (98.65%).</w:t>
            </w:r>
          </w:p>
        </w:tc>
        <w:tc>
          <w:tcPr>
            <w:tcW w:w="673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Zhang et al.,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2019a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99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Protein modification</w:t>
            </w:r>
          </w:p>
        </w:tc>
        <w:tc>
          <w:tcPr>
            <w:tcW w:w="996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Gallic acid (GA)</w:t>
            </w:r>
          </w:p>
        </w:tc>
        <w:tc>
          <w:tcPr>
            <w:tcW w:w="1267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Catalyzed GA to bind to soy protein isolate (SPI)</w:t>
            </w:r>
          </w:p>
        </w:tc>
        <w:tc>
          <w:tcPr>
            <w:tcW w:w="1262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The scavenging rates of DPPH and ABTS were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almost 5- and 1.5-fold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.</w:t>
            </w:r>
          </w:p>
        </w:tc>
        <w:tc>
          <w:tcPr>
            <w:tcW w:w="673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Wang et al., 2022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99" w:type="pct"/>
            <w:vMerge w:val="restar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Contaminant degradation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6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Bisphenol A (BPA)</w:t>
            </w:r>
          </w:p>
        </w:tc>
        <w:tc>
          <w:tcPr>
            <w:tcW w:w="1267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B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iodegraded BPA </w:t>
            </w:r>
          </w:p>
        </w:tc>
        <w:tc>
          <w:tcPr>
            <w:tcW w:w="1262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T</w:t>
            </w:r>
            <w:r>
              <w:rPr>
                <w:rFonts w:ascii="Times New Roman" w:hAnsi="Times New Roman" w:eastAsia="宋体" w:cs="Times New Roman"/>
                <w:szCs w:val="21"/>
              </w:rPr>
              <w:t>he removal rate of BPA was Nearly 100% after 4 h.</w:t>
            </w:r>
          </w:p>
        </w:tc>
        <w:tc>
          <w:tcPr>
            <w:tcW w:w="673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Zhang et al., 2020a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99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6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Tetracycline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(TE)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and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A</w:t>
            </w:r>
            <w:r>
              <w:rPr>
                <w:rFonts w:ascii="Times New Roman" w:hAnsi="Times New Roman" w:eastAsia="宋体" w:cs="Times New Roman"/>
                <w:szCs w:val="21"/>
              </w:rPr>
              <w:t>mpicillin (AML)</w:t>
            </w:r>
          </w:p>
        </w:tc>
        <w:tc>
          <w:tcPr>
            <w:tcW w:w="1267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B</w:t>
            </w:r>
            <w:r>
              <w:rPr>
                <w:rFonts w:ascii="Times New Roman" w:hAnsi="Times New Roman" w:eastAsia="宋体" w:cs="Times New Roman"/>
                <w:szCs w:val="21"/>
              </w:rPr>
              <w:t>iodegraded TE and AML.</w:t>
            </w:r>
          </w:p>
        </w:tc>
        <w:tc>
          <w:tcPr>
            <w:tcW w:w="1262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The degradation efficiency of TE and AML in some actual water was almost 100%.</w:t>
            </w:r>
          </w:p>
        </w:tc>
        <w:tc>
          <w:tcPr>
            <w:tcW w:w="673" w:type="pct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Zhang et al., 2020b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99" w:type="pct"/>
            <w:vMerge w:val="continue"/>
            <w:tcBorders>
              <w:bottom w:val="single" w:color="auto" w:sz="12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6" w:type="pct"/>
            <w:tcBorders>
              <w:bottom w:val="single" w:color="auto" w:sz="12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Ciprofloxacin (CIP)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and Tetracycline-HCl (TCH)</w:t>
            </w:r>
          </w:p>
        </w:tc>
        <w:tc>
          <w:tcPr>
            <w:tcW w:w="1267" w:type="pct"/>
            <w:tcBorders>
              <w:bottom w:val="single" w:color="auto" w:sz="12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B</w:t>
            </w:r>
            <w:r>
              <w:rPr>
                <w:rFonts w:ascii="Times New Roman" w:hAnsi="Times New Roman" w:eastAsia="宋体" w:cs="Times New Roman"/>
                <w:szCs w:val="21"/>
              </w:rPr>
              <w:t>iodegraded CIP and TCH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with TEMPO</w:t>
            </w:r>
          </w:p>
        </w:tc>
        <w:tc>
          <w:tcPr>
            <w:tcW w:w="1262" w:type="pct"/>
            <w:tcBorders>
              <w:bottom w:val="single" w:color="auto" w:sz="12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The degradation efficiency of CIP and TCH were 95.42% and 98.73%, respectively.</w:t>
            </w:r>
          </w:p>
        </w:tc>
        <w:tc>
          <w:tcPr>
            <w:tcW w:w="673" w:type="pct"/>
            <w:tcBorders>
              <w:bottom w:val="single" w:color="auto" w:sz="12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bookmarkStart w:id="7" w:name="_GoBack"/>
            <w:r>
              <w:rPr>
                <w:rFonts w:hint="eastAsia" w:ascii="Times New Roman" w:hAnsi="Times New Roman"/>
                <w:sz w:val="21"/>
                <w:szCs w:val="21"/>
              </w:rPr>
              <w:t>Zhou et al.,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1"/>
                <w:szCs w:val="21"/>
              </w:rPr>
              <w:t>2022a</w:t>
            </w:r>
            <w:bookmarkEnd w:id="7"/>
          </w:p>
        </w:tc>
      </w:tr>
    </w:tbl>
    <w:p>
      <w:pPr>
        <w:spacing w:line="300" w:lineRule="exact"/>
        <w:rPr>
          <w:rFonts w:ascii="Times New Roman" w:hAnsi="Times New Roman" w:eastAsia="宋体" w:cs="Times New Roman"/>
          <w:szCs w:val="21"/>
        </w:rPr>
      </w:pPr>
    </w:p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2YjljZDgyNDhhMDlmMzVkZWI4ZTM1ZjgwMTQzMD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sssx5rr7st99petawtvzx53te5vzx5r05vv&quot;&gt;1&lt;record-ids&gt;&lt;item&gt;232&lt;/item&gt;&lt;/record-ids&gt;&lt;/item&gt;&lt;/Libraries&gt;"/>
  </w:docVars>
  <w:rsids>
    <w:rsidRoot w:val="00CB3F8E"/>
    <w:rsid w:val="00013EFE"/>
    <w:rsid w:val="000148A5"/>
    <w:rsid w:val="00022D2F"/>
    <w:rsid w:val="000268FA"/>
    <w:rsid w:val="00032E83"/>
    <w:rsid w:val="000464D4"/>
    <w:rsid w:val="00075F67"/>
    <w:rsid w:val="000A09B6"/>
    <w:rsid w:val="000A2FB1"/>
    <w:rsid w:val="000A3C7E"/>
    <w:rsid w:val="000C41EA"/>
    <w:rsid w:val="000D4E89"/>
    <w:rsid w:val="000D7343"/>
    <w:rsid w:val="00115059"/>
    <w:rsid w:val="00115C99"/>
    <w:rsid w:val="00122488"/>
    <w:rsid w:val="0012506D"/>
    <w:rsid w:val="0013101D"/>
    <w:rsid w:val="00143799"/>
    <w:rsid w:val="00160DBB"/>
    <w:rsid w:val="00163319"/>
    <w:rsid w:val="00166432"/>
    <w:rsid w:val="00173987"/>
    <w:rsid w:val="0017517D"/>
    <w:rsid w:val="00181695"/>
    <w:rsid w:val="00195B61"/>
    <w:rsid w:val="001A7A87"/>
    <w:rsid w:val="001C166A"/>
    <w:rsid w:val="001C52DA"/>
    <w:rsid w:val="001E742A"/>
    <w:rsid w:val="001F35C4"/>
    <w:rsid w:val="002211A0"/>
    <w:rsid w:val="00241FC9"/>
    <w:rsid w:val="00246AF9"/>
    <w:rsid w:val="0025212C"/>
    <w:rsid w:val="00252934"/>
    <w:rsid w:val="002761FA"/>
    <w:rsid w:val="00282CD1"/>
    <w:rsid w:val="002A3BA1"/>
    <w:rsid w:val="002C54C2"/>
    <w:rsid w:val="002C5DF4"/>
    <w:rsid w:val="002F0986"/>
    <w:rsid w:val="0030126A"/>
    <w:rsid w:val="00306C4D"/>
    <w:rsid w:val="0032460E"/>
    <w:rsid w:val="00330824"/>
    <w:rsid w:val="00336036"/>
    <w:rsid w:val="003374C5"/>
    <w:rsid w:val="0035141F"/>
    <w:rsid w:val="00373D7C"/>
    <w:rsid w:val="0039480F"/>
    <w:rsid w:val="003C6ACF"/>
    <w:rsid w:val="003D1D09"/>
    <w:rsid w:val="003D3C1D"/>
    <w:rsid w:val="003E5886"/>
    <w:rsid w:val="003F7409"/>
    <w:rsid w:val="00427F15"/>
    <w:rsid w:val="004375B1"/>
    <w:rsid w:val="00442B71"/>
    <w:rsid w:val="00450BAD"/>
    <w:rsid w:val="00475861"/>
    <w:rsid w:val="004834A5"/>
    <w:rsid w:val="00490421"/>
    <w:rsid w:val="0049507A"/>
    <w:rsid w:val="004961B5"/>
    <w:rsid w:val="004B4DE7"/>
    <w:rsid w:val="004B4FB7"/>
    <w:rsid w:val="004D5BE7"/>
    <w:rsid w:val="004F0ACC"/>
    <w:rsid w:val="0050041A"/>
    <w:rsid w:val="00501DC6"/>
    <w:rsid w:val="0050636B"/>
    <w:rsid w:val="00576D51"/>
    <w:rsid w:val="005904C5"/>
    <w:rsid w:val="00597C43"/>
    <w:rsid w:val="005A28AA"/>
    <w:rsid w:val="005E79C7"/>
    <w:rsid w:val="005F21AB"/>
    <w:rsid w:val="00612B77"/>
    <w:rsid w:val="0067500F"/>
    <w:rsid w:val="0068601F"/>
    <w:rsid w:val="00686435"/>
    <w:rsid w:val="00687E73"/>
    <w:rsid w:val="0069051E"/>
    <w:rsid w:val="006A743B"/>
    <w:rsid w:val="006B321D"/>
    <w:rsid w:val="00712A37"/>
    <w:rsid w:val="00714A75"/>
    <w:rsid w:val="00731D34"/>
    <w:rsid w:val="0075792E"/>
    <w:rsid w:val="00791763"/>
    <w:rsid w:val="007961BC"/>
    <w:rsid w:val="007B2C3F"/>
    <w:rsid w:val="007E08C3"/>
    <w:rsid w:val="007F10C9"/>
    <w:rsid w:val="007F5FD2"/>
    <w:rsid w:val="00802B19"/>
    <w:rsid w:val="00807496"/>
    <w:rsid w:val="008162B1"/>
    <w:rsid w:val="0082514C"/>
    <w:rsid w:val="00834305"/>
    <w:rsid w:val="00841BF6"/>
    <w:rsid w:val="008513F5"/>
    <w:rsid w:val="00885ADE"/>
    <w:rsid w:val="008B5274"/>
    <w:rsid w:val="008D0132"/>
    <w:rsid w:val="008E558B"/>
    <w:rsid w:val="008F15EE"/>
    <w:rsid w:val="008F73AA"/>
    <w:rsid w:val="009053A2"/>
    <w:rsid w:val="00907259"/>
    <w:rsid w:val="00955B37"/>
    <w:rsid w:val="009639F6"/>
    <w:rsid w:val="00963A6D"/>
    <w:rsid w:val="00966FA9"/>
    <w:rsid w:val="00991043"/>
    <w:rsid w:val="009A1E7E"/>
    <w:rsid w:val="009A4948"/>
    <w:rsid w:val="009A6F01"/>
    <w:rsid w:val="00A04F6B"/>
    <w:rsid w:val="00A10D48"/>
    <w:rsid w:val="00A23B9F"/>
    <w:rsid w:val="00A44705"/>
    <w:rsid w:val="00A51679"/>
    <w:rsid w:val="00A5606C"/>
    <w:rsid w:val="00A83DDB"/>
    <w:rsid w:val="00A8651E"/>
    <w:rsid w:val="00A94398"/>
    <w:rsid w:val="00AA1E88"/>
    <w:rsid w:val="00AB20B1"/>
    <w:rsid w:val="00AC2B2E"/>
    <w:rsid w:val="00AE1FFC"/>
    <w:rsid w:val="00AE2667"/>
    <w:rsid w:val="00AE3C3F"/>
    <w:rsid w:val="00AE69CE"/>
    <w:rsid w:val="00B0279A"/>
    <w:rsid w:val="00B0520A"/>
    <w:rsid w:val="00B0644D"/>
    <w:rsid w:val="00B27497"/>
    <w:rsid w:val="00B33452"/>
    <w:rsid w:val="00B63DAF"/>
    <w:rsid w:val="00B66931"/>
    <w:rsid w:val="00B87902"/>
    <w:rsid w:val="00B93B39"/>
    <w:rsid w:val="00BA71CA"/>
    <w:rsid w:val="00BC7C45"/>
    <w:rsid w:val="00BD5F54"/>
    <w:rsid w:val="00BE4D43"/>
    <w:rsid w:val="00BE6F06"/>
    <w:rsid w:val="00BF00BE"/>
    <w:rsid w:val="00BF79F0"/>
    <w:rsid w:val="00BF7C03"/>
    <w:rsid w:val="00C01E2A"/>
    <w:rsid w:val="00C169A9"/>
    <w:rsid w:val="00C3050D"/>
    <w:rsid w:val="00C543DC"/>
    <w:rsid w:val="00C62A7A"/>
    <w:rsid w:val="00C71E83"/>
    <w:rsid w:val="00C72ABB"/>
    <w:rsid w:val="00C92EB8"/>
    <w:rsid w:val="00CB3F8E"/>
    <w:rsid w:val="00CC14B9"/>
    <w:rsid w:val="00CE6BE0"/>
    <w:rsid w:val="00D012DC"/>
    <w:rsid w:val="00D0202E"/>
    <w:rsid w:val="00D0544B"/>
    <w:rsid w:val="00D118BC"/>
    <w:rsid w:val="00D26570"/>
    <w:rsid w:val="00D27262"/>
    <w:rsid w:val="00D33905"/>
    <w:rsid w:val="00D45D37"/>
    <w:rsid w:val="00D5420F"/>
    <w:rsid w:val="00D85C4D"/>
    <w:rsid w:val="00DA1B8E"/>
    <w:rsid w:val="00DA478D"/>
    <w:rsid w:val="00DB3234"/>
    <w:rsid w:val="00DC3D93"/>
    <w:rsid w:val="00DE2F8B"/>
    <w:rsid w:val="00DF35CA"/>
    <w:rsid w:val="00E135D2"/>
    <w:rsid w:val="00E30F73"/>
    <w:rsid w:val="00E36C4B"/>
    <w:rsid w:val="00E51DA2"/>
    <w:rsid w:val="00E562E2"/>
    <w:rsid w:val="00E66244"/>
    <w:rsid w:val="00E70E4B"/>
    <w:rsid w:val="00E80BCF"/>
    <w:rsid w:val="00E84C84"/>
    <w:rsid w:val="00E92B8B"/>
    <w:rsid w:val="00EA00AF"/>
    <w:rsid w:val="00ED6C94"/>
    <w:rsid w:val="00EE4225"/>
    <w:rsid w:val="00EE51CE"/>
    <w:rsid w:val="00EF475E"/>
    <w:rsid w:val="00F27DCC"/>
    <w:rsid w:val="00F50E24"/>
    <w:rsid w:val="00F72B80"/>
    <w:rsid w:val="00F76129"/>
    <w:rsid w:val="00F90FB4"/>
    <w:rsid w:val="00FB0D7B"/>
    <w:rsid w:val="00FB5DAB"/>
    <w:rsid w:val="00FD0886"/>
    <w:rsid w:val="00FF1E6D"/>
    <w:rsid w:val="00FF2987"/>
    <w:rsid w:val="01D742AB"/>
    <w:rsid w:val="01F603F4"/>
    <w:rsid w:val="02E01C47"/>
    <w:rsid w:val="037405E1"/>
    <w:rsid w:val="03E67351"/>
    <w:rsid w:val="04040260"/>
    <w:rsid w:val="088D53B5"/>
    <w:rsid w:val="0B8E5001"/>
    <w:rsid w:val="0D6E4496"/>
    <w:rsid w:val="0FE0639D"/>
    <w:rsid w:val="105C6685"/>
    <w:rsid w:val="138F42EC"/>
    <w:rsid w:val="13B10A95"/>
    <w:rsid w:val="13C44C6D"/>
    <w:rsid w:val="14531B4D"/>
    <w:rsid w:val="146B7F11"/>
    <w:rsid w:val="162F15FC"/>
    <w:rsid w:val="190A0330"/>
    <w:rsid w:val="1AB7472F"/>
    <w:rsid w:val="1AC217DA"/>
    <w:rsid w:val="1BD23C9F"/>
    <w:rsid w:val="1CB96BD6"/>
    <w:rsid w:val="1E1037B0"/>
    <w:rsid w:val="200F606B"/>
    <w:rsid w:val="21983439"/>
    <w:rsid w:val="21BE0887"/>
    <w:rsid w:val="26026D5A"/>
    <w:rsid w:val="27286E69"/>
    <w:rsid w:val="2741710D"/>
    <w:rsid w:val="281F2E85"/>
    <w:rsid w:val="28390F3D"/>
    <w:rsid w:val="28923BAB"/>
    <w:rsid w:val="2B312790"/>
    <w:rsid w:val="2EB77450"/>
    <w:rsid w:val="30CC4D09"/>
    <w:rsid w:val="3207249C"/>
    <w:rsid w:val="336F3500"/>
    <w:rsid w:val="340F5638"/>
    <w:rsid w:val="35E22D82"/>
    <w:rsid w:val="36232870"/>
    <w:rsid w:val="375B6DF0"/>
    <w:rsid w:val="37A05395"/>
    <w:rsid w:val="38B4130B"/>
    <w:rsid w:val="39CB6E13"/>
    <w:rsid w:val="3A63223A"/>
    <w:rsid w:val="3CA61CD5"/>
    <w:rsid w:val="3E683CB2"/>
    <w:rsid w:val="3EA80B63"/>
    <w:rsid w:val="42096F4A"/>
    <w:rsid w:val="440656C2"/>
    <w:rsid w:val="4464528A"/>
    <w:rsid w:val="452A0E48"/>
    <w:rsid w:val="457E617A"/>
    <w:rsid w:val="46E75FA1"/>
    <w:rsid w:val="47DB78B4"/>
    <w:rsid w:val="49696171"/>
    <w:rsid w:val="4D80783A"/>
    <w:rsid w:val="4E3754E4"/>
    <w:rsid w:val="4EB74069"/>
    <w:rsid w:val="508E2556"/>
    <w:rsid w:val="51257E37"/>
    <w:rsid w:val="52383CD7"/>
    <w:rsid w:val="524375D2"/>
    <w:rsid w:val="57D123D4"/>
    <w:rsid w:val="5AC93EE4"/>
    <w:rsid w:val="5C9F231B"/>
    <w:rsid w:val="5D5D7F7E"/>
    <w:rsid w:val="5DCA7AB5"/>
    <w:rsid w:val="5F1D40E4"/>
    <w:rsid w:val="5F3F31FB"/>
    <w:rsid w:val="62F5046E"/>
    <w:rsid w:val="66676D2D"/>
    <w:rsid w:val="67CE48E7"/>
    <w:rsid w:val="69BA7A48"/>
    <w:rsid w:val="69E9408A"/>
    <w:rsid w:val="69EB2348"/>
    <w:rsid w:val="6D254FA9"/>
    <w:rsid w:val="6DFC4ACD"/>
    <w:rsid w:val="715045BF"/>
    <w:rsid w:val="71D03AD6"/>
    <w:rsid w:val="723D01C4"/>
    <w:rsid w:val="72F75718"/>
    <w:rsid w:val="730E2BB4"/>
    <w:rsid w:val="73F54B85"/>
    <w:rsid w:val="7562797C"/>
    <w:rsid w:val="76562366"/>
    <w:rsid w:val="77813AB0"/>
    <w:rsid w:val="778B4A61"/>
    <w:rsid w:val="79BC6C95"/>
    <w:rsid w:val="7AF20495"/>
    <w:rsid w:val="7BC65066"/>
    <w:rsid w:val="7DEC566F"/>
    <w:rsid w:val="7F0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260" w:after="260" w:line="360" w:lineRule="auto"/>
      <w:jc w:val="left"/>
      <w:outlineLvl w:val="2"/>
    </w:pPr>
    <w:rPr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EndNote Bibliography Title"/>
    <w:basedOn w:val="1"/>
    <w:link w:val="13"/>
    <w:qFormat/>
    <w:uiPriority w:val="0"/>
    <w:pPr>
      <w:jc w:val="center"/>
    </w:pPr>
    <w:rPr>
      <w:rFonts w:hint="eastAsia" w:ascii="等线" w:hAnsi="等线" w:eastAsia="等线" w:cs="等线"/>
      <w:sz w:val="20"/>
    </w:rPr>
  </w:style>
  <w:style w:type="character" w:customStyle="1" w:styleId="13">
    <w:name w:val="EndNote Bibliography Title 字符"/>
    <w:basedOn w:val="8"/>
    <w:link w:val="12"/>
    <w:qFormat/>
    <w:uiPriority w:val="0"/>
    <w:rPr>
      <w:rFonts w:ascii="等线" w:hAnsi="等线" w:eastAsia="等线" w:cs="等线"/>
      <w:kern w:val="2"/>
      <w:szCs w:val="22"/>
    </w:rPr>
  </w:style>
  <w:style w:type="paragraph" w:customStyle="1" w:styleId="14">
    <w:name w:val="EndNote Bibliography"/>
    <w:basedOn w:val="1"/>
    <w:link w:val="15"/>
    <w:qFormat/>
    <w:uiPriority w:val="0"/>
    <w:rPr>
      <w:rFonts w:hint="eastAsia" w:ascii="等线" w:hAnsi="等线" w:eastAsia="等线" w:cs="等线"/>
      <w:sz w:val="20"/>
    </w:rPr>
  </w:style>
  <w:style w:type="character" w:customStyle="1" w:styleId="15">
    <w:name w:val="EndNote Bibliography 字符"/>
    <w:basedOn w:val="8"/>
    <w:link w:val="14"/>
    <w:qFormat/>
    <w:uiPriority w:val="0"/>
    <w:rPr>
      <w:rFonts w:ascii="等线" w:hAnsi="等线" w:eastAsia="等线" w:cs="等线"/>
      <w:kern w:val="2"/>
      <w:szCs w:val="22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标题 3 字符"/>
    <w:link w:val="2"/>
    <w:qFormat/>
    <w:uiPriority w:val="0"/>
    <w:rPr>
      <w:rFonts w:asciiTheme="minorHAnsi" w:hAnsiTheme="minorHAnsi"/>
      <w:sz w:val="24"/>
    </w:rPr>
  </w:style>
  <w:style w:type="character" w:customStyle="1" w:styleId="19">
    <w:name w:val="未处理的提及3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RSC B02 Article Text"/>
    <w:basedOn w:val="1"/>
    <w:qFormat/>
    <w:uiPriority w:val="0"/>
    <w:pPr>
      <w:widowControl/>
      <w:spacing w:line="240" w:lineRule="exact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1">
    <w:name w:val="未处理的提及4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jpeg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tiff"/><Relationship Id="rId24" Type="http://schemas.openxmlformats.org/officeDocument/2006/relationships/image" Target="media/image19.tiff"/><Relationship Id="rId23" Type="http://schemas.openxmlformats.org/officeDocument/2006/relationships/image" Target="media/image18.tiff"/><Relationship Id="rId22" Type="http://schemas.openxmlformats.org/officeDocument/2006/relationships/image" Target="media/image17.tiff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753BE-9549-4859-B375-1A8BD4476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976</Words>
  <Characters>5323</Characters>
  <Lines>92</Lines>
  <Paragraphs>26</Paragraphs>
  <TotalTime>1</TotalTime>
  <ScaleCrop>false</ScaleCrop>
  <LinksUpToDate>false</LinksUpToDate>
  <CharactersWithSpaces>6150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2020-02-20T10:02:00Z</dcterms:created>
  <dc:creator>刘宇轩</dc:creator>
  <cp:lastModifiedBy>10406</cp:lastModifiedBy>
  <dcterms:modified xsi:type="dcterms:W3CDTF">2023-05-07T09:06:08Z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EF097D4E2C164442A54AA845CCBAC8C1_13</vt:lpwstr>
  </property>
</Properties>
</file>