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F5FA31" w14:textId="77777777" w:rsidR="00E87797" w:rsidRDefault="00E87797" w:rsidP="00E87797">
      <w:pPr>
        <w:jc w:val="center"/>
      </w:pPr>
    </w:p>
    <w:p w14:paraId="6D8C23EE" w14:textId="77777777" w:rsidR="00E87797" w:rsidRPr="00032F14" w:rsidRDefault="00E87797" w:rsidP="00E87797"/>
    <w:p w14:paraId="344B64A9" w14:textId="77777777" w:rsidR="00E87797" w:rsidRPr="004119A8" w:rsidRDefault="00E87797" w:rsidP="00E87797">
      <w:pPr>
        <w:keepNext/>
        <w:spacing w:after="0" w:line="480" w:lineRule="auto"/>
        <w:jc w:val="center"/>
        <w:rPr>
          <w:rFonts w:ascii="Calibri" w:eastAsia="MS Mincho" w:hAnsi="Calibri" w:cs="Arial"/>
        </w:rPr>
      </w:pPr>
      <w:r w:rsidRPr="004119A8">
        <w:rPr>
          <w:rFonts w:ascii="Calibri" w:eastAsia="MS Mincho" w:hAnsi="Calibri" w:cs="Arial"/>
        </w:rPr>
        <w:object w:dxaOrig="9763" w:dyaOrig="11016" w14:anchorId="196930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213.75pt" o:ole="">
            <v:imagedata r:id="rId4" o:title=""/>
          </v:shape>
          <o:OLEObject Type="Embed" ProgID="ChemDraw.Document.6.0" ShapeID="_x0000_i1025" DrawAspect="Content" ObjectID="_1745652110" r:id="rId5"/>
        </w:object>
      </w:r>
    </w:p>
    <w:p w14:paraId="4B618355" w14:textId="77777777" w:rsidR="00E87797" w:rsidRDefault="00E87797" w:rsidP="00E87797">
      <w:pPr>
        <w:spacing w:line="480" w:lineRule="auto"/>
        <w:rPr>
          <w:rFonts w:ascii="Times New Roman" w:eastAsia="MS Mincho" w:hAnsi="Times New Roman" w:cs="Times New Roman"/>
          <w:sz w:val="24"/>
          <w:szCs w:val="24"/>
          <w:lang w:bidi="ar-EG"/>
        </w:rPr>
      </w:pPr>
      <w:r w:rsidRPr="004119A8">
        <w:rPr>
          <w:rFonts w:ascii="Times New Roman" w:eastAsia="MS Mincho" w:hAnsi="Times New Roman" w:cs="Times New Roman"/>
          <w:b/>
          <w:bCs/>
        </w:rPr>
        <w:t xml:space="preserve">Scheme </w:t>
      </w:r>
      <w:r w:rsidRPr="004119A8">
        <w:rPr>
          <w:rFonts w:ascii="Times New Roman" w:eastAsia="MS Mincho" w:hAnsi="Times New Roman" w:cs="Times New Roman"/>
          <w:b/>
          <w:bCs/>
        </w:rPr>
        <w:fldChar w:fldCharType="begin"/>
      </w:r>
      <w:r w:rsidRPr="004119A8">
        <w:rPr>
          <w:rFonts w:ascii="Times New Roman" w:eastAsia="MS Mincho" w:hAnsi="Times New Roman" w:cs="Times New Roman"/>
          <w:b/>
          <w:bCs/>
        </w:rPr>
        <w:instrText xml:space="preserve"> SEQ Scheme \* ARABIC </w:instrText>
      </w:r>
      <w:r w:rsidRPr="004119A8">
        <w:rPr>
          <w:rFonts w:ascii="Times New Roman" w:eastAsia="MS Mincho" w:hAnsi="Times New Roman" w:cs="Times New Roman"/>
          <w:b/>
          <w:bCs/>
        </w:rPr>
        <w:fldChar w:fldCharType="separate"/>
      </w:r>
      <w:r w:rsidRPr="004119A8">
        <w:rPr>
          <w:rFonts w:ascii="Times New Roman" w:eastAsia="MS Mincho" w:hAnsi="Times New Roman" w:cs="Times New Roman"/>
          <w:b/>
          <w:bCs/>
          <w:noProof/>
        </w:rPr>
        <w:t>1</w:t>
      </w:r>
      <w:r w:rsidRPr="004119A8">
        <w:rPr>
          <w:rFonts w:ascii="Times New Roman" w:eastAsia="MS Mincho" w:hAnsi="Times New Roman" w:cs="Times New Roman"/>
          <w:b/>
          <w:bCs/>
        </w:rPr>
        <w:fldChar w:fldCharType="end"/>
      </w:r>
      <w:r w:rsidRPr="004119A8">
        <w:rPr>
          <w:rFonts w:ascii="Times New Roman" w:eastAsia="MS Mincho" w:hAnsi="Times New Roman" w:cs="Times New Roman"/>
          <w:b/>
          <w:bCs/>
        </w:rPr>
        <w:t xml:space="preserve">. </w:t>
      </w:r>
      <w:r w:rsidRPr="004119A8">
        <w:rPr>
          <w:rFonts w:ascii="Times New Roman" w:eastAsia="MS Mincho" w:hAnsi="Times New Roman" w:cs="Times New Roman"/>
          <w:sz w:val="24"/>
          <w:szCs w:val="24"/>
        </w:rPr>
        <w:t>Synthesis of 4-phenylthiazol-2-yl-(phenylhydrazono)acetonitrile (PTPA) azo dye</w:t>
      </w:r>
      <w:r>
        <w:rPr>
          <w:rFonts w:ascii="Times New Roman" w:eastAsia="MS Mincho" w:hAnsi="Times New Roman" w:cs="Times New Roman"/>
          <w:sz w:val="24"/>
          <w:szCs w:val="24"/>
          <w:lang w:bidi="ar-EG"/>
        </w:rPr>
        <w:t>.</w:t>
      </w:r>
    </w:p>
    <w:p w14:paraId="76F828D8" w14:textId="77777777" w:rsidR="00E87797" w:rsidRDefault="00E87797" w:rsidP="00E87797">
      <w:pPr>
        <w:spacing w:line="480" w:lineRule="auto"/>
        <w:jc w:val="center"/>
        <w:rPr>
          <w:rFonts w:ascii="Times New Roman" w:eastAsia="MS Mincho" w:hAnsi="Times New Roman" w:cs="Times New Roman"/>
          <w:sz w:val="24"/>
          <w:szCs w:val="24"/>
          <w:lang w:bidi="ar-EG"/>
        </w:rPr>
      </w:pPr>
      <w:r>
        <w:rPr>
          <w:noProof/>
          <w:lang w:eastAsia="ja-JP"/>
        </w:rPr>
        <w:drawing>
          <wp:inline distT="0" distB="0" distL="0" distR="0" wp14:anchorId="436C7DCC" wp14:editId="3422DA0B">
            <wp:extent cx="2772461" cy="1463040"/>
            <wp:effectExtent l="19050" t="19050" r="27940" b="228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92786" cy="1473766"/>
                    </a:xfrm>
                    <a:prstGeom prst="rect">
                      <a:avLst/>
                    </a:prstGeom>
                    <a:noFill/>
                    <a:ln>
                      <a:solidFill>
                        <a:sysClr val="windowText" lastClr="000000"/>
                      </a:solidFill>
                    </a:ln>
                  </pic:spPr>
                </pic:pic>
              </a:graphicData>
            </a:graphic>
          </wp:inline>
        </w:drawing>
      </w:r>
    </w:p>
    <w:p w14:paraId="2943E5EC" w14:textId="77777777" w:rsidR="00E87797" w:rsidRPr="00A51EF6" w:rsidRDefault="00E87797" w:rsidP="00E87797">
      <w:pPr>
        <w:spacing w:line="480" w:lineRule="auto"/>
        <w:rPr>
          <w:rFonts w:ascii="Times New Roman" w:eastAsia="MS Mincho" w:hAnsi="Times New Roman" w:cs="Times New Roman"/>
          <w:sz w:val="24"/>
          <w:szCs w:val="24"/>
          <w:lang w:bidi="ar-EG"/>
        </w:rPr>
      </w:pPr>
      <w:r w:rsidRPr="00A51EF6">
        <w:rPr>
          <w:rFonts w:ascii="Times New Roman" w:eastAsia="MS Mincho" w:hAnsi="Times New Roman" w:cs="Times New Roman"/>
          <w:b/>
          <w:bCs/>
        </w:rPr>
        <w:t xml:space="preserve">Scheme 2. </w:t>
      </w:r>
      <w:r w:rsidRPr="00A51EF6">
        <w:rPr>
          <w:rFonts w:ascii="Times New Roman" w:eastAsia="MS Mincho" w:hAnsi="Times New Roman" w:cs="Times New Roman"/>
        </w:rPr>
        <w:t>Schematic illustration of the cross-section specimens' shape for electrical conductivity testing</w:t>
      </w:r>
    </w:p>
    <w:p w14:paraId="2CD86787" w14:textId="77777777" w:rsidR="00E87797" w:rsidRPr="004119A8" w:rsidRDefault="00E87797" w:rsidP="00E87797">
      <w:pPr>
        <w:spacing w:line="480" w:lineRule="auto"/>
        <w:rPr>
          <w:rFonts w:ascii="Times New Roman" w:eastAsia="MS Mincho" w:hAnsi="Times New Roman" w:cs="Times New Roman"/>
          <w:sz w:val="24"/>
          <w:szCs w:val="24"/>
          <w:lang w:bidi="ar-EG"/>
        </w:rPr>
      </w:pPr>
    </w:p>
    <w:p w14:paraId="050862E3" w14:textId="77777777" w:rsidR="00E87797" w:rsidRDefault="00E87797" w:rsidP="00E87797"/>
    <w:p w14:paraId="2DC664D3" w14:textId="77777777" w:rsidR="00E87797" w:rsidRDefault="00E87797" w:rsidP="00E87797">
      <w:pPr>
        <w:spacing w:line="480" w:lineRule="auto"/>
        <w:jc w:val="both"/>
        <w:rPr>
          <w:rFonts w:ascii="Calibri" w:eastAsia="MS Mincho" w:hAnsi="Calibri" w:cs="Arial"/>
        </w:rPr>
      </w:pPr>
    </w:p>
    <w:p w14:paraId="2F16BBA2" w14:textId="77777777" w:rsidR="00E87797" w:rsidRDefault="00E87797" w:rsidP="00E87797">
      <w:pPr>
        <w:spacing w:line="480" w:lineRule="auto"/>
        <w:jc w:val="both"/>
        <w:rPr>
          <w:rFonts w:ascii="Calibri" w:eastAsia="MS Mincho" w:hAnsi="Calibri" w:cs="Arial"/>
        </w:rPr>
      </w:pPr>
    </w:p>
    <w:p w14:paraId="16290C8C" w14:textId="77777777" w:rsidR="00E87797" w:rsidRDefault="00E87797" w:rsidP="00E87797">
      <w:pPr>
        <w:spacing w:after="0" w:line="480" w:lineRule="auto"/>
        <w:jc w:val="center"/>
      </w:pPr>
      <w:r>
        <w:rPr>
          <w:rFonts w:ascii="Calibri" w:eastAsia="Calibri" w:hAnsi="Calibri" w:cs="Arial"/>
        </w:rPr>
        <w:object w:dxaOrig="7770" w:dyaOrig="2325" w14:anchorId="73853700">
          <v:shape id="_x0000_i1026" type="#_x0000_t75" style="width:387.75pt;height:116.25pt" o:ole="">
            <v:imagedata r:id="rId7" o:title=""/>
          </v:shape>
          <o:OLEObject Type="Embed" ProgID="ChemDraw.Document.6.0" ShapeID="_x0000_i1026" DrawAspect="Content" ObjectID="_1745652111" r:id="rId8"/>
        </w:object>
      </w:r>
    </w:p>
    <w:p w14:paraId="3FD31068" w14:textId="77777777" w:rsidR="00E87797" w:rsidRDefault="00E87797" w:rsidP="00E87797">
      <w:pPr>
        <w:spacing w:after="0" w:line="480" w:lineRule="auto"/>
        <w:jc w:val="center"/>
        <w:rPr>
          <w:rFonts w:ascii="Times New Roman" w:hAnsi="Times New Roman" w:cs="Times New Roman"/>
          <w:sz w:val="24"/>
          <w:szCs w:val="24"/>
        </w:rPr>
      </w:pPr>
      <w:r>
        <w:rPr>
          <w:rFonts w:ascii="Times New Roman" w:hAnsi="Times New Roman" w:cs="Times New Roman"/>
          <w:b/>
          <w:bCs/>
          <w:sz w:val="24"/>
          <w:szCs w:val="24"/>
        </w:rPr>
        <w:t>Scheme 3.</w:t>
      </w:r>
      <w:r>
        <w:rPr>
          <w:rFonts w:ascii="Times New Roman" w:hAnsi="Times New Roman" w:cs="Times New Roman"/>
          <w:sz w:val="24"/>
          <w:szCs w:val="24"/>
        </w:rPr>
        <w:t xml:space="preserve"> Azo-Hydrazone  tautomerism of thiazole azo dye</w:t>
      </w:r>
      <w:r>
        <w:rPr>
          <w:rFonts w:ascii="Times New Roman" w:hAnsi="Times New Roman" w:cs="Times New Roman"/>
        </w:rPr>
        <w:t>.</w:t>
      </w:r>
    </w:p>
    <w:p w14:paraId="1F292C71" w14:textId="77777777" w:rsidR="00E87797" w:rsidRDefault="00E87797" w:rsidP="00E87797">
      <w:pPr>
        <w:spacing w:line="480" w:lineRule="auto"/>
        <w:jc w:val="both"/>
        <w:rPr>
          <w:rFonts w:ascii="Calibri" w:eastAsia="MS Mincho" w:hAnsi="Calibri" w:cs="Arial"/>
        </w:rPr>
      </w:pPr>
    </w:p>
    <w:p w14:paraId="099AA98B" w14:textId="77777777" w:rsidR="00E87797" w:rsidRDefault="00E87797" w:rsidP="00E87797">
      <w:pPr>
        <w:spacing w:line="480" w:lineRule="auto"/>
        <w:jc w:val="center"/>
        <w:rPr>
          <w:rFonts w:ascii="Calibri" w:eastAsia="MS Mincho" w:hAnsi="Calibri" w:cs="Arial"/>
        </w:rPr>
      </w:pPr>
      <w:r w:rsidRPr="00D56A3C">
        <w:rPr>
          <w:rFonts w:ascii="Calibri" w:eastAsia="MS Mincho" w:hAnsi="Calibri" w:cs="Arial"/>
        </w:rPr>
        <w:object w:dxaOrig="9364" w:dyaOrig="3362" w14:anchorId="589BE03A">
          <v:shape id="_x0000_i1027" type="#_x0000_t75" style="width:330.75pt;height:119.25pt" o:ole="">
            <v:imagedata r:id="rId9" o:title=""/>
          </v:shape>
          <o:OLEObject Type="Embed" ProgID="ChemDraw.Document.6.0" ShapeID="_x0000_i1027" DrawAspect="Content" ObjectID="_1745652112" r:id="rId10"/>
        </w:object>
      </w:r>
    </w:p>
    <w:p w14:paraId="0D66FFB5" w14:textId="77777777" w:rsidR="00E87797" w:rsidRPr="00D56A3C" w:rsidRDefault="00E87797" w:rsidP="00E87797">
      <w:pPr>
        <w:spacing w:line="480" w:lineRule="auto"/>
        <w:jc w:val="both"/>
        <w:rPr>
          <w:rFonts w:ascii="Times New Roman" w:eastAsia="MS Mincho" w:hAnsi="Times New Roman" w:cs="Times New Roman"/>
          <w:sz w:val="24"/>
          <w:szCs w:val="24"/>
        </w:rPr>
      </w:pPr>
      <w:r w:rsidRPr="00D56A3C">
        <w:rPr>
          <w:rFonts w:ascii="Times New Roman" w:eastAsia="MS Mincho" w:hAnsi="Times New Roman" w:cs="Times New Roman"/>
          <w:b/>
          <w:bCs/>
          <w:sz w:val="24"/>
          <w:szCs w:val="24"/>
        </w:rPr>
        <w:t xml:space="preserve">Scheme </w:t>
      </w:r>
      <w:r>
        <w:rPr>
          <w:rFonts w:ascii="Times New Roman" w:eastAsia="MS Mincho" w:hAnsi="Times New Roman" w:cs="Times New Roman"/>
          <w:b/>
          <w:bCs/>
          <w:sz w:val="24"/>
          <w:szCs w:val="24"/>
        </w:rPr>
        <w:t>4</w:t>
      </w:r>
      <w:r w:rsidRPr="00D56A3C">
        <w:rPr>
          <w:rFonts w:ascii="Times New Roman" w:eastAsia="MS Mincho" w:hAnsi="Times New Roman" w:cs="Times New Roman"/>
          <w:b/>
          <w:bCs/>
          <w:sz w:val="24"/>
          <w:szCs w:val="24"/>
        </w:rPr>
        <w:t>.</w:t>
      </w:r>
      <w:r w:rsidRPr="00D56A3C">
        <w:rPr>
          <w:rFonts w:ascii="Times New Roman" w:eastAsia="MS Mincho" w:hAnsi="Times New Roman" w:cs="Times New Roman"/>
          <w:sz w:val="24"/>
          <w:szCs w:val="24"/>
        </w:rPr>
        <w:t xml:space="preserve"> The intra and intermolecular hydrogen bonds of the predominant </w:t>
      </w:r>
      <w:r w:rsidRPr="00D56A3C">
        <w:rPr>
          <w:rFonts w:ascii="Times New Roman" w:eastAsia="MS Mincho" w:hAnsi="Times New Roman" w:cs="Times New Roman"/>
          <w:i/>
          <w:iCs/>
          <w:sz w:val="24"/>
          <w:szCs w:val="24"/>
        </w:rPr>
        <w:t>Z</w:t>
      </w:r>
      <w:r w:rsidRPr="00D56A3C">
        <w:rPr>
          <w:rFonts w:ascii="Times New Roman" w:eastAsia="MS Mincho" w:hAnsi="Times New Roman" w:cs="Times New Roman"/>
          <w:sz w:val="24"/>
          <w:szCs w:val="24"/>
        </w:rPr>
        <w:t xml:space="preserve">- and </w:t>
      </w:r>
      <w:r w:rsidRPr="00D56A3C">
        <w:rPr>
          <w:rFonts w:ascii="Times New Roman" w:eastAsia="MS Mincho" w:hAnsi="Times New Roman" w:cs="Times New Roman"/>
          <w:i/>
          <w:iCs/>
          <w:sz w:val="24"/>
          <w:szCs w:val="24"/>
        </w:rPr>
        <w:t>E-</w:t>
      </w:r>
      <w:r w:rsidRPr="00D56A3C">
        <w:rPr>
          <w:rFonts w:ascii="Times New Roman" w:eastAsia="MS Mincho" w:hAnsi="Times New Roman" w:cs="Times New Roman"/>
          <w:sz w:val="24"/>
          <w:szCs w:val="24"/>
        </w:rPr>
        <w:t xml:space="preserve"> hydrazone forms of PTPA dye. </w:t>
      </w:r>
      <w:r w:rsidRPr="00D56A3C">
        <w:rPr>
          <w:rFonts w:ascii="Times New Roman" w:eastAsia="MS Mincho" w:hAnsi="Times New Roman" w:cs="Times New Roman"/>
        </w:rPr>
        <w:t>(*Numbering of carbons and protons will not be continuous and not follow numbering rules, where the thiazolylacetonitrile moiety has numbers from 1' to 9', on the other hand the substituted phenyl ring has numbers from 1 to 7.</w:t>
      </w:r>
    </w:p>
    <w:p w14:paraId="3E843908" w14:textId="77777777" w:rsidR="00E1715D" w:rsidRDefault="00E87797"/>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797"/>
    <w:rsid w:val="001942F0"/>
    <w:rsid w:val="002C0857"/>
    <w:rsid w:val="003F01F8"/>
    <w:rsid w:val="00884728"/>
    <w:rsid w:val="008E2845"/>
    <w:rsid w:val="00D00B5E"/>
    <w:rsid w:val="00E87797"/>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E82AE"/>
  <w15:chartTrackingRefBased/>
  <w15:docId w15:val="{FE6F4568-296B-43B7-99CB-0C424861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79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oleObject" Target="embeddings/oleObject1.bin"/><Relationship Id="rId10" Type="http://schemas.openxmlformats.org/officeDocument/2006/relationships/oleObject" Target="embeddings/oleObject3.bin"/><Relationship Id="rId4" Type="http://schemas.openxmlformats.org/officeDocument/2006/relationships/image" Target="media/image1.emf"/><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Words>
  <Characters>622</Characters>
  <Application>Microsoft Office Word</Application>
  <DocSecurity>0</DocSecurity>
  <Lines>5</Lines>
  <Paragraphs>1</Paragraphs>
  <ScaleCrop>false</ScaleCrop>
  <Company>Springer Nature</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2023-05-15T05:05:00Z</dcterms:created>
  <dcterms:modified xsi:type="dcterms:W3CDTF">2023-05-15T05:05:00Z</dcterms:modified>
</cp:coreProperties>
</file>