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C0C4F" w14:textId="77777777" w:rsidR="005F467E" w:rsidRDefault="005F467E" w:rsidP="005F467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EBBF91" wp14:editId="6F20BC65">
            <wp:extent cx="5274310" cy="7369810"/>
            <wp:effectExtent l="0" t="0" r="2540" b="2540"/>
            <wp:docPr id="5947917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6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0FDC6" w14:textId="77777777" w:rsidR="005F467E" w:rsidRDefault="005F467E" w:rsidP="005F467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E85AAA" wp14:editId="4DEB0765">
            <wp:extent cx="5274310" cy="6837680"/>
            <wp:effectExtent l="0" t="0" r="2540" b="1270"/>
            <wp:docPr id="98700480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3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49548" w14:textId="77777777" w:rsidR="005F467E" w:rsidRDefault="005F467E" w:rsidP="005F467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C878D26" wp14:editId="073ED462">
            <wp:extent cx="5054600" cy="8863330"/>
            <wp:effectExtent l="0" t="0" r="0" b="0"/>
            <wp:docPr id="199125127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FCAD8" w14:textId="77777777" w:rsidR="005F467E" w:rsidRDefault="005F467E" w:rsidP="005F46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288C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</w:t>
      </w:r>
      <w:r w:rsidRPr="00B61D6C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5E77C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B61D6C">
        <w:rPr>
          <w:rFonts w:ascii="Times New Roman" w:hAnsi="Times New Roman" w:cs="Times New Roman"/>
          <w:b/>
          <w:bCs/>
          <w:sz w:val="24"/>
          <w:szCs w:val="24"/>
        </w:rPr>
        <w:t>3. Comparison of the sensitivity of the experimental and other clinical chemotherapeutic agents between the two groups</w:t>
      </w:r>
    </w:p>
    <w:p w14:paraId="39B57239" w14:textId="77777777" w:rsidR="005F467E" w:rsidRDefault="005F467E" w:rsidP="005F46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705C74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7E"/>
    <w:rsid w:val="003F1652"/>
    <w:rsid w:val="005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3E03"/>
  <w15:chartTrackingRefBased/>
  <w15:docId w15:val="{80C7F22B-7271-4281-B308-0D20729C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67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</Words>
  <Characters>117</Characters>
  <Application>Microsoft Office Word</Application>
  <DocSecurity>0</DocSecurity>
  <Lines>1</Lines>
  <Paragraphs>1</Paragraphs>
  <ScaleCrop>false</ScaleCrop>
  <Company>Springer Nature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2023-05-12T17:34:00Z</dcterms:created>
  <dcterms:modified xsi:type="dcterms:W3CDTF">2023-05-12T17:35:00Z</dcterms:modified>
</cp:coreProperties>
</file>