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drawing>
          <wp:inline distT="0" distB="0" distL="114300" distR="114300">
            <wp:extent cx="5394960" cy="5816600"/>
            <wp:effectExtent l="0" t="0" r="5715" b="3175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581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Figure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S1: Selection of prognostic-related ECM genes in HGSOC patients.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(A) </w:t>
      </w:r>
      <w:r>
        <w:rPr>
          <w:rFonts w:hint="eastAsia" w:ascii="Times New Roman" w:hAnsi="Times New Roman" w:cs="Times New Roman"/>
          <w:sz w:val="24"/>
        </w:rPr>
        <w:t>The e</w:t>
      </w:r>
      <w:r>
        <w:rPr>
          <w:rFonts w:ascii="Times New Roman" w:hAnsi="Times New Roman" w:cs="Times New Roman"/>
          <w:sz w:val="24"/>
        </w:rPr>
        <w:t>xpression of prognostic-related ECM genes in TCGA-OV and GTEx-ovarian tissues.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(B) Principal component analysis of prognostic-related ECM genes to distinguish ovarian cancer from normal ovarian tissues.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(C) Heatmap showing the correlation between the expression level and the methylation (upper), the amplification frequency (middle), and the deletion frequency (bottom) for prognostic-related ECM genes.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(D) Waterfall plot of prognostic-related ECM genes in TCGA-OV cohort.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(E) GO enrichment analyses based on the prognostic-related ECM genes.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(F) KEGG enrichment analyses based on the prognostic-related ECM genes.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drawing>
          <wp:inline distT="0" distB="0" distL="114300" distR="114300">
            <wp:extent cx="5986780" cy="5975350"/>
            <wp:effectExtent l="0" t="0" r="4445" b="6350"/>
            <wp:docPr id="2" name="图片 2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86780" cy="597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Figure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S2: Correlation analysis between prognostic-related ECM genes in meta-data and TCGA-OV cohort.</w:t>
      </w:r>
    </w:p>
    <w:p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drawing>
          <wp:inline distT="0" distB="0" distL="114300" distR="114300">
            <wp:extent cx="6034405" cy="6505575"/>
            <wp:effectExtent l="0" t="0" r="4445" b="0"/>
            <wp:docPr id="3" name="图片 3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34405" cy="650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Figure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S3: Identification of two ECM clusters in different cohort</w:t>
      </w: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.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(A) Cumulative distribution function curve displaying consensus distributions for each k value (from 2 to 6) in different cohorts.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(B) Consensus clustering cumulative distribution function for k = 2 in different cohorts.</w:t>
      </w:r>
    </w:p>
    <w:p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drawing>
          <wp:inline distT="0" distB="0" distL="114300" distR="114300">
            <wp:extent cx="5260340" cy="6898640"/>
            <wp:effectExtent l="0" t="0" r="6985" b="6985"/>
            <wp:docPr id="4" name="图片 4" descr="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689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Figure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S4: Unsupervised consensus clustering analys</w:t>
      </w:r>
      <w:r>
        <w:rPr>
          <w:rFonts w:hint="eastAsia" w:ascii="Times New Roman" w:hAnsi="Times New Roman" w:cs="Times New Roman"/>
          <w:b/>
          <w:bCs/>
          <w:sz w:val="24"/>
        </w:rPr>
        <w:t>es</w:t>
      </w:r>
      <w:r>
        <w:rPr>
          <w:rFonts w:ascii="Times New Roman" w:hAnsi="Times New Roman" w:cs="Times New Roman"/>
          <w:b/>
          <w:bCs/>
          <w:sz w:val="24"/>
        </w:rPr>
        <w:t xml:space="preserve"> identified two ECM clusters with heterogeneous prognosis</w:t>
      </w:r>
      <w:r>
        <w:rPr>
          <w:rFonts w:hint="eastAsia" w:ascii="Times New Roman" w:hAnsi="Times New Roman" w:cs="Times New Roman"/>
          <w:b/>
          <w:bCs/>
          <w:sz w:val="24"/>
        </w:rPr>
        <w:t>.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(A) Heatmap displaying the transcriptome profiles of the prognostic-related ECM genes in different cohorts.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(B, C) Kaplan-Meier analys</w:t>
      </w:r>
      <w:r>
        <w:rPr>
          <w:rFonts w:hint="eastAsia" w:ascii="Times New Roman" w:hAnsi="Times New Roman" w:cs="Times New Roman"/>
          <w:sz w:val="24"/>
        </w:rPr>
        <w:t>es</w:t>
      </w:r>
      <w:r>
        <w:rPr>
          <w:rFonts w:ascii="Times New Roman" w:hAnsi="Times New Roman" w:cs="Times New Roman"/>
          <w:sz w:val="24"/>
        </w:rPr>
        <w:t xml:space="preserve"> estimat</w:t>
      </w:r>
      <w:r>
        <w:rPr>
          <w:rFonts w:hint="eastAsia" w:ascii="Times New Roman" w:hAnsi="Times New Roman" w:cs="Times New Roman"/>
          <w:sz w:val="24"/>
        </w:rPr>
        <w:t>ing</w:t>
      </w:r>
      <w:r>
        <w:rPr>
          <w:rFonts w:ascii="Times New Roman" w:hAnsi="Times New Roman" w:cs="Times New Roman"/>
          <w:sz w:val="24"/>
        </w:rPr>
        <w:t xml:space="preserve"> OS (B) and PFS (C) between cluster C1 and cluster C2 in different cohorts.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color w:val="131413"/>
          <w:sz w:val="24"/>
        </w:rPr>
      </w:pPr>
      <w:r>
        <w:rPr>
          <w:rFonts w:ascii="Times New Roman" w:hAnsi="Times New Roman" w:cs="Times New Roman"/>
          <w:b/>
          <w:bCs/>
          <w:color w:val="131413"/>
          <w:sz w:val="24"/>
        </w:rPr>
        <w:drawing>
          <wp:inline distT="0" distB="0" distL="114300" distR="114300">
            <wp:extent cx="5817870" cy="6834505"/>
            <wp:effectExtent l="0" t="0" r="1905" b="4445"/>
            <wp:docPr id="5" name="图片 5" descr="Figure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ure S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17870" cy="683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color w:val="131413"/>
          <w:sz w:val="24"/>
        </w:rPr>
      </w:pPr>
      <w:r>
        <w:rPr>
          <w:rFonts w:ascii="Times New Roman" w:hAnsi="Times New Roman" w:cs="Times New Roman"/>
          <w:b/>
          <w:bCs/>
          <w:color w:val="131413"/>
          <w:sz w:val="24"/>
        </w:rPr>
        <w:t>Figure</w:t>
      </w:r>
      <w:r>
        <w:rPr>
          <w:rFonts w:hint="eastAsia" w:ascii="Times New Roman" w:hAnsi="Times New Roman" w:cs="Times New Roman"/>
          <w:b/>
          <w:bCs/>
          <w:color w:val="131413"/>
          <w:sz w:val="24"/>
        </w:rPr>
        <w:t xml:space="preserve"> </w:t>
      </w:r>
      <w:r>
        <w:rPr>
          <w:rFonts w:ascii="Times New Roman" w:hAnsi="Times New Roman" w:cs="Times New Roman"/>
          <w:b/>
          <w:bCs/>
          <w:color w:val="131413"/>
          <w:sz w:val="24"/>
        </w:rPr>
        <w:t>S5: Validation of the ECMscore in six independent cohorts.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131413"/>
          <w:sz w:val="24"/>
        </w:rPr>
      </w:pPr>
      <w:r>
        <w:rPr>
          <w:rFonts w:hint="eastAsia" w:ascii="Times New Roman" w:hAnsi="Times New Roman" w:cs="Times New Roman"/>
          <w:color w:val="131413"/>
          <w:sz w:val="24"/>
        </w:rPr>
        <w:t>Kaplan-Meier analyses estimating OS (A) and PFS (B) between low- and high- ECMscore groups in different cohorts.</w:t>
      </w:r>
    </w:p>
    <w:p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drawing>
          <wp:inline distT="0" distB="0" distL="114300" distR="114300">
            <wp:extent cx="5991860" cy="4562475"/>
            <wp:effectExtent l="0" t="0" r="8890" b="0"/>
            <wp:docPr id="6" name="图片 6" descr="Figure 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ure S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91860" cy="456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Figure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S6: (A) </w:t>
      </w:r>
      <w:r>
        <w:rPr>
          <w:rFonts w:hint="eastAsia" w:ascii="Times New Roman" w:hAnsi="Times New Roman" w:cs="Times New Roman"/>
          <w:b/>
          <w:bCs/>
          <w:sz w:val="24"/>
        </w:rPr>
        <w:t xml:space="preserve">The </w:t>
      </w:r>
      <w:r>
        <w:rPr>
          <w:rFonts w:ascii="Times New Roman" w:hAnsi="Times New Roman" w:cs="Times New Roman"/>
          <w:b/>
          <w:bCs/>
          <w:color w:val="131413"/>
          <w:sz w:val="24"/>
        </w:rPr>
        <w:t>Kaplan-Meier analys</w:t>
      </w:r>
      <w:r>
        <w:rPr>
          <w:rFonts w:hint="eastAsia" w:ascii="Times New Roman" w:hAnsi="Times New Roman" w:cs="Times New Roman"/>
          <w:b/>
          <w:bCs/>
          <w:color w:val="131413"/>
          <w:sz w:val="24"/>
        </w:rPr>
        <w:t>e</w:t>
      </w:r>
      <w:r>
        <w:rPr>
          <w:rFonts w:ascii="Times New Roman" w:hAnsi="Times New Roman" w:cs="Times New Roman"/>
          <w:b/>
          <w:bCs/>
          <w:color w:val="131413"/>
          <w:sz w:val="24"/>
        </w:rPr>
        <w:t>s estimate OS between low- and high-</w:t>
      </w:r>
      <w:r>
        <w:rPr>
          <w:rFonts w:ascii="Times New Roman" w:hAnsi="Times New Roman" w:cs="Times New Roman"/>
          <w:b/>
          <w:bCs/>
          <w:sz w:val="24"/>
        </w:rPr>
        <w:t>ECMscore</w:t>
      </w:r>
      <w:r>
        <w:rPr>
          <w:rFonts w:ascii="Times New Roman" w:hAnsi="Times New Roman" w:cs="Times New Roman"/>
          <w:b/>
          <w:bCs/>
          <w:color w:val="131413"/>
          <w:sz w:val="24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131413"/>
          <w:sz w:val="24"/>
        </w:rPr>
        <w:t>groups</w:t>
      </w:r>
      <w:r>
        <w:rPr>
          <w:rFonts w:ascii="Times New Roman" w:hAnsi="Times New Roman" w:cs="Times New Roman"/>
          <w:b/>
          <w:bCs/>
          <w:color w:val="131413"/>
          <w:sz w:val="24"/>
        </w:rPr>
        <w:t xml:space="preserve"> in </w:t>
      </w:r>
      <w:r>
        <w:rPr>
          <w:rFonts w:ascii="Times New Roman" w:hAnsi="Times New Roman" w:cs="Times New Roman"/>
          <w:b/>
          <w:bCs/>
          <w:sz w:val="24"/>
        </w:rPr>
        <w:t>pan-cancer cohorts</w:t>
      </w:r>
      <w:r>
        <w:rPr>
          <w:rFonts w:ascii="Times New Roman" w:hAnsi="Times New Roman" w:cs="Times New Roman"/>
          <w:b/>
          <w:bCs/>
          <w:color w:val="131413"/>
          <w:sz w:val="24"/>
        </w:rPr>
        <w:t>.</w:t>
      </w:r>
    </w:p>
    <w:p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drawing>
          <wp:inline distT="0" distB="0" distL="114300" distR="114300">
            <wp:extent cx="6082665" cy="6111240"/>
            <wp:effectExtent l="0" t="0" r="3810" b="3810"/>
            <wp:docPr id="7" name="图片 7" descr="Figure 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ure S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82665" cy="611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Figure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S7:</w:t>
      </w:r>
      <w:r>
        <w:rPr>
          <w:rFonts w:ascii="Times New Roman" w:hAnsi="Times New Roman" w:cs="Times New Roman"/>
          <w:b/>
          <w:bCs/>
          <w:color w:val="131413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(A) </w:t>
      </w:r>
      <w:r>
        <w:rPr>
          <w:rFonts w:ascii="Times New Roman" w:hAnsi="Times New Roman" w:cs="Times New Roman"/>
          <w:b/>
          <w:bCs/>
          <w:color w:val="131413"/>
          <w:sz w:val="24"/>
        </w:rPr>
        <w:t>The Kaplan-Meier analys</w:t>
      </w:r>
      <w:r>
        <w:rPr>
          <w:rFonts w:hint="eastAsia" w:ascii="Times New Roman" w:hAnsi="Times New Roman" w:cs="Times New Roman"/>
          <w:b/>
          <w:bCs/>
          <w:color w:val="131413"/>
          <w:sz w:val="24"/>
        </w:rPr>
        <w:t>e</w:t>
      </w:r>
      <w:r>
        <w:rPr>
          <w:rFonts w:ascii="Times New Roman" w:hAnsi="Times New Roman" w:cs="Times New Roman"/>
          <w:b/>
          <w:bCs/>
          <w:color w:val="131413"/>
          <w:sz w:val="24"/>
        </w:rPr>
        <w:t>s estimate PFS between low- and high-</w:t>
      </w:r>
      <w:r>
        <w:rPr>
          <w:rFonts w:ascii="Times New Roman" w:hAnsi="Times New Roman" w:cs="Times New Roman"/>
          <w:b/>
          <w:bCs/>
          <w:sz w:val="24"/>
        </w:rPr>
        <w:t>ECMscore</w:t>
      </w:r>
      <w:r>
        <w:rPr>
          <w:rFonts w:ascii="Times New Roman" w:hAnsi="Times New Roman" w:cs="Times New Roman"/>
          <w:b/>
          <w:bCs/>
          <w:color w:val="131413"/>
          <w:sz w:val="24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131413"/>
          <w:sz w:val="24"/>
        </w:rPr>
        <w:t>groups</w:t>
      </w:r>
      <w:r>
        <w:rPr>
          <w:rFonts w:ascii="Times New Roman" w:hAnsi="Times New Roman" w:cs="Times New Roman"/>
          <w:b/>
          <w:bCs/>
          <w:color w:val="131413"/>
          <w:sz w:val="24"/>
        </w:rPr>
        <w:t xml:space="preserve"> in </w:t>
      </w:r>
      <w:r>
        <w:rPr>
          <w:rFonts w:ascii="Times New Roman" w:hAnsi="Times New Roman" w:cs="Times New Roman"/>
          <w:b/>
          <w:bCs/>
          <w:sz w:val="24"/>
        </w:rPr>
        <w:t>pan-cancer cohorts</w:t>
      </w:r>
      <w:r>
        <w:rPr>
          <w:rFonts w:ascii="Times New Roman" w:hAnsi="Times New Roman" w:cs="Times New Roman"/>
          <w:b/>
          <w:bCs/>
          <w:color w:val="131413"/>
          <w:sz w:val="24"/>
        </w:rPr>
        <w:t>.</w:t>
      </w:r>
    </w:p>
    <w:p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drawing>
          <wp:inline distT="0" distB="0" distL="114300" distR="114300">
            <wp:extent cx="6073775" cy="3187065"/>
            <wp:effectExtent l="0" t="0" r="3175" b="3810"/>
            <wp:docPr id="8" name="图片 8" descr="Figure 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igure S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73775" cy="318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Figure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S8: Underlying biological functions of different ECMscore group</w:t>
      </w:r>
      <w:r>
        <w:rPr>
          <w:rFonts w:hint="eastAsia" w:ascii="Times New Roman" w:hAnsi="Times New Roman" w:cs="Times New Roman"/>
          <w:b/>
          <w:bCs/>
          <w:sz w:val="24"/>
        </w:rPr>
        <w:t>s.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GSEA analys</w:t>
      </w:r>
      <w:r>
        <w:rPr>
          <w:rFonts w:hint="eastAsia"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/>
          <w:sz w:val="24"/>
        </w:rPr>
        <w:t>s of biological process gene sets from the GO database and the</w:t>
      </w:r>
      <w:r>
        <w:rPr>
          <w:rFonts w:hint="eastAsia" w:ascii="Times New Roman" w:hAnsi="Times New Roman" w:cs="Times New Roman"/>
          <w:sz w:val="24"/>
        </w:rPr>
        <w:t xml:space="preserve"> top 10 positively and negatively related pathways with ECMscore were presented.</w:t>
      </w:r>
    </w:p>
    <w:p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drawing>
          <wp:inline distT="0" distB="0" distL="114300" distR="114300">
            <wp:extent cx="6054725" cy="5255895"/>
            <wp:effectExtent l="0" t="0" r="3175" b="1905"/>
            <wp:docPr id="9" name="图片 9" descr="Figure S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ure S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54725" cy="525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Figure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S9: Genomic Features of different ECMscore group</w:t>
      </w:r>
      <w:r>
        <w:rPr>
          <w:rFonts w:hint="eastAsia" w:ascii="Times New Roman" w:hAnsi="Times New Roman" w:cs="Times New Roman"/>
          <w:b/>
          <w:bCs/>
          <w:sz w:val="24"/>
        </w:rPr>
        <w:t>s.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(A) Waterfall plot of the top 20 most frequently mutated genes in the TCGA-OV cohort.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(B) Waterfall plot of genes with different frequencies mutated between the low- and high- ECMscore group.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(C) Heatmap (left) depicted the broad-level copy number alterations in the low- and high- ECMscore group. Bar chart (right) showed the frequency of amplifications or deletions in the low- and high- ECMscore groups.</w:t>
      </w:r>
    </w:p>
    <w:p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drawing>
          <wp:inline distT="0" distB="0" distL="114300" distR="114300">
            <wp:extent cx="5949950" cy="2666365"/>
            <wp:effectExtent l="0" t="0" r="3175" b="635"/>
            <wp:docPr id="10" name="图片 10" descr="Figure S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ure S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9950" cy="266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Figure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S10: The association between the ECMscore and immune landscape.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(A) Correlation between ECMscore and several anticancer tumor-infiltrating immune cells using different algorithms.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(B) Correlation between ECMscore and cancer immunity cycle in TCGA-OV cohort.</w:t>
      </w:r>
    </w:p>
    <w:p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drawing>
          <wp:inline distT="0" distB="0" distL="114300" distR="114300">
            <wp:extent cx="5904865" cy="5913120"/>
            <wp:effectExtent l="0" t="0" r="635" b="1905"/>
            <wp:docPr id="11" name="图片 11" descr="Figure S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igure S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04865" cy="591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Figure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S11: The association between the ECM genes and immune landscape.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(A) The correlation between the expression of 14 prognostic genes and several anticancer tumor-infiltrating immune cells. The color and size of the point reflect the correlation.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(B-D) The correlation between the expression of CAFs mark and COL8A2 (B), MGP (C), and PAPPA (D). The size and color of the point correspond to the correlation.</w:t>
      </w:r>
    </w:p>
    <w:p>
      <w:pPr>
        <w:rPr>
          <w:rFonts w:ascii="Times New Roman" w:hAnsi="Times New Roman" w:cs="Times New Roman"/>
          <w:b/>
          <w:bCs/>
          <w:sz w:val="24"/>
        </w:rPr>
      </w:pPr>
      <w:bookmarkStart w:id="0" w:name="OLE_LINK7"/>
      <w:r>
        <w:rPr>
          <w:rFonts w:ascii="Times New Roman" w:hAnsi="Times New Roman" w:cs="Times New Roman"/>
          <w:b/>
          <w:bCs/>
          <w:sz w:val="24"/>
        </w:rPr>
        <w:br w:type="page"/>
      </w: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drawing>
          <wp:inline distT="0" distB="0" distL="114300" distR="114300">
            <wp:extent cx="5966460" cy="3648075"/>
            <wp:effectExtent l="0" t="0" r="5715" b="0"/>
            <wp:docPr id="12" name="图片 12" descr="Figure S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igure S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66460" cy="364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Figure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S12: Validation of COL8A2, MGP, and PAPPA in single-cell RNA transcriptome data.</w:t>
      </w:r>
    </w:p>
    <w:bookmarkEnd w:id="0"/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(A-D) Expression pattern of COL8A2, MGP, and PAPPA in various cells in GSE147082, the cells were clustered and annotated based on TISCH databases. 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(E) The correlation between the MGP and FN1 was verified by qRT-PCR in the Xiangya cohort.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(F) Kaplan-Meier analysis estimating OS in low- and high- MGP groups in meta-data cohort.</w:t>
      </w:r>
    </w:p>
    <w:p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</w:rPr>
      </w:pPr>
      <w:bookmarkStart w:id="1" w:name="_GoBack"/>
      <w:r>
        <w:rPr>
          <w:rFonts w:ascii="Times New Roman" w:hAnsi="Times New Roman" w:cs="Times New Roman"/>
          <w:b/>
          <w:bCs/>
          <w:sz w:val="24"/>
        </w:rPr>
        <w:drawing>
          <wp:inline distT="0" distB="0" distL="114300" distR="114300">
            <wp:extent cx="5995035" cy="1946910"/>
            <wp:effectExtent l="0" t="0" r="5715" b="5715"/>
            <wp:docPr id="13" name="图片 13" descr="Figure S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Figure S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95035" cy="194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Figure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S13: The IC50 values of several common chemotherapy drugs between low- and high- ECMscore groups in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TCGA-OV cohort.</w:t>
      </w:r>
    </w:p>
    <w:p>
      <w:pPr>
        <w:pStyle w:val="2"/>
        <w:widowControl/>
        <w:spacing w:beforeAutospacing="0" w:afterAutospacing="0" w:line="360" w:lineRule="auto"/>
        <w:jc w:val="both"/>
        <w:rPr>
          <w:rFonts w:ascii="Times New Roman" w:hAnsi="Times New Roman"/>
        </w:rPr>
      </w:pP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B92E1E"/>
    <w:multiLevelType w:val="singleLevel"/>
    <w:tmpl w:val="DBB92E1E"/>
    <w:lvl w:ilvl="0" w:tentative="0">
      <w:start w:val="1"/>
      <w:numFmt w:val="upperLetter"/>
      <w:suff w:val="space"/>
      <w:lvlText w:val="(%1)"/>
      <w:lvlJc w:val="left"/>
    </w:lvl>
  </w:abstractNum>
  <w:abstractNum w:abstractNumId="1">
    <w:nsid w:val="0AA9FBD5"/>
    <w:multiLevelType w:val="singleLevel"/>
    <w:tmpl w:val="0AA9FBD5"/>
    <w:lvl w:ilvl="0" w:tentative="0">
      <w:start w:val="1"/>
      <w:numFmt w:val="upperLetter"/>
      <w:suff w:val="space"/>
      <w:lvlText w:val="(%1)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MjlhOTQ3NDE2MzI0YTYxZTVmZmMyNzU5Yjc1ZTkifQ=="/>
  </w:docVars>
  <w:rsids>
    <w:rsidRoot w:val="5A563DE1"/>
    <w:rsid w:val="5A563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543</Words>
  <Characters>3198</Characters>
  <Lines>0</Lines>
  <Paragraphs>0</Paragraphs>
  <TotalTime>1</TotalTime>
  <ScaleCrop>false</ScaleCrop>
  <LinksUpToDate>false</LinksUpToDate>
  <CharactersWithSpaces>3707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2023-04-19T11:41:00Z</dcterms:created>
  <dc:creator>J.</dc:creator>
  <cp:lastModifiedBy>J.</cp:lastModifiedBy>
  <dcterms:modified xsi:type="dcterms:W3CDTF">2023-04-19T11:48:07Z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00F34C1C338B428FA396AEA97C7E853B</vt:lpwstr>
  </property>
</Properties>
</file>