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F24D8" w14:textId="77777777" w:rsidR="00F2743C" w:rsidRDefault="00F2743C" w:rsidP="00F2743C">
      <w:pPr>
        <w:spacing w:before="120" w:after="120" w:line="240" w:lineRule="auto"/>
        <w:rPr>
          <w:rFonts w:ascii="Times New Roman" w:hAnsi="Times New Roman" w:cs="Times New Roman"/>
          <w:b/>
          <w:bCs/>
          <w:sz w:val="24"/>
          <w:szCs w:val="24"/>
        </w:rPr>
      </w:pPr>
      <w:r>
        <w:rPr>
          <w:rFonts w:ascii="Times New Roman" w:hAnsi="Times New Roman" w:cs="Times New Roman"/>
          <w:b/>
          <w:bCs/>
          <w:sz w:val="24"/>
          <w:szCs w:val="24"/>
        </w:rPr>
        <w:t>Supplementary Information</w:t>
      </w:r>
    </w:p>
    <w:p w14:paraId="70E51874" w14:textId="77777777" w:rsidR="00F2743C" w:rsidRPr="00BD1529" w:rsidRDefault="00F2743C" w:rsidP="00F2743C">
      <w:pPr>
        <w:spacing w:before="120" w:after="120" w:line="240" w:lineRule="auto"/>
        <w:rPr>
          <w:rFonts w:ascii="Times New Roman" w:eastAsia="Times New Roman" w:hAnsi="Times New Roman" w:cs="Times New Roman"/>
          <w:color w:val="000000"/>
          <w:sz w:val="24"/>
          <w:szCs w:val="24"/>
        </w:rPr>
      </w:pPr>
      <w:r>
        <w:rPr>
          <w:rFonts w:ascii="Times New Roman" w:hAnsi="Times New Roman" w:cs="Times New Roman"/>
          <w:b/>
          <w:bCs/>
          <w:sz w:val="24"/>
          <w:szCs w:val="24"/>
        </w:rPr>
        <w:t>Supplementary Figure</w:t>
      </w:r>
    </w:p>
    <w:p w14:paraId="1FE81DDE" w14:textId="77777777" w:rsidR="00F2743C" w:rsidRPr="00BD1529" w:rsidRDefault="00F2743C" w:rsidP="00F2743C">
      <w:pPr>
        <w:spacing w:beforeLines="120" w:before="288" w:afterLines="120" w:after="288" w:line="240" w:lineRule="auto"/>
        <w:jc w:val="both"/>
        <w:rPr>
          <w:rFonts w:ascii="Times New Roman" w:eastAsia="Times New Roman" w:hAnsi="Times New Roman" w:cs="Times New Roman"/>
          <w:color w:val="000000"/>
          <w:sz w:val="24"/>
          <w:szCs w:val="24"/>
          <w:lang w:eastAsia="en-IN"/>
        </w:rPr>
      </w:pPr>
      <w:r>
        <w:rPr>
          <w:rFonts w:ascii="Times New Roman" w:hAnsi="Times New Roman" w:cs="Times New Roman"/>
          <w:b/>
          <w:bCs/>
          <w:sz w:val="24"/>
          <w:szCs w:val="24"/>
        </w:rPr>
        <w:t xml:space="preserve">Figure S1: </w:t>
      </w:r>
      <w:r w:rsidRPr="000B79CD">
        <w:rPr>
          <w:rFonts w:ascii="Times New Roman" w:eastAsia="Times New Roman" w:hAnsi="Times New Roman" w:cs="Times New Roman"/>
          <w:color w:val="000000"/>
          <w:sz w:val="24"/>
          <w:szCs w:val="24"/>
          <w:lang w:eastAsia="en-IN"/>
        </w:rPr>
        <w:t>Analysis of the trajectories in 15</w:t>
      </w:r>
      <w:r>
        <w:rPr>
          <w:rFonts w:ascii="Times New Roman" w:eastAsia="Times New Roman" w:hAnsi="Times New Roman" w:cs="Times New Roman"/>
          <w:color w:val="000000"/>
          <w:sz w:val="24"/>
          <w:szCs w:val="24"/>
          <w:lang w:eastAsia="en-IN"/>
        </w:rPr>
        <w:t>0 ns MD simulations for the 4</w:t>
      </w:r>
      <w:r w:rsidRPr="000B79CD">
        <w:rPr>
          <w:rFonts w:ascii="Times New Roman" w:eastAsia="Times New Roman" w:hAnsi="Times New Roman" w:cs="Times New Roman"/>
          <w:color w:val="000000"/>
          <w:sz w:val="24"/>
          <w:szCs w:val="24"/>
          <w:lang w:eastAsia="en-IN"/>
        </w:rPr>
        <w:t xml:space="preserve"> phytochemical hits (P1, P2, P7 and P8) in complex with RVFV-CBD. Note that, these 4 phytochemicals were found to be unstable in the protein-ligand complex during the MD simulation. </w:t>
      </w:r>
      <w:r w:rsidRPr="000B79CD">
        <w:rPr>
          <w:rFonts w:ascii="Times New Roman" w:eastAsia="Times New Roman" w:hAnsi="Times New Roman" w:cs="Times New Roman"/>
          <w:bCs/>
          <w:color w:val="000000"/>
          <w:sz w:val="24"/>
          <w:szCs w:val="24"/>
          <w:lang w:eastAsia="en-IN"/>
        </w:rPr>
        <w:t>(a)</w:t>
      </w:r>
      <w:r w:rsidRPr="000B79CD">
        <w:rPr>
          <w:rFonts w:ascii="Times New Roman" w:eastAsia="Times New Roman" w:hAnsi="Times New Roman" w:cs="Times New Roman"/>
          <w:b/>
          <w:color w:val="000000"/>
          <w:sz w:val="24"/>
          <w:szCs w:val="24"/>
          <w:lang w:eastAsia="en-IN"/>
        </w:rPr>
        <w:t xml:space="preserve"> </w:t>
      </w:r>
      <w:r w:rsidRPr="000B79CD">
        <w:rPr>
          <w:rFonts w:ascii="Times New Roman" w:eastAsia="Times New Roman" w:hAnsi="Times New Roman" w:cs="Times New Roman"/>
          <w:color w:val="000000"/>
          <w:sz w:val="24"/>
          <w:szCs w:val="24"/>
          <w:lang w:eastAsia="en-IN"/>
        </w:rPr>
        <w:t xml:space="preserve">RMSD of </w:t>
      </w:r>
      <w:r w:rsidRPr="000B79CD">
        <w:rPr>
          <w:rFonts w:ascii="Times New Roman" w:eastAsia="Times New Roman" w:hAnsi="Times New Roman" w:cs="Times New Roman"/>
          <w:i/>
          <w:color w:val="000000"/>
          <w:sz w:val="24"/>
          <w:szCs w:val="24"/>
          <w:lang w:eastAsia="en-IN"/>
        </w:rPr>
        <w:t>C</w:t>
      </w:r>
      <w:r w:rsidRPr="000B79CD">
        <w:rPr>
          <w:rFonts w:ascii="Times New Roman" w:eastAsia="Times New Roman" w:hAnsi="Times New Roman" w:cs="Times New Roman"/>
          <w:color w:val="000000"/>
          <w:sz w:val="24"/>
          <w:szCs w:val="24"/>
          <w:vertAlign w:val="subscript"/>
          <w:lang w:eastAsia="en-IN"/>
        </w:rPr>
        <w:t xml:space="preserve">α </w:t>
      </w:r>
      <w:r w:rsidRPr="000B79CD">
        <w:rPr>
          <w:rFonts w:ascii="Times New Roman" w:eastAsia="Times New Roman" w:hAnsi="Times New Roman" w:cs="Times New Roman"/>
          <w:bCs/>
          <w:color w:val="000000"/>
          <w:sz w:val="24"/>
          <w:szCs w:val="24"/>
          <w:lang w:eastAsia="en-IN"/>
        </w:rPr>
        <w:t xml:space="preserve">atoms of the amino acid residues in the protein. </w:t>
      </w:r>
      <w:r w:rsidRPr="000B79CD">
        <w:rPr>
          <w:rFonts w:ascii="Times New Roman" w:eastAsia="Times New Roman" w:hAnsi="Times New Roman" w:cs="Times New Roman"/>
          <w:color w:val="000000"/>
          <w:sz w:val="24"/>
          <w:szCs w:val="24"/>
          <w:lang w:eastAsia="en-IN"/>
        </w:rPr>
        <w:t>(b)</w:t>
      </w:r>
      <w:r w:rsidRPr="000B79CD">
        <w:rPr>
          <w:rFonts w:ascii="Times New Roman" w:eastAsia="Times New Roman" w:hAnsi="Times New Roman" w:cs="Times New Roman"/>
          <w:b/>
          <w:bCs/>
          <w:color w:val="000000"/>
          <w:sz w:val="24"/>
          <w:szCs w:val="24"/>
          <w:lang w:eastAsia="en-IN"/>
        </w:rPr>
        <w:t xml:space="preserve"> </w:t>
      </w:r>
      <w:r w:rsidRPr="000B79CD">
        <w:rPr>
          <w:rFonts w:ascii="Times New Roman" w:eastAsia="Times New Roman" w:hAnsi="Times New Roman" w:cs="Times New Roman"/>
          <w:bCs/>
          <w:color w:val="000000"/>
          <w:sz w:val="24"/>
          <w:szCs w:val="24"/>
          <w:lang w:eastAsia="en-IN"/>
        </w:rPr>
        <w:t xml:space="preserve">RMSD of the heavy atoms of the 4 potential phytochemical </w:t>
      </w:r>
      <w:r w:rsidRPr="000B79CD">
        <w:rPr>
          <w:rFonts w:ascii="Times New Roman" w:eastAsia="Times New Roman" w:hAnsi="Times New Roman" w:cs="Times New Roman"/>
          <w:color w:val="000000"/>
          <w:sz w:val="24"/>
          <w:szCs w:val="24"/>
          <w:lang w:eastAsia="en-IN"/>
        </w:rPr>
        <w:t>inhibitors (P1, P2, P7 and P8).</w:t>
      </w:r>
    </w:p>
    <w:p w14:paraId="26CE8DB7" w14:textId="77777777" w:rsidR="00F2743C" w:rsidRDefault="00F2743C" w:rsidP="00F2743C">
      <w:pPr>
        <w:pStyle w:val="RSCB01ARTAbstract"/>
        <w:spacing w:before="120" w:after="120" w:line="240" w:lineRule="auto"/>
        <w:jc w:val="left"/>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Tables</w:t>
      </w:r>
    </w:p>
    <w:p w14:paraId="5D1F6492" w14:textId="77777777" w:rsidR="00F2743C" w:rsidRPr="00ED70C4" w:rsidRDefault="00F2743C" w:rsidP="00F2743C">
      <w:pPr>
        <w:pStyle w:val="RSCB01ARTAbstract"/>
        <w:spacing w:before="120" w:after="120" w:line="240" w:lineRule="auto"/>
        <w:rPr>
          <w:rFonts w:ascii="Times New Roman" w:hAnsi="Times New Roman" w:cs="Times New Roman"/>
          <w:sz w:val="24"/>
          <w:szCs w:val="24"/>
          <w:lang w:val="en-US"/>
        </w:rPr>
      </w:pPr>
      <w:r w:rsidRPr="00075819">
        <w:rPr>
          <w:rFonts w:ascii="Times New Roman" w:hAnsi="Times New Roman" w:cs="Times New Roman"/>
          <w:b/>
          <w:bCs/>
          <w:sz w:val="24"/>
          <w:szCs w:val="24"/>
          <w:lang w:val="en-US"/>
        </w:rPr>
        <w:t xml:space="preserve">Table S1: </w:t>
      </w:r>
      <w:r w:rsidRPr="00ED70C4">
        <w:rPr>
          <w:rFonts w:ascii="Times New Roman" w:hAnsi="Times New Roman" w:cs="Times New Roman"/>
          <w:bCs/>
          <w:sz w:val="24"/>
          <w:szCs w:val="24"/>
          <w:lang w:val="en-US"/>
        </w:rPr>
        <w:t>List of 84 phytochemicals common to the top 10% based on the docking binding energy for 11 protein structures namely, the prepared crystal structure and 10 cluster centers. For each phytochemical, we provide the PubChem identifier and chemical structure in canonical SMILES format.</w:t>
      </w:r>
    </w:p>
    <w:p w14:paraId="18620CA2" w14:textId="77777777" w:rsidR="00F2743C" w:rsidRDefault="00F2743C" w:rsidP="00F2743C">
      <w:pPr>
        <w:pStyle w:val="RSCB01ARTAbstract"/>
        <w:spacing w:before="120" w:after="120" w:line="240" w:lineRule="auto"/>
        <w:rPr>
          <w:rFonts w:ascii="Times New Roman" w:hAnsi="Times New Roman" w:cs="Times New Roman"/>
          <w:sz w:val="24"/>
          <w:szCs w:val="24"/>
          <w:lang w:val="en-US"/>
        </w:rPr>
      </w:pPr>
      <w:r w:rsidRPr="00075819">
        <w:rPr>
          <w:rFonts w:ascii="Times New Roman" w:hAnsi="Times New Roman" w:cs="Times New Roman"/>
          <w:b/>
          <w:bCs/>
          <w:sz w:val="24"/>
          <w:szCs w:val="24"/>
          <w:lang w:val="en-US"/>
        </w:rPr>
        <w:t>Table S2</w:t>
      </w:r>
      <w:r>
        <w:rPr>
          <w:rFonts w:ascii="Times New Roman" w:hAnsi="Times New Roman" w:cs="Times New Roman"/>
          <w:sz w:val="24"/>
          <w:szCs w:val="24"/>
          <w:lang w:val="en-US"/>
        </w:rPr>
        <w:t xml:space="preserve">: </w:t>
      </w:r>
      <w:r w:rsidRPr="00876193">
        <w:rPr>
          <w:rFonts w:ascii="Times New Roman" w:hAnsi="Times New Roman" w:cs="Times New Roman"/>
          <w:sz w:val="24"/>
          <w:szCs w:val="24"/>
          <w:lang w:val="en-US"/>
        </w:rPr>
        <w:t xml:space="preserve">List of 37 phytochemicals identified after employing the non-covalent interaction filter in the stage 4 of our virtual screening workflow depicted in </w:t>
      </w:r>
      <w:r w:rsidRPr="00BD746C">
        <w:rPr>
          <w:rFonts w:ascii="Times New Roman" w:hAnsi="Times New Roman" w:cs="Times New Roman"/>
          <w:b/>
          <w:bCs/>
          <w:sz w:val="24"/>
          <w:szCs w:val="24"/>
          <w:lang w:val="en-US"/>
        </w:rPr>
        <w:t>Figure 2</w:t>
      </w:r>
      <w:r w:rsidRPr="00E04045">
        <w:rPr>
          <w:rFonts w:ascii="Times New Roman" w:hAnsi="Times New Roman" w:cs="Times New Roman"/>
          <w:sz w:val="24"/>
          <w:szCs w:val="24"/>
          <w:lang w:val="en-US"/>
        </w:rPr>
        <w:t>.</w:t>
      </w:r>
      <w:r w:rsidRPr="00876193">
        <w:rPr>
          <w:rFonts w:ascii="Times New Roman" w:hAnsi="Times New Roman" w:cs="Times New Roman"/>
          <w:sz w:val="24"/>
          <w:szCs w:val="24"/>
          <w:lang w:val="en-US"/>
        </w:rPr>
        <w:t xml:space="preserve"> For each phytochemical, we provide the PubChem identifier, binding energy from molecular docking in kcal/mol and toxicity class predicted from ProTox-II (https://tox-new.charite.de/protox_II/). The list of 9 phytochemicals which are shaded in blue (Toxicity class: Class 6 or Class 5) were shortlisted for stability analysis using MD simulations.  </w:t>
      </w:r>
    </w:p>
    <w:p w14:paraId="048B634B" w14:textId="77777777" w:rsidR="00F2743C" w:rsidRDefault="00F2743C" w:rsidP="00F2743C">
      <w:pPr>
        <w:pStyle w:val="RSCB01ARTAbstract"/>
        <w:spacing w:before="120" w:after="120" w:line="240" w:lineRule="auto"/>
        <w:rPr>
          <w:rFonts w:ascii="Times New Roman" w:eastAsia="Times New Roman" w:hAnsi="Times New Roman" w:cs="Times New Roman"/>
          <w:color w:val="000000"/>
          <w:sz w:val="24"/>
          <w:szCs w:val="24"/>
        </w:rPr>
      </w:pPr>
      <w:r w:rsidRPr="00075819">
        <w:rPr>
          <w:rFonts w:ascii="Times New Roman" w:hAnsi="Times New Roman" w:cs="Times New Roman"/>
          <w:b/>
          <w:bCs/>
          <w:sz w:val="24"/>
          <w:szCs w:val="24"/>
          <w:lang w:val="en-US"/>
        </w:rPr>
        <w:t>Table S3:</w:t>
      </w:r>
      <w:r>
        <w:rPr>
          <w:rFonts w:ascii="Times New Roman" w:hAnsi="Times New Roman" w:cs="Times New Roman"/>
          <w:b/>
          <w:bCs/>
          <w:sz w:val="24"/>
          <w:szCs w:val="24"/>
          <w:lang w:val="en-US"/>
        </w:rPr>
        <w:t xml:space="preserve"> </w:t>
      </w:r>
      <w:r w:rsidRPr="00E04045">
        <w:rPr>
          <w:rFonts w:ascii="Times New Roman" w:hAnsi="Times New Roman" w:cs="Times New Roman"/>
          <w:sz w:val="24"/>
          <w:szCs w:val="24"/>
          <w:lang w:val="en-US"/>
        </w:rPr>
        <w:t>Chemical classification, physicochemical, drug-likeness, absorption and distribution properties, metabolism properties and toxicity properties for the top 9 phytochemical hits of RVFV-CBD identified in this study.</w:t>
      </w:r>
      <w:r>
        <w:rPr>
          <w:rFonts w:ascii="Times New Roman" w:hAnsi="Times New Roman" w:cs="Times New Roman"/>
          <w:sz w:val="24"/>
          <w:szCs w:val="24"/>
          <w:lang w:val="en-US"/>
        </w:rPr>
        <w:t xml:space="preserve"> </w:t>
      </w:r>
      <w:r w:rsidRPr="00075819">
        <w:rPr>
          <w:rFonts w:ascii="Times New Roman" w:hAnsi="Times New Roman" w:cs="Times New Roman"/>
          <w:sz w:val="24"/>
          <w:szCs w:val="24"/>
          <w:lang w:val="en-US"/>
        </w:rPr>
        <w:t>For each phytochemical, we provide the phytochemical symbol</w:t>
      </w:r>
      <w:r>
        <w:rPr>
          <w:rFonts w:ascii="Times New Roman" w:hAnsi="Times New Roman" w:cs="Times New Roman"/>
          <w:sz w:val="24"/>
          <w:szCs w:val="24"/>
          <w:lang w:val="en-US"/>
        </w:rPr>
        <w:t xml:space="preserve">, PubChem </w:t>
      </w:r>
      <w:r w:rsidRPr="00075819">
        <w:rPr>
          <w:rFonts w:ascii="Times New Roman" w:hAnsi="Times New Roman" w:cs="Times New Roman"/>
          <w:sz w:val="24"/>
          <w:szCs w:val="24"/>
          <w:lang w:val="en-US"/>
        </w:rPr>
        <w:t>identifier, chemical name; chemical classification such as kingdom, superclass, class and subclass, as predicted by ClassyFire; physicochemical properties such as molecular weight in g/mol, LogP (Partition coefficient), molar refractivity, topological polar surface area in Å², number of hydrogen bond acceptors, number of hydrogen bond donors, total number of atoms, number of rotatable bonds, shape complexity (fraction of carbon atoms that are sp</w:t>
      </w:r>
      <w:r w:rsidRPr="00E04045">
        <w:rPr>
          <w:rFonts w:ascii="Times New Roman" w:hAnsi="Times New Roman" w:cs="Times New Roman"/>
          <w:sz w:val="24"/>
          <w:szCs w:val="24"/>
          <w:vertAlign w:val="superscript"/>
          <w:lang w:val="en-US"/>
        </w:rPr>
        <w:t>3</w:t>
      </w:r>
      <w:r w:rsidRPr="00075819">
        <w:rPr>
          <w:rFonts w:ascii="Times New Roman" w:hAnsi="Times New Roman" w:cs="Times New Roman"/>
          <w:sz w:val="24"/>
          <w:szCs w:val="24"/>
          <w:lang w:val="en-US"/>
        </w:rPr>
        <w:t xml:space="preserve"> hybridized), stereochemical complexity (fraction of carbon atoms which are stereogenic), as predicted by RDKit; drug-likeness properties such as Lipinski's RO5 filter (Lipinski's rule of 5 filter), QEDw (weighted quantitative estimate of drug-likeness), QEDuw (unweighted quantitative estimate of drug-likeness), as predicted by RDKit, leadlikeness - number of violations, synthetic accessibility, as predicted by SwissADME; absorption and distribution properties such as solubility class using ESOL method, solubility class using method by Ali </w:t>
      </w:r>
      <w:r w:rsidRPr="00075819">
        <w:rPr>
          <w:rFonts w:ascii="Times New Roman" w:hAnsi="Times New Roman" w:cs="Times New Roman"/>
          <w:i/>
          <w:iCs/>
          <w:sz w:val="24"/>
          <w:szCs w:val="24"/>
          <w:lang w:val="en-US"/>
        </w:rPr>
        <w:t>et al.</w:t>
      </w:r>
      <w:r w:rsidRPr="00075819">
        <w:rPr>
          <w:rFonts w:ascii="Times New Roman" w:hAnsi="Times New Roman" w:cs="Times New Roman"/>
          <w:sz w:val="24"/>
          <w:szCs w:val="24"/>
          <w:lang w:val="en-US"/>
        </w:rPr>
        <w:t>, solubility class using Silicos-IT, gasterointestinal absorption, skin permeation (log Kp cm/s), blood brain barrier permeation, bioavailability score, as predicted by SwissADME; metabolism properties such as P-glycoprotein substrate, cytochrome P450 1A2 inhibitor, cytochrome P450 2C19 inhibitor, cytochrome P450 2C9 inhibitor, cytochrome P450 2D6 inhibitor, cytochrome P450 3A4 inhibitor, as predicted by SwissADME; and toxicity property PAINS - number of alerts predicted by SwissADME. Values are shown up to 2 decimal places.</w:t>
      </w:r>
    </w:p>
    <w:p w14:paraId="712C5C04" w14:textId="77777777" w:rsidR="00E1715D" w:rsidRDefault="00F2743C"/>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3C"/>
    <w:rsid w:val="001942F0"/>
    <w:rsid w:val="002C0857"/>
    <w:rsid w:val="003F01F8"/>
    <w:rsid w:val="00884728"/>
    <w:rsid w:val="008E2845"/>
    <w:rsid w:val="00D00B5E"/>
    <w:rsid w:val="00F2743C"/>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80EC"/>
  <w15:chartTrackingRefBased/>
  <w15:docId w15:val="{8522DF68-CFC8-487A-AA72-2990473B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43C"/>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B01ARTAbstract">
    <w:name w:val="RSC B01 ART Abstract"/>
    <w:basedOn w:val="Normal"/>
    <w:link w:val="RSCB01ARTAbstractChar"/>
    <w:qFormat/>
    <w:rsid w:val="00F2743C"/>
    <w:pPr>
      <w:spacing w:after="200" w:line="240" w:lineRule="exact"/>
      <w:jc w:val="both"/>
    </w:pPr>
    <w:rPr>
      <w:rFonts w:asciiTheme="minorHAnsi" w:eastAsiaTheme="minorHAnsi" w:hAnsiTheme="minorHAnsi" w:cstheme="minorBidi"/>
      <w:noProof/>
      <w:sz w:val="16"/>
      <w:lang w:val="en-GB" w:eastAsia="en-GB"/>
    </w:rPr>
  </w:style>
  <w:style w:type="character" w:customStyle="1" w:styleId="RSCB01ARTAbstractChar">
    <w:name w:val="RSC B01 ART Abstract Char"/>
    <w:basedOn w:val="DefaultParagraphFont"/>
    <w:link w:val="RSCB01ARTAbstract"/>
    <w:rsid w:val="00F2743C"/>
    <w:rPr>
      <w:noProof/>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2654</Characters>
  <Application>Microsoft Office Word</Application>
  <DocSecurity>0</DocSecurity>
  <Lines>22</Lines>
  <Paragraphs>6</Paragraphs>
  <ScaleCrop>false</ScaleCrop>
  <Company>Springer Nature</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2023-05-10T16:19:00Z</dcterms:created>
  <dcterms:modified xsi:type="dcterms:W3CDTF">2023-05-10T16:20:00Z</dcterms:modified>
</cp:coreProperties>
</file>