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0D" w:rsidRDefault="00B0340D" w:rsidP="00B0340D">
      <w:pPr>
        <w:rPr>
          <w:rFonts w:ascii="Times New Roman" w:eastAsia="Times New Roman" w:hAnsi="Times New Roman" w:cs="Times New Roman"/>
        </w:rPr>
      </w:pPr>
      <w:r w:rsidRPr="44D1170C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44D1170C">
        <w:rPr>
          <w:rFonts w:ascii="Times New Roman" w:eastAsia="Times New Roman" w:hAnsi="Times New Roman" w:cs="Times New Roman"/>
          <w:b/>
          <w:bCs/>
        </w:rPr>
        <w:t xml:space="preserve">. </w:t>
      </w:r>
      <w:r w:rsidRPr="44D1170C">
        <w:rPr>
          <w:rFonts w:ascii="Times New Roman" w:eastAsia="Times New Roman" w:hAnsi="Times New Roman" w:cs="Times New Roman"/>
          <w:i/>
          <w:iCs/>
        </w:rPr>
        <w:t xml:space="preserve"> </w:t>
      </w:r>
      <w:r w:rsidRPr="44D1170C">
        <w:rPr>
          <w:rFonts w:ascii="Times New Roman" w:eastAsia="Times New Roman" w:hAnsi="Times New Roman" w:cs="Times New Roman"/>
        </w:rPr>
        <w:t xml:space="preserve">Fish </w:t>
      </w:r>
      <w:proofErr w:type="gramStart"/>
      <w:r w:rsidRPr="44D1170C">
        <w:rPr>
          <w:rFonts w:ascii="Times New Roman" w:eastAsia="Times New Roman" w:hAnsi="Times New Roman" w:cs="Times New Roman"/>
        </w:rPr>
        <w:t>community sampling</w:t>
      </w:r>
      <w:proofErr w:type="gramEnd"/>
      <w:r w:rsidRPr="44D1170C">
        <w:rPr>
          <w:rFonts w:ascii="Times New Roman" w:eastAsia="Times New Roman" w:hAnsi="Times New Roman" w:cs="Times New Roman"/>
        </w:rPr>
        <w:t xml:space="preserve"> results from both lakes. </w:t>
      </w:r>
    </w:p>
    <w:p w:rsidR="00B0340D" w:rsidRDefault="00B0340D" w:rsidP="00B03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Gillnet sampling: density/biomass of fish per 1000 m</w:t>
      </w:r>
      <w:r w:rsidRPr="002A34E9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of nets in benthic and pelagic habitats in years 2014 and 2015. </w:t>
      </w:r>
      <w:proofErr w:type="spellStart"/>
      <w:r>
        <w:rPr>
          <w:rFonts w:ascii="Times New Roman" w:eastAsia="Times New Roman" w:hAnsi="Times New Roman" w:cs="Times New Roman"/>
        </w:rPr>
        <w:t>Hydroacoustic</w:t>
      </w:r>
      <w:proofErr w:type="spellEnd"/>
      <w:r>
        <w:rPr>
          <w:rFonts w:ascii="Times New Roman" w:eastAsia="Times New Roman" w:hAnsi="Times New Roman" w:cs="Times New Roman"/>
        </w:rPr>
        <w:t xml:space="preserve"> sampling: </w:t>
      </w:r>
      <w:r w:rsidRPr="00D754CC">
        <w:rPr>
          <w:rFonts w:ascii="Times New Roman" w:eastAsia="Times New Roman" w:hAnsi="Times New Roman" w:cs="Times New Roman"/>
        </w:rPr>
        <w:t>Density of fish shoals</w:t>
      </w:r>
      <w:r>
        <w:rPr>
          <w:rFonts w:ascii="Times New Roman" w:eastAsia="Times New Roman" w:hAnsi="Times New Roman" w:cs="Times New Roman"/>
        </w:rPr>
        <w:t xml:space="preserve"> (N shoals)</w:t>
      </w:r>
      <w:r w:rsidRPr="00D754CC">
        <w:rPr>
          <w:rFonts w:ascii="Times New Roman" w:eastAsia="Times New Roman" w:hAnsi="Times New Roman" w:cs="Times New Roman"/>
        </w:rPr>
        <w:t xml:space="preserve"> and single fish detections</w:t>
      </w:r>
      <w:r>
        <w:rPr>
          <w:rFonts w:ascii="Times New Roman" w:eastAsia="Times New Roman" w:hAnsi="Times New Roman" w:cs="Times New Roman"/>
        </w:rPr>
        <w:t xml:space="preserve"> (N single fish)</w:t>
      </w:r>
      <w:r w:rsidRPr="00D754CC">
        <w:rPr>
          <w:rFonts w:ascii="Times New Roman" w:eastAsia="Times New Roman" w:hAnsi="Times New Roman" w:cs="Times New Roman"/>
        </w:rPr>
        <w:t xml:space="preserve"> per 1 km of acoustic track in June and September 2015. Data collected using vertical beaming in lake parts with bottom depth higher than 10 m. AFS stands for </w:t>
      </w:r>
      <w:proofErr w:type="gramStart"/>
      <w:r w:rsidRPr="00D754CC">
        <w:rPr>
          <w:rFonts w:ascii="Times New Roman" w:eastAsia="Times New Roman" w:hAnsi="Times New Roman" w:cs="Times New Roman"/>
        </w:rPr>
        <w:t xml:space="preserve">average fish </w:t>
      </w:r>
      <w:r>
        <w:rPr>
          <w:rFonts w:ascii="Times New Roman" w:eastAsia="Times New Roman" w:hAnsi="Times New Roman" w:cs="Times New Roman"/>
        </w:rPr>
        <w:t>body length</w:t>
      </w:r>
      <w:proofErr w:type="gramEnd"/>
      <w:r w:rsidRPr="00D754CC">
        <w:rPr>
          <w:rFonts w:ascii="Times New Roman" w:eastAsia="Times New Roman" w:hAnsi="Times New Roman" w:cs="Times New Roman"/>
        </w:rPr>
        <w:t xml:space="preserve"> (TL) of single detected fish and ND for no data.</w:t>
      </w:r>
    </w:p>
    <w:tbl>
      <w:tblPr>
        <w:tblW w:w="5222" w:type="pct"/>
        <w:tblLook w:val="04A0" w:firstRow="1" w:lastRow="0" w:firstColumn="1" w:lastColumn="0" w:noHBand="0" w:noVBand="1"/>
      </w:tblPr>
      <w:tblGrid>
        <w:gridCol w:w="1770"/>
        <w:gridCol w:w="1205"/>
        <w:gridCol w:w="972"/>
        <w:gridCol w:w="972"/>
        <w:gridCol w:w="858"/>
        <w:gridCol w:w="1087"/>
        <w:gridCol w:w="1202"/>
        <w:gridCol w:w="858"/>
        <w:gridCol w:w="852"/>
      </w:tblGrid>
      <w:tr w:rsidR="00B0340D" w:rsidRPr="00C00737" w:rsidTr="00382816">
        <w:trPr>
          <w:trHeight w:val="290"/>
        </w:trPr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</w:rPr>
            </w:pPr>
            <w:r w:rsidRPr="00BC5FA5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Gillnets</w:t>
            </w:r>
          </w:p>
        </w:tc>
        <w:tc>
          <w:tcPr>
            <w:tcW w:w="4095" w:type="pct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0340D" w:rsidRPr="00BC5FA5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2048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HSC lake</w:t>
            </w:r>
          </w:p>
        </w:tc>
        <w:tc>
          <w:tcPr>
            <w:tcW w:w="2047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LSC lake</w:t>
            </w:r>
          </w:p>
        </w:tc>
      </w:tr>
      <w:tr w:rsidR="00B0340D" w:rsidRPr="00BC5FA5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Habitat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benthic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pelagic</w:t>
            </w: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benthic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pelagic</w:t>
            </w:r>
          </w:p>
        </w:tc>
      </w:tr>
      <w:tr w:rsidR="00B0340D" w:rsidRPr="00BC5FA5" w:rsidTr="00382816">
        <w:trPr>
          <w:trHeight w:val="290"/>
        </w:trPr>
        <w:tc>
          <w:tcPr>
            <w:tcW w:w="9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2015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Carp</w:t>
            </w:r>
          </w:p>
          <w:p w:rsidR="00B0340D" w:rsidRPr="002A34E9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2A3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Cyprinus</w:t>
            </w:r>
            <w:proofErr w:type="spellEnd"/>
            <w:r w:rsidRPr="002A3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carpio</w:t>
            </w:r>
            <w:proofErr w:type="spellEnd"/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0.5/2.7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</w:tr>
      <w:tr w:rsidR="00B0340D" w:rsidRPr="00C00737" w:rsidTr="00382816">
        <w:trPr>
          <w:trHeight w:val="52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E. catfish</w:t>
            </w:r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Silurus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glanis</w:t>
            </w:r>
            <w:proofErr w:type="spellEnd"/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0.9/2.7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0.9/3.2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0.5/2.7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2.3/8.6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0.3/0.7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Perch</w:t>
            </w:r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Perca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fluviatilis</w:t>
            </w:r>
            <w:proofErr w:type="spellEnd"/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134.3/7.7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116.7/9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86.1/13.6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107.9/9.5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0.7/0.1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5.6/1.4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Pike</w:t>
            </w:r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Esox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lucius</w:t>
            </w:r>
            <w:proofErr w:type="spellEnd"/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3.2/4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1.9/3.3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0.6/2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0.5/0.1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Pikeperch</w:t>
            </w:r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Sander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lucioperca</w:t>
            </w:r>
            <w:proofErr w:type="spellEnd"/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0.5/1.6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3.2/3.4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0.6/0.1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</w:tr>
      <w:tr w:rsidR="00B0340D" w:rsidRPr="00C00737" w:rsidTr="00382816">
        <w:trPr>
          <w:trHeight w:val="50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Roach</w:t>
            </w:r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Rutilus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rutilus</w:t>
            </w:r>
            <w:proofErr w:type="spellEnd"/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115.7/10.1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47.7/4.6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57.2/5.6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6.7/0.9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72.7/6.2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134.3/11.8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0.7/0.2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3.1/0.2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Rudd</w:t>
            </w:r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Scardinus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erythroplthalmus</w:t>
            </w:r>
            <w:proofErr w:type="spellEnd"/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14.8/8.4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11.6/2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2.2/0.9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1.1/0.7</w:t>
            </w:r>
          </w:p>
        </w:tc>
        <w:tc>
          <w:tcPr>
            <w:tcW w:w="55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4.6/0.7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31.5/2.2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5.6/0.2</w:t>
            </w:r>
          </w:p>
        </w:tc>
        <w:tc>
          <w:tcPr>
            <w:tcW w:w="43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5.2/0.5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proofErr w:type="spellStart"/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Ruffe</w:t>
            </w:r>
            <w:proofErr w:type="spellEnd"/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Gymnocephalus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cernua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32.9/0.3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46.8/0.6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131.9/2.3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70.8/1.3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proofErr w:type="spellStart"/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Tench</w:t>
            </w:r>
            <w:proofErr w:type="spellEnd"/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Tinca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tinca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6.9/7.4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5.6/5.3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55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8.8/11.4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12/21.8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</w:tr>
      <w:tr w:rsidR="00B0340D" w:rsidRPr="00C00737" w:rsidTr="00382816">
        <w:trPr>
          <w:trHeight w:val="290"/>
        </w:trPr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6C4E8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Whitefish</w:t>
            </w:r>
          </w:p>
          <w:p w:rsidR="00B0340D" w:rsidRPr="006C4E8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2A34E9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Coregonus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lavaretus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maraena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6/2.8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7.9/3.2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9/1.5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0D" w:rsidRPr="00C00737" w:rsidRDefault="00B0340D" w:rsidP="00382816">
            <w:pPr>
              <w:shd w:val="clear" w:color="auto" w:fill="auto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07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3.6/1</w:t>
            </w:r>
          </w:p>
        </w:tc>
      </w:tr>
      <w:tr w:rsidR="00B0340D" w:rsidRPr="00C00737" w:rsidTr="00382816">
        <w:trPr>
          <w:trHeight w:val="290"/>
        </w:trPr>
        <w:tc>
          <w:tcPr>
            <w:tcW w:w="4999" w:type="pct"/>
            <w:gridSpan w:val="9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0340D" w:rsidRPr="00BC5FA5" w:rsidRDefault="00B0340D" w:rsidP="00382816">
            <w:pPr>
              <w:shd w:val="clear" w:color="auto" w:fill="auto"/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5F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Hydroacoustic</w:t>
            </w:r>
            <w:proofErr w:type="spellEnd"/>
            <w:r w:rsidRPr="00BC5F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sampling</w:t>
            </w:r>
          </w:p>
        </w:tc>
      </w:tr>
    </w:tbl>
    <w:tbl>
      <w:tblPr>
        <w:tblStyle w:val="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9"/>
        <w:gridCol w:w="1741"/>
        <w:gridCol w:w="1395"/>
        <w:gridCol w:w="1728"/>
        <w:gridCol w:w="1013"/>
        <w:gridCol w:w="125"/>
        <w:gridCol w:w="1584"/>
        <w:gridCol w:w="124"/>
        <w:gridCol w:w="951"/>
      </w:tblGrid>
      <w:tr w:rsidR="00B0340D" w:rsidRPr="00BC5FA5" w:rsidTr="00382816">
        <w:trPr>
          <w:trHeight w:val="280"/>
        </w:trPr>
        <w:tc>
          <w:tcPr>
            <w:tcW w:w="37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9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C5F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Night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0340D" w:rsidRPr="00BC5FA5" w:rsidRDefault="00B0340D" w:rsidP="00382816">
            <w:pPr>
              <w:jc w:val="center"/>
              <w:rPr>
                <w:b/>
                <w:color w:val="000000"/>
              </w:rPr>
            </w:pPr>
          </w:p>
        </w:tc>
      </w:tr>
      <w:tr w:rsidR="00B0340D" w:rsidRPr="00BC5FA5" w:rsidTr="00382816">
        <w:trPr>
          <w:trHeight w:val="280"/>
        </w:trPr>
        <w:tc>
          <w:tcPr>
            <w:tcW w:w="374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Lake</w:t>
            </w:r>
          </w:p>
        </w:tc>
        <w:tc>
          <w:tcPr>
            <w:tcW w:w="93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Period</w:t>
            </w:r>
          </w:p>
        </w:tc>
        <w:tc>
          <w:tcPr>
            <w:tcW w:w="745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 shoals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 single fish</w:t>
            </w:r>
          </w:p>
        </w:tc>
        <w:tc>
          <w:tcPr>
            <w:tcW w:w="608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AFS (cm)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 single fish</w:t>
            </w:r>
          </w:p>
        </w:tc>
        <w:tc>
          <w:tcPr>
            <w:tcW w:w="574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0340D" w:rsidRPr="00BC5FA5" w:rsidRDefault="00B0340D" w:rsidP="00382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AFS (cm)</w:t>
            </w:r>
          </w:p>
        </w:tc>
      </w:tr>
      <w:tr w:rsidR="00B0340D" w:rsidRPr="00597B58" w:rsidTr="00382816">
        <w:trPr>
          <w:trHeight w:val="280"/>
        </w:trPr>
        <w:tc>
          <w:tcPr>
            <w:tcW w:w="37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LSCL</w:t>
            </w:r>
          </w:p>
        </w:tc>
        <w:tc>
          <w:tcPr>
            <w:tcW w:w="930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June 2015</w:t>
            </w:r>
          </w:p>
        </w:tc>
        <w:tc>
          <w:tcPr>
            <w:tcW w:w="745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608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9.0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89.6</w:t>
            </w:r>
          </w:p>
        </w:tc>
        <w:tc>
          <w:tcPr>
            <w:tcW w:w="574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B0340D" w:rsidRPr="00597B58" w:rsidTr="00382816">
        <w:trPr>
          <w:trHeight w:val="280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September 2015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3.9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10.8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60.1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7.7</w:t>
            </w:r>
          </w:p>
        </w:tc>
      </w:tr>
      <w:tr w:rsidR="00B0340D" w:rsidRPr="00597B58" w:rsidTr="00382816">
        <w:trPr>
          <w:trHeight w:val="40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HSCL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June 2015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</w:t>
            </w:r>
          </w:p>
        </w:tc>
      </w:tr>
      <w:tr w:rsidR="00B0340D" w:rsidRPr="00597B58" w:rsidTr="00382816">
        <w:trPr>
          <w:trHeight w:val="280"/>
        </w:trPr>
        <w:tc>
          <w:tcPr>
            <w:tcW w:w="37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September 2015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17.9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0340D" w:rsidRPr="00597B58" w:rsidRDefault="00B0340D" w:rsidP="00382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4209F3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4.0</w:t>
            </w:r>
          </w:p>
        </w:tc>
      </w:tr>
    </w:tbl>
    <w:p w:rsidR="004826A9" w:rsidRDefault="00B0340D" w:rsidP="00B0340D">
      <w:bookmarkStart w:id="0" w:name="_GoBack"/>
      <w:bookmarkEnd w:id="0"/>
    </w:p>
    <w:sectPr w:rsidR="004826A9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82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B1B" w:rsidRDefault="00B034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6B1B" w:rsidRPr="00B93560" w:rsidRDefault="00B0340D" w:rsidP="00B93560">
    <w:pPr>
      <w:pStyle w:val="Footer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0D"/>
    <w:rsid w:val="00827436"/>
    <w:rsid w:val="00975C2A"/>
    <w:rsid w:val="00B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CA67"/>
  <w15:chartTrackingRefBased/>
  <w15:docId w15:val="{04332016-A23F-45E7-A032-9C9A1742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0D"/>
    <w:pPr>
      <w:shd w:val="clear" w:color="auto" w:fill="FFFFFF"/>
      <w:spacing w:after="0" w:line="360" w:lineRule="auto"/>
      <w:jc w:val="both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1">
    <w:name w:val="31"/>
    <w:basedOn w:val="TableNormal"/>
    <w:rsid w:val="00B0340D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0340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0D"/>
    <w:rPr>
      <w:rFonts w:ascii="Calibri" w:eastAsia="Calibri" w:hAnsi="Calibri" w:cs="Calibri"/>
      <w:shd w:val="clear" w:color="auto" w:fill="FFFFFF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0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2021-01-11T10:27:00Z</dcterms:created>
  <dcterms:modified xsi:type="dcterms:W3CDTF">2021-01-11T10:27:00Z</dcterms:modified>
</cp:coreProperties>
</file>