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8F" w:rsidRDefault="00E6768F" w:rsidP="00E6768F">
      <w:pPr>
        <w:contextualSpacing/>
        <w:rPr>
          <w:rFonts w:ascii="Times New Roman" w:eastAsia="Times New Roman" w:hAnsi="Times New Roman" w:cs="Times New Roman"/>
          <w:lang w:eastAsia="es-AR"/>
        </w:rPr>
      </w:pPr>
      <w:r w:rsidRPr="00FC4BD8">
        <w:rPr>
          <w:rFonts w:ascii="Times New Roman" w:eastAsia="Times New Roman" w:hAnsi="Times New Roman" w:cs="Times New Roman"/>
          <w:b/>
          <w:lang w:eastAsia="es-AR"/>
        </w:rPr>
        <w:t>Tab</w:t>
      </w:r>
      <w:bookmarkStart w:id="0" w:name="_GoBack"/>
      <w:bookmarkEnd w:id="0"/>
      <w:r w:rsidRPr="00FC4BD8">
        <w:rPr>
          <w:rFonts w:ascii="Times New Roman" w:eastAsia="Times New Roman" w:hAnsi="Times New Roman" w:cs="Times New Roman"/>
          <w:b/>
          <w:lang w:eastAsia="es-AR"/>
        </w:rPr>
        <w:t xml:space="preserve">le </w:t>
      </w:r>
      <w:proofErr w:type="gramStart"/>
      <w:r>
        <w:rPr>
          <w:rFonts w:ascii="Times New Roman" w:eastAsia="Times New Roman" w:hAnsi="Times New Roman" w:cs="Times New Roman"/>
          <w:b/>
          <w:lang w:eastAsia="es-AR"/>
        </w:rPr>
        <w:t>3</w:t>
      </w:r>
      <w:proofErr w:type="gramEnd"/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Final models analysing </w:t>
      </w:r>
      <w:r>
        <w:rPr>
          <w:rFonts w:ascii="Times New Roman" w:eastAsia="Times New Roman" w:hAnsi="Times New Roman" w:cs="Times New Roman"/>
          <w:lang w:eastAsia="es-AR"/>
        </w:rPr>
        <w:t>pike behavioural traits</w:t>
      </w:r>
      <w:r w:rsidRPr="00D20981">
        <w:rPr>
          <w:rFonts w:ascii="Times New Roman" w:eastAsia="Times New Roman" w:hAnsi="Times New Roman" w:cs="Times New Roman"/>
          <w:lang w:eastAsia="es-AR"/>
        </w:rPr>
        <w:t xml:space="preserve"> in </w:t>
      </w:r>
      <w:r>
        <w:rPr>
          <w:rFonts w:ascii="Times New Roman" w:eastAsia="Times New Roman" w:hAnsi="Times New Roman" w:cs="Times New Roman"/>
          <w:lang w:eastAsia="es-AR"/>
        </w:rPr>
        <w:t>both lakes</w:t>
      </w:r>
      <w:r w:rsidRPr="00D20981">
        <w:rPr>
          <w:rFonts w:ascii="Times New Roman" w:eastAsia="Times New Roman" w:hAnsi="Times New Roman" w:cs="Times New Roman"/>
          <w:lang w:eastAsia="es-AR"/>
        </w:rPr>
        <w:t xml:space="preserve"> </w:t>
      </w:r>
    </w:p>
    <w:p w:rsidR="00E6768F" w:rsidRPr="00B93560" w:rsidRDefault="00E6768F" w:rsidP="00E6768F">
      <w:pPr>
        <w:contextualSpacing/>
        <w:rPr>
          <w:rFonts w:ascii="Times New Roman" w:eastAsia="Times New Roman" w:hAnsi="Times New Roman" w:cs="Times New Roman"/>
          <w:lang w:eastAsia="es-AR"/>
        </w:rPr>
      </w:pPr>
      <w:r w:rsidRPr="00D20981">
        <w:rPr>
          <w:rFonts w:ascii="Times New Roman" w:eastAsia="Times New Roman" w:hAnsi="Times New Roman" w:cs="Times New Roman"/>
          <w:lang w:eastAsia="es-AR"/>
        </w:rPr>
        <w:t xml:space="preserve">The variables analysed were the extent of horizontal area use </w:t>
      </w:r>
      <w:r w:rsidRPr="00D20981">
        <w:rPr>
          <w:rFonts w:ascii="Times New Roman" w:eastAsia="Times New Roman" w:hAnsi="Times New Roman" w:cs="Times New Roman"/>
          <w:lang w:val="en-US" w:eastAsia="es-AR"/>
        </w:rPr>
        <w:t>(</w:t>
      </w:r>
      <w:proofErr w:type="spellStart"/>
      <w:r>
        <w:rPr>
          <w:rFonts w:ascii="Times New Roman" w:eastAsia="Times New Roman" w:hAnsi="Times New Roman" w:cs="Times New Roman"/>
          <w:lang w:val="en-US" w:eastAsia="es-AR"/>
        </w:rPr>
        <w:t>d</w:t>
      </w:r>
      <w:r w:rsidRPr="00D20981">
        <w:rPr>
          <w:rFonts w:ascii="Times New Roman" w:eastAsia="Times New Roman" w:hAnsi="Times New Roman" w:cs="Times New Roman"/>
          <w:lang w:val="en-US" w:eastAsia="es-AR"/>
        </w:rPr>
        <w:t>H</w:t>
      </w:r>
      <w:proofErr w:type="spellEnd"/>
      <w:r w:rsidRPr="00D20981">
        <w:rPr>
          <w:rFonts w:ascii="Times New Roman" w:eastAsia="Times New Roman" w:hAnsi="Times New Roman" w:cs="Times New Roman"/>
          <w:lang w:val="en-US" w:eastAsia="es-AR"/>
        </w:rPr>
        <w:t>-KUD)</w:t>
      </w:r>
      <w:r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D20981">
        <w:rPr>
          <w:rFonts w:ascii="Times New Roman" w:eastAsia="Times New Roman" w:hAnsi="Times New Roman" w:cs="Times New Roman"/>
          <w:lang w:val="en-US" w:eastAsia="es-AR"/>
        </w:rPr>
        <w:t>and vertical movement (</w:t>
      </w:r>
      <w:r>
        <w:rPr>
          <w:rFonts w:ascii="Times New Roman" w:eastAsia="Times New Roman" w:hAnsi="Times New Roman" w:cs="Times New Roman"/>
          <w:lang w:val="en-US" w:eastAsia="es-AR"/>
        </w:rPr>
        <w:t>d</w:t>
      </w:r>
      <w:r w:rsidRPr="00D20981">
        <w:rPr>
          <w:rFonts w:ascii="Times New Roman" w:hAnsi="Times New Roman" w:cs="Times New Roman"/>
        </w:rPr>
        <w:t>V-KS</w:t>
      </w:r>
      <w:r w:rsidRPr="00D20981">
        <w:rPr>
          <w:rFonts w:ascii="Times New Roman" w:eastAsia="Times New Roman" w:hAnsi="Times New Roman" w:cs="Times New Roman"/>
          <w:lang w:val="en-US" w:eastAsia="es-AR"/>
        </w:rPr>
        <w:t>), horizontal and v</w:t>
      </w:r>
      <w:r>
        <w:rPr>
          <w:rFonts w:ascii="Times New Roman" w:eastAsia="Times New Roman" w:hAnsi="Times New Roman" w:cs="Times New Roman"/>
          <w:lang w:val="en-US" w:eastAsia="es-AR"/>
        </w:rPr>
        <w:t>ertical activity,</w:t>
      </w:r>
      <w:r w:rsidRPr="00D20981">
        <w:rPr>
          <w:rFonts w:ascii="Times New Roman" w:hAnsi="Times New Roman" w:cs="Times New Roman"/>
        </w:rPr>
        <w:t xml:space="preserve"> and mean</w:t>
      </w:r>
      <w:r>
        <w:rPr>
          <w:rFonts w:ascii="Times New Roman" w:hAnsi="Times New Roman" w:cs="Times New Roman"/>
        </w:rPr>
        <w:t xml:space="preserve"> daily</w:t>
      </w:r>
      <w:r w:rsidRPr="00D20981">
        <w:rPr>
          <w:rFonts w:ascii="Times New Roman" w:hAnsi="Times New Roman" w:cs="Times New Roman"/>
        </w:rPr>
        <w:t xml:space="preserve"> </w:t>
      </w:r>
      <w:r w:rsidRPr="00D20981">
        <w:rPr>
          <w:rFonts w:ascii="Times New Roman" w:eastAsia="Times New Roman" w:hAnsi="Times New Roman" w:cs="Times New Roman"/>
          <w:lang w:val="en-US" w:eastAsia="es-AR"/>
        </w:rPr>
        <w:t>depth</w:t>
      </w:r>
      <w:r w:rsidRPr="00D20981"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Pr="004A3E8C">
        <w:rPr>
          <w:rFonts w:ascii="Times New Roman" w:eastAsia="Times New Roman" w:hAnsi="Times New Roman" w:cs="Times New Roman"/>
          <w:lang w:eastAsia="es-AR"/>
        </w:rPr>
        <w:t>All variables were modelled accounting for residual correlations using an ARMA autocorrelation structure of order (p=</w:t>
      </w:r>
      <w:proofErr w:type="gramStart"/>
      <w:r w:rsidRPr="004A3E8C">
        <w:rPr>
          <w:rFonts w:ascii="Times New Roman" w:eastAsia="Times New Roman" w:hAnsi="Times New Roman" w:cs="Times New Roman"/>
          <w:lang w:eastAsia="es-AR"/>
        </w:rPr>
        <w:t>1</w:t>
      </w:r>
      <w:proofErr w:type="gramEnd"/>
      <w:r w:rsidRPr="004A3E8C">
        <w:rPr>
          <w:rFonts w:ascii="Times New Roman" w:eastAsia="Times New Roman" w:hAnsi="Times New Roman" w:cs="Times New Roman"/>
          <w:lang w:eastAsia="es-AR"/>
        </w:rPr>
        <w:t>, q=1).</w:t>
      </w:r>
      <w:r>
        <w:rPr>
          <w:lang w:val="en-US"/>
        </w:rPr>
        <w:t xml:space="preserve"> </w:t>
      </w:r>
      <w:r w:rsidRPr="14209F3C">
        <w:rPr>
          <w:rFonts w:ascii="Times New Roman" w:eastAsia="Times New Roman" w:hAnsi="Times New Roman" w:cs="Times New Roman"/>
          <w:b/>
          <w:bCs/>
          <w:lang w:eastAsia="es-AR"/>
        </w:rPr>
        <w:t>Fixed-effects:</w:t>
      </w:r>
      <w:r w:rsidRPr="14209F3C">
        <w:rPr>
          <w:rFonts w:ascii="Times New Roman" w:eastAsia="Times New Roman" w:hAnsi="Times New Roman" w:cs="Times New Roman"/>
          <w:lang w:eastAsia="es-AR"/>
        </w:rPr>
        <w:t xml:space="preserve"> β standardized estimates are shown (mean-centred and scaled by </w:t>
      </w:r>
      <w:proofErr w:type="gramStart"/>
      <w:r w:rsidRPr="14209F3C">
        <w:rPr>
          <w:rFonts w:ascii="Times New Roman" w:eastAsia="Times New Roman" w:hAnsi="Times New Roman" w:cs="Times New Roman"/>
          <w:lang w:eastAsia="es-AR"/>
        </w:rPr>
        <w:t>2</w:t>
      </w:r>
      <w:proofErr w:type="gramEnd"/>
      <w:r w:rsidRPr="14209F3C">
        <w:rPr>
          <w:rFonts w:ascii="Times New Roman" w:eastAsia="Times New Roman" w:hAnsi="Times New Roman" w:cs="Times New Roman"/>
          <w:lang w:eastAsia="es-AR"/>
        </w:rPr>
        <w:t xml:space="preserve"> </w:t>
      </w:r>
      <w:proofErr w:type="spellStart"/>
      <w:r w:rsidRPr="14209F3C">
        <w:rPr>
          <w:rFonts w:ascii="Times New Roman" w:eastAsia="Times New Roman" w:hAnsi="Times New Roman" w:cs="Times New Roman"/>
          <w:lang w:eastAsia="es-AR"/>
        </w:rPr>
        <w:t>s.d.</w:t>
      </w:r>
      <w:proofErr w:type="spellEnd"/>
      <w:r w:rsidRPr="14209F3C">
        <w:rPr>
          <w:rFonts w:ascii="Times New Roman" w:eastAsia="Times New Roman" w:hAnsi="Times New Roman" w:cs="Times New Roman"/>
          <w:lang w:eastAsia="es-AR"/>
        </w:rPr>
        <w:t>), the response remains untransformed. In parenthesis, 95% confidence intervals.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proofErr w:type="gramStart"/>
      <w:r w:rsidRPr="0039467D">
        <w:rPr>
          <w:rFonts w:ascii="Times New Roman" w:hAnsi="Times New Roman" w:cs="Times New Roman"/>
          <w:b/>
        </w:rPr>
        <w:t>Random effects:</w:t>
      </w:r>
      <w:r w:rsidRPr="0039467D">
        <w:rPr>
          <w:rFonts w:ascii="Times New Roman" w:eastAsia="Times New Roman" w:hAnsi="Times New Roman" w:cs="Times New Roman"/>
          <w:bCs/>
          <w:color w:val="000000"/>
          <w:lang w:val="en-US" w:eastAsia="es-AR"/>
        </w:rPr>
        <w:t xml:space="preserve"> </w:t>
      </w:r>
      <w:r w:rsidRPr="00104A96">
        <w:rPr>
          <w:rFonts w:ascii="Times New Roman" w:eastAsia="Times New Roman" w:hAnsi="Times New Roman" w:cs="Times New Roman"/>
          <w:i/>
          <w:lang w:eastAsia="es-AR"/>
        </w:rPr>
        <w:t>σ</w:t>
      </w:r>
      <w:r w:rsidRPr="00104A96">
        <w:rPr>
          <w:rFonts w:ascii="Times New Roman" w:eastAsia="Times New Roman" w:hAnsi="Times New Roman" w:cs="Times New Roman"/>
          <w:i/>
          <w:vertAlign w:val="superscript"/>
          <w:lang w:val="en-US" w:eastAsia="es-AR"/>
        </w:rPr>
        <w:t>2</w:t>
      </w:r>
      <w:r w:rsidRPr="00104A96">
        <w:rPr>
          <w:rFonts w:ascii="Times New Roman" w:eastAsia="Times New Roman" w:hAnsi="Times New Roman" w:cs="Times New Roman"/>
          <w:i/>
          <w:vertAlign w:val="subscript"/>
          <w:lang w:val="en-US" w:eastAsia="es-AR"/>
        </w:rPr>
        <w:t>e</w:t>
      </w:r>
      <w:r w:rsidRPr="00104A96">
        <w:rPr>
          <w:rFonts w:ascii="Times New Roman" w:eastAsia="Times New Roman" w:hAnsi="Times New Roman" w:cs="Times New Roman"/>
          <w:i/>
          <w:lang w:val="en-US" w:eastAsia="es-AR"/>
        </w:rPr>
        <w:t>,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residual (within-individual) error variance; </w:t>
      </w:r>
      <w:r w:rsidRPr="00104A96">
        <w:rPr>
          <w:rFonts w:ascii="Times New Roman" w:eastAsia="Times New Roman" w:hAnsi="Times New Roman" w:cs="Times New Roman"/>
          <w:i/>
          <w:lang w:eastAsia="es-AR"/>
        </w:rPr>
        <w:t>τ</w:t>
      </w:r>
      <w:r w:rsidRPr="00104A96">
        <w:rPr>
          <w:rFonts w:ascii="Times New Roman" w:eastAsia="Times New Roman" w:hAnsi="Times New Roman" w:cs="Times New Roman"/>
          <w:i/>
          <w:vertAlign w:val="subscript"/>
          <w:lang w:val="en-US" w:eastAsia="es-AR"/>
        </w:rPr>
        <w:t>00</w:t>
      </w:r>
      <w:r w:rsidRPr="00104A96">
        <w:rPr>
          <w:rFonts w:ascii="Times New Roman" w:eastAsia="Times New Roman" w:hAnsi="Times New Roman" w:cs="Times New Roman"/>
          <w:i/>
          <w:lang w:val="en-US" w:eastAsia="es-AR"/>
        </w:rPr>
        <w:t> </w:t>
      </w:r>
      <w:proofErr w:type="spellStart"/>
      <w:r w:rsidRPr="00104A96">
        <w:rPr>
          <w:rFonts w:ascii="Times New Roman" w:hAnsi="Times New Roman" w:cs="Times New Roman"/>
          <w:i/>
          <w:color w:val="000000"/>
          <w:shd w:val="clear" w:color="auto" w:fill="FFFFFF"/>
          <w:vertAlign w:val="subscript"/>
          <w:lang w:val="en-US"/>
        </w:rPr>
        <w:t>tag_id</w:t>
      </w:r>
      <w:proofErr w:type="spellEnd"/>
      <w:r w:rsidRPr="00104A96">
        <w:rPr>
          <w:rFonts w:ascii="Times New Roman" w:eastAsia="Times New Roman" w:hAnsi="Times New Roman" w:cs="Times New Roman"/>
          <w:i/>
          <w:vertAlign w:val="subscript"/>
          <w:lang w:val="en-US" w:eastAsia="es-AR"/>
        </w:rPr>
        <w:t>,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random intercept variance (i.e., variation between individual intercepts and average intercept); 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</w:rPr>
        <w:t>τ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  <w:vertAlign w:val="subscript"/>
          <w:lang w:val="en-US"/>
        </w:rPr>
        <w:t>11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 </w:t>
      </w:r>
      <w:proofErr w:type="spellStart"/>
      <w:r w:rsidRPr="00104A96">
        <w:rPr>
          <w:rFonts w:ascii="Times New Roman" w:hAnsi="Times New Roman" w:cs="Times New Roman"/>
          <w:i/>
          <w:color w:val="000000"/>
          <w:shd w:val="clear" w:color="auto" w:fill="FFFFFF"/>
          <w:vertAlign w:val="subscript"/>
          <w:lang w:val="en-US"/>
        </w:rPr>
        <w:t>tag_id.time</w:t>
      </w:r>
      <w:proofErr w:type="spellEnd"/>
      <w:r w:rsidRPr="0039467D">
        <w:rPr>
          <w:rFonts w:ascii="Times New Roman" w:eastAsia="Times New Roman" w:hAnsi="Times New Roman" w:cs="Times New Roman"/>
          <w:i/>
          <w:lang w:val="en-US" w:eastAsia="es-AR"/>
        </w:rPr>
        <w:t xml:space="preserve">, </w:t>
      </w:r>
      <w:r w:rsidRPr="0039467D">
        <w:rPr>
          <w:rFonts w:ascii="Times New Roman" w:eastAsia="Times New Roman" w:hAnsi="Times New Roman" w:cs="Times New Roman"/>
          <w:lang w:val="en-US" w:eastAsia="es-AR"/>
        </w:rPr>
        <w:t>random slope variance (i.e., variation in individual temporal slopes across days)</w:t>
      </w:r>
      <w:r w:rsidRPr="0039467D">
        <w:rPr>
          <w:rFonts w:ascii="Times New Roman" w:eastAsia="Times New Roman" w:hAnsi="Times New Roman" w:cs="Times New Roman"/>
          <w:i/>
          <w:lang w:val="en-US" w:eastAsia="es-AR"/>
        </w:rPr>
        <w:t xml:space="preserve">; 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</w:rPr>
        <w:t>ρ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  <w:vertAlign w:val="subscript"/>
          <w:lang w:val="en-US"/>
        </w:rPr>
        <w:t>01</w:t>
      </w:r>
      <w:r w:rsidRPr="00104A96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 </w:t>
      </w:r>
      <w:proofErr w:type="spellStart"/>
      <w:r w:rsidRPr="00104A96">
        <w:rPr>
          <w:rFonts w:ascii="Times New Roman" w:hAnsi="Times New Roman" w:cs="Times New Roman"/>
          <w:i/>
          <w:color w:val="000000"/>
          <w:shd w:val="clear" w:color="auto" w:fill="FFFFFF"/>
          <w:vertAlign w:val="subscript"/>
          <w:lang w:val="en-US"/>
        </w:rPr>
        <w:t>tag_id</w:t>
      </w:r>
      <w:proofErr w:type="spellEnd"/>
      <w:r w:rsidRPr="0039467D">
        <w:rPr>
          <w:rFonts w:ascii="Times New Roman" w:eastAsia="Times New Roman" w:hAnsi="Times New Roman" w:cs="Times New Roman"/>
          <w:i/>
          <w:lang w:val="en-US" w:eastAsia="es-AR"/>
        </w:rPr>
        <w:t xml:space="preserve">, </w:t>
      </w:r>
      <w:r w:rsidRPr="0039467D">
        <w:rPr>
          <w:rFonts w:ascii="Times New Roman" w:eastAsia="Times New Roman" w:hAnsi="Times New Roman" w:cs="Times New Roman"/>
          <w:lang w:val="en-US" w:eastAsia="es-AR"/>
        </w:rPr>
        <w:t>r</w:t>
      </w:r>
      <w:r w:rsidRPr="0094081D">
        <w:rPr>
          <w:rFonts w:ascii="Times New Roman" w:eastAsia="Times New Roman" w:hAnsi="Times New Roman" w:cs="Times New Roman"/>
          <w:lang w:val="en-US" w:eastAsia="es-AR"/>
        </w:rPr>
        <w:t xml:space="preserve">andom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slope-intercept </w:t>
      </w:r>
      <w:r w:rsidRPr="0094081D">
        <w:rPr>
          <w:rFonts w:ascii="Times New Roman" w:eastAsia="Times New Roman" w:hAnsi="Times New Roman" w:cs="Times New Roman"/>
          <w:lang w:val="en-US" w:eastAsia="es-AR"/>
        </w:rPr>
        <w:t xml:space="preserve">correlation </w:t>
      </w:r>
      <w:r w:rsidRPr="0039467D">
        <w:rPr>
          <w:rFonts w:ascii="Times New Roman" w:eastAsia="Times New Roman" w:hAnsi="Times New Roman" w:cs="Times New Roman"/>
          <w:lang w:val="en-US" w:eastAsia="es-AR"/>
        </w:rPr>
        <w:t>(i.e., c</w:t>
      </w:r>
      <w:r w:rsidRPr="0094081D">
        <w:rPr>
          <w:rFonts w:ascii="Times New Roman" w:eastAsia="Times New Roman" w:hAnsi="Times New Roman" w:cs="Times New Roman"/>
          <w:lang w:val="en-US" w:eastAsia="es-AR"/>
        </w:rPr>
        <w:t xml:space="preserve">orrelation between the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individual random </w:t>
      </w:r>
      <w:r w:rsidRPr="0094081D">
        <w:rPr>
          <w:rFonts w:ascii="Times New Roman" w:eastAsia="Times New Roman" w:hAnsi="Times New Roman" w:cs="Times New Roman"/>
          <w:lang w:val="en-US" w:eastAsia="es-AR"/>
        </w:rPr>
        <w:t>intercept</w:t>
      </w:r>
      <w:r w:rsidRPr="0039467D">
        <w:rPr>
          <w:rFonts w:ascii="Times New Roman" w:eastAsia="Times New Roman" w:hAnsi="Times New Roman" w:cs="Times New Roman"/>
          <w:lang w:val="en-US" w:eastAsia="es-AR"/>
        </w:rPr>
        <w:t>s</w:t>
      </w:r>
      <w:r w:rsidRPr="0094081D">
        <w:rPr>
          <w:rFonts w:ascii="Times New Roman" w:eastAsia="Times New Roman" w:hAnsi="Times New Roman" w:cs="Times New Roman"/>
          <w:lang w:val="en-US" w:eastAsia="es-AR"/>
        </w:rPr>
        <w:t xml:space="preserve"> and slopes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); </w:t>
      </w:r>
      <w:r w:rsidRPr="0094081D">
        <w:rPr>
          <w:rFonts w:ascii="Times New Roman" w:eastAsia="Times New Roman" w:hAnsi="Times New Roman" w:cs="Times New Roman"/>
          <w:i/>
          <w:lang w:val="en-US" w:eastAsia="es-AR"/>
        </w:rPr>
        <w:t>R</w:t>
      </w:r>
      <w:r w:rsidRPr="0094081D">
        <w:rPr>
          <w:rFonts w:ascii="Times New Roman" w:eastAsia="Times New Roman" w:hAnsi="Times New Roman" w:cs="Times New Roman"/>
          <w:lang w:val="en-US" w:eastAsia="es-AR"/>
        </w:rPr>
        <w:t xml:space="preserve">, </w:t>
      </w:r>
      <w:r>
        <w:rPr>
          <w:rFonts w:ascii="Times New Roman" w:eastAsia="Times New Roman" w:hAnsi="Times New Roman" w:cs="Times New Roman"/>
          <w:lang w:val="en-US" w:eastAsia="es-AR"/>
        </w:rPr>
        <w:t>r</w:t>
      </w:r>
      <w:r w:rsidRPr="0094081D">
        <w:rPr>
          <w:rFonts w:ascii="Times New Roman" w:eastAsia="Times New Roman" w:hAnsi="Times New Roman" w:cs="Times New Roman"/>
          <w:lang w:val="en-US" w:eastAsia="es-AR"/>
        </w:rPr>
        <w:t>epeatability measuring the proportion of variance at the individual level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; </w:t>
      </w:r>
      <w:r w:rsidRPr="0039467D">
        <w:rPr>
          <w:rFonts w:ascii="Times New Roman" w:eastAsia="Times New Roman" w:hAnsi="Times New Roman" w:cs="Times New Roman"/>
          <w:i/>
          <w:lang w:val="en-US" w:eastAsia="es-AR"/>
        </w:rPr>
        <w:t>R</w:t>
      </w:r>
      <w:r w:rsidRPr="0039467D">
        <w:rPr>
          <w:lang w:val="en-US"/>
        </w:rPr>
        <w:t xml:space="preserve"> </w:t>
      </w:r>
      <w:r w:rsidRPr="0039467D">
        <w:rPr>
          <w:rFonts w:ascii="Times New Roman" w:eastAsia="Times New Roman" w:hAnsi="Times New Roman" w:cs="Times New Roman"/>
          <w:i/>
          <w:vertAlign w:val="subscript"/>
          <w:lang w:val="en-US" w:eastAsia="es-AR"/>
        </w:rPr>
        <w:t>SHC</w:t>
      </w:r>
      <w:r w:rsidRPr="0039467D">
        <w:rPr>
          <w:rFonts w:ascii="Times New Roman" w:eastAsia="Times New Roman" w:hAnsi="Times New Roman" w:cs="Times New Roman"/>
          <w:i/>
          <w:lang w:val="en-US" w:eastAsia="es-AR"/>
        </w:rPr>
        <w:t>,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39467D">
        <w:rPr>
          <w:rFonts w:ascii="Times New Roman" w:eastAsia="Times New Roman" w:hAnsi="Times New Roman" w:cs="Times New Roman"/>
          <w:i/>
          <w:lang w:val="en-US" w:eastAsia="es-AR"/>
        </w:rPr>
        <w:t>R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39467D">
        <w:rPr>
          <w:rFonts w:ascii="Times New Roman" w:eastAsia="Times New Roman" w:hAnsi="Times New Roman" w:cs="Times New Roman"/>
          <w:vertAlign w:val="subscript"/>
          <w:lang w:val="en-US" w:eastAsia="es-AR"/>
        </w:rPr>
        <w:t>LSC</w:t>
      </w:r>
      <w:r w:rsidRPr="0039467D">
        <w:rPr>
          <w:rFonts w:ascii="Times New Roman" w:eastAsia="Times New Roman" w:hAnsi="Times New Roman" w:cs="Times New Roman"/>
          <w:lang w:val="en-US" w:eastAsia="es-AR"/>
        </w:rPr>
        <w:t>, repeatability computed for each lake dataset separately (see main text for more details).</w:t>
      </w:r>
      <w:proofErr w:type="gramEnd"/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Significance values of random-effects parameters</w:t>
      </w:r>
      <w:r>
        <w:rPr>
          <w:rFonts w:ascii="Times New Roman" w:eastAsia="Times New Roman" w:hAnsi="Times New Roman" w:cs="Times New Roman"/>
          <w:lang w:val="en-US" w:eastAsia="es-AR"/>
        </w:rPr>
        <w:t xml:space="preserve"> were computed using likelihood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ratio tests </w:t>
      </w:r>
      <w:r w:rsidRPr="0039467D">
        <w:rPr>
          <w:rFonts w:ascii="Times New Roman" w:eastAsia="MS Mincho" w:hAnsi="Times New Roman" w:cs="Times New Roman"/>
          <w:color w:val="000000"/>
        </w:rPr>
        <w:t>between each two nested models varying only in</w:t>
      </w:r>
      <w:r>
        <w:rPr>
          <w:rFonts w:ascii="Times New Roman" w:eastAsia="MS Mincho" w:hAnsi="Times New Roman" w:cs="Times New Roman"/>
          <w:color w:val="000000"/>
        </w:rPr>
        <w:t xml:space="preserve"> their random-effects structure (</w:t>
      </w:r>
      <w:r w:rsidRPr="007C45DB">
        <w:rPr>
          <w:rFonts w:ascii="Times New Roman" w:eastAsia="Times New Roman" w:hAnsi="Times New Roman" w:cs="Times New Roman"/>
          <w:lang w:val="en-US" w:eastAsia="es-AR"/>
        </w:rPr>
        <w:t>only</w:t>
      </w:r>
      <w:r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3A4021">
        <w:rPr>
          <w:rFonts w:ascii="Times New Roman" w:eastAsia="Times New Roman" w:hAnsi="Times New Roman" w:cs="Times New Roman"/>
          <w:i/>
          <w:lang w:val="en-US" w:eastAsia="es-AR"/>
        </w:rPr>
        <w:t>p</w:t>
      </w:r>
      <w:r>
        <w:rPr>
          <w:rFonts w:ascii="Times New Roman" w:eastAsia="Times New Roman" w:hAnsi="Times New Roman" w:cs="Times New Roman"/>
          <w:lang w:val="en-US" w:eastAsia="es-AR"/>
        </w:rPr>
        <w:t>-value of the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39467D">
        <w:rPr>
          <w:rFonts w:ascii="Times New Roman" w:eastAsia="MS Mincho" w:hAnsi="Times New Roman" w:cs="Times New Roman"/>
          <w:color w:val="000000"/>
        </w:rPr>
        <w:t>χ</w:t>
      </w:r>
      <w:r w:rsidRPr="0039467D">
        <w:rPr>
          <w:rFonts w:ascii="Times New Roman" w:eastAsia="MS Mincho" w:hAnsi="Times New Roman" w:cs="Times New Roman"/>
          <w:color w:val="000000"/>
          <w:vertAlign w:val="superscript"/>
        </w:rPr>
        <w:t>2</w:t>
      </w:r>
      <w:r>
        <w:rPr>
          <w:rFonts w:ascii="Times New Roman" w:eastAsia="MS Mincho" w:hAnsi="Times New Roman" w:cs="Times New Roman"/>
          <w:color w:val="000000"/>
        </w:rPr>
        <w:t xml:space="preserve"> test is shown).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proofErr w:type="gramStart"/>
      <w:r w:rsidRPr="0039467D">
        <w:rPr>
          <w:rFonts w:ascii="Times New Roman" w:eastAsia="MS Mincho" w:hAnsi="Times New Roman" w:cs="Times New Roman"/>
          <w:b/>
        </w:rPr>
        <w:t xml:space="preserve">ARMA(1,1): </w:t>
      </w:r>
      <w:r w:rsidRPr="00104A96">
        <w:rPr>
          <w:rFonts w:ascii="Times New Roman" w:hAnsi="Times New Roman" w:cs="Times New Roman"/>
          <w:i/>
          <w:shd w:val="clear" w:color="auto" w:fill="FFFFFF"/>
        </w:rPr>
        <w:t>ρ</w:t>
      </w:r>
      <w:r w:rsidRPr="00104A9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 </w:t>
      </w:r>
      <w:r w:rsidRPr="00104A96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AR(1)</w:t>
      </w:r>
      <w:r w:rsidRPr="0039467D">
        <w:rPr>
          <w:rFonts w:ascii="Times New Roman" w:hAnsi="Times New Roman" w:cs="Times New Roman"/>
          <w:shd w:val="clear" w:color="auto" w:fill="FFFFFF"/>
          <w:vertAlign w:val="subscript"/>
          <w:lang w:val="en-US"/>
        </w:rPr>
        <w:t>,</w:t>
      </w:r>
      <w:r w:rsidRPr="0039467D">
        <w:rPr>
          <w:rFonts w:ascii="Times New Roman" w:eastAsia="Times New Roman" w:hAnsi="Times New Roman" w:cs="Times New Roman"/>
          <w:vertAlign w:val="superscript"/>
          <w:lang w:val="en-US" w:eastAsia="es-AR"/>
        </w:rPr>
        <w:t xml:space="preserve">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parameter </w:t>
      </w:r>
      <w:r w:rsidRPr="0039467D">
        <w:rPr>
          <w:rFonts w:ascii="Times New Roman" w:eastAsia="Times New Roman" w:hAnsi="Times New Roman" w:cs="Times New Roman"/>
          <w:lang w:eastAsia="es-AR"/>
        </w:rPr>
        <w:t>Φ</w:t>
      </w:r>
      <w:r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of the autoregressive correlation term AR(1); </w:t>
      </w:r>
      <w:r w:rsidRPr="00104A96">
        <w:rPr>
          <w:rFonts w:ascii="Times New Roman" w:hAnsi="Times New Roman" w:cs="Times New Roman"/>
          <w:i/>
          <w:shd w:val="clear" w:color="auto" w:fill="FFFFFF"/>
        </w:rPr>
        <w:t>ρ</w:t>
      </w:r>
      <w:r w:rsidRPr="00104A96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 </w:t>
      </w:r>
      <w:r w:rsidRPr="00104A96">
        <w:rPr>
          <w:rFonts w:ascii="Times New Roman" w:hAnsi="Times New Roman" w:cs="Times New Roman"/>
          <w:i/>
          <w:shd w:val="clear" w:color="auto" w:fill="FFFFFF"/>
          <w:vertAlign w:val="subscript"/>
          <w:lang w:val="en-US"/>
        </w:rPr>
        <w:t>MA(1)</w:t>
      </w:r>
      <w:r w:rsidRPr="0039467D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parameter </w:t>
      </w:r>
      <w:r w:rsidRPr="0039467D">
        <w:rPr>
          <w:rFonts w:ascii="Times New Roman" w:eastAsia="Times New Roman" w:hAnsi="Times New Roman" w:cs="Times New Roman"/>
          <w:lang w:eastAsia="es-AR"/>
        </w:rPr>
        <w:t>Θ</w:t>
      </w:r>
      <w:r w:rsidRPr="0039467D">
        <w:rPr>
          <w:rFonts w:ascii="Times New Roman" w:eastAsia="Times New Roman" w:hAnsi="Times New Roman" w:cs="Times New Roman"/>
          <w:lang w:val="en-US" w:eastAsia="es-AR"/>
        </w:rPr>
        <w:t xml:space="preserve"> of the moving average correlation term MA(1) </w:t>
      </w:r>
      <w:r>
        <w:rPr>
          <w:rFonts w:ascii="Times New Roman" w:eastAsia="Times New Roman" w:hAnsi="Times New Roman" w:cs="Times New Roman"/>
          <w:b/>
          <w:lang w:eastAsia="es-AR"/>
        </w:rPr>
        <w:t>Metrics</w:t>
      </w:r>
      <w:r w:rsidRPr="004A3E8C">
        <w:rPr>
          <w:rFonts w:ascii="Times New Roman" w:eastAsia="Times New Roman" w:hAnsi="Times New Roman" w:cs="Times New Roman"/>
          <w:b/>
          <w:lang w:eastAsia="es-AR"/>
        </w:rPr>
        <w:t xml:space="preserve"> of the model: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 </w:t>
      </w:r>
      <w:proofErr w:type="spellStart"/>
      <w:r w:rsidRPr="00104A96">
        <w:rPr>
          <w:rFonts w:ascii="Times New Roman" w:hAnsi="Times New Roman" w:cs="Times New Roman"/>
          <w:i/>
        </w:rPr>
        <w:t>AICc</w:t>
      </w:r>
      <w:proofErr w:type="spellEnd"/>
      <w:r>
        <w:rPr>
          <w:rFonts w:ascii="Times New Roman" w:hAnsi="Times New Roman" w:cs="Times New Roman"/>
        </w:rPr>
        <w:t xml:space="preserve">, corrected </w:t>
      </w:r>
      <w:proofErr w:type="spellStart"/>
      <w:r>
        <w:rPr>
          <w:rFonts w:ascii="Times New Roman" w:hAnsi="Times New Roman" w:cs="Times New Roman"/>
        </w:rPr>
        <w:t>Akaike</w:t>
      </w:r>
      <w:proofErr w:type="spellEnd"/>
      <w:r w:rsidRPr="004A3E8C">
        <w:rPr>
          <w:rFonts w:ascii="Times New Roman" w:hAnsi="Times New Roman" w:cs="Times New Roman"/>
        </w:rPr>
        <w:t xml:space="preserve"> information criterion for small sample size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; </w:t>
      </w:r>
      <w:r w:rsidRPr="00104A96">
        <w:rPr>
          <w:rFonts w:ascii="Times New Roman" w:eastAsia="Times New Roman" w:hAnsi="Times New Roman" w:cs="Times New Roman"/>
          <w:i/>
          <w:lang w:eastAsia="es-AR"/>
        </w:rPr>
        <w:t>R</w:t>
      </w:r>
      <w:r w:rsidRPr="00104A96">
        <w:rPr>
          <w:rFonts w:ascii="Times New Roman" w:eastAsia="Times New Roman" w:hAnsi="Times New Roman" w:cs="Times New Roman"/>
          <w:i/>
          <w:vertAlign w:val="superscript"/>
          <w:lang w:eastAsia="es-AR"/>
        </w:rPr>
        <w:t>2</w:t>
      </w:r>
      <w:r w:rsidRPr="00104A96">
        <w:rPr>
          <w:rFonts w:ascii="Times New Roman" w:eastAsia="Times New Roman" w:hAnsi="Times New Roman" w:cs="Times New Roman"/>
          <w:i/>
          <w:vertAlign w:val="subscript"/>
          <w:lang w:eastAsia="es-AR"/>
        </w:rPr>
        <w:t>m</w:t>
      </w:r>
      <w:r w:rsidRPr="004A3E8C">
        <w:rPr>
          <w:rFonts w:ascii="Times New Roman" w:eastAsia="Times New Roman" w:hAnsi="Times New Roman" w:cs="Times New Roman"/>
          <w:lang w:eastAsia="es-AR"/>
        </w:rPr>
        <w:t>, marginal-R</w:t>
      </w:r>
      <w:r w:rsidRPr="004A3E8C">
        <w:rPr>
          <w:rFonts w:ascii="Times New Roman" w:eastAsia="Times New Roman" w:hAnsi="Times New Roman" w:cs="Times New Roman"/>
          <w:vertAlign w:val="superscript"/>
          <w:lang w:eastAsia="es-AR"/>
        </w:rPr>
        <w:t xml:space="preserve">2 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refers to the proportion of variation explained by fixed effects; </w:t>
      </w:r>
      <w:r w:rsidRPr="00104A96">
        <w:rPr>
          <w:rFonts w:ascii="Times New Roman" w:eastAsia="Times New Roman" w:hAnsi="Times New Roman" w:cs="Times New Roman"/>
          <w:i/>
          <w:lang w:eastAsia="es-AR"/>
        </w:rPr>
        <w:t>R</w:t>
      </w:r>
      <w:r w:rsidRPr="00104A96">
        <w:rPr>
          <w:rFonts w:ascii="Times New Roman" w:eastAsia="Times New Roman" w:hAnsi="Times New Roman" w:cs="Times New Roman"/>
          <w:i/>
          <w:vertAlign w:val="superscript"/>
          <w:lang w:eastAsia="es-AR"/>
        </w:rPr>
        <w:t>2</w:t>
      </w:r>
      <w:r w:rsidRPr="00104A96">
        <w:rPr>
          <w:rFonts w:ascii="Times New Roman" w:eastAsia="Times New Roman" w:hAnsi="Times New Roman" w:cs="Times New Roman"/>
          <w:i/>
          <w:vertAlign w:val="subscript"/>
          <w:lang w:eastAsia="es-AR"/>
        </w:rPr>
        <w:t>c</w:t>
      </w:r>
      <w:r w:rsidRPr="004A3E8C">
        <w:rPr>
          <w:rFonts w:ascii="Times New Roman" w:eastAsia="Times New Roman" w:hAnsi="Times New Roman" w:cs="Times New Roman"/>
          <w:lang w:eastAsia="es-AR"/>
        </w:rPr>
        <w:t>, conditional</w:t>
      </w:r>
      <w:r w:rsidRPr="00CE2D5E">
        <w:t xml:space="preserve"> </w:t>
      </w:r>
      <w:r w:rsidRPr="00CE2D5E">
        <w:rPr>
          <w:rFonts w:ascii="Times New Roman" w:eastAsia="Times New Roman" w:hAnsi="Times New Roman" w:cs="Times New Roman"/>
          <w:lang w:eastAsia="es-AR"/>
        </w:rPr>
        <w:t xml:space="preserve">R-squared </w:t>
      </w:r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Pr="004A3E8C">
        <w:rPr>
          <w:rFonts w:ascii="Times New Roman" w:eastAsia="Times New Roman" w:hAnsi="Times New Roman" w:cs="Times New Roman"/>
          <w:vertAlign w:val="superscript"/>
          <w:lang w:eastAsia="es-AR"/>
        </w:rPr>
        <w:t xml:space="preserve"> 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indicates the proportion of the variance explained by fixed and random effects; </w:t>
      </w:r>
      <w:r w:rsidRPr="00104A96">
        <w:rPr>
          <w:rFonts w:ascii="Times New Roman" w:eastAsia="Times New Roman" w:hAnsi="Times New Roman" w:cs="Times New Roman"/>
          <w:i/>
          <w:lang w:eastAsia="es-AR"/>
        </w:rPr>
        <w:t>pseudo-R</w:t>
      </w:r>
      <w:r w:rsidRPr="00104A96">
        <w:rPr>
          <w:rFonts w:ascii="Times New Roman" w:eastAsia="Times New Roman" w:hAnsi="Times New Roman" w:cs="Times New Roman"/>
          <w:i/>
          <w:vertAlign w:val="superscript"/>
          <w:lang w:eastAsia="es-AR"/>
        </w:rPr>
        <w:t>2</w:t>
      </w:r>
      <w:r>
        <w:rPr>
          <w:rFonts w:ascii="Times New Roman" w:eastAsia="Times New Roman" w:hAnsi="Times New Roman" w:cs="Times New Roman"/>
          <w:lang w:eastAsia="es-AR"/>
        </w:rPr>
        <w:t xml:space="preserve">, </w:t>
      </w:r>
      <w:r w:rsidRPr="007A3025">
        <w:rPr>
          <w:rFonts w:ascii="Times New Roman" w:eastAsia="Times New Roman" w:hAnsi="Times New Roman" w:cs="Times New Roman"/>
          <w:lang w:eastAsia="es-AR"/>
        </w:rPr>
        <w:t>McFadden adjusted</w:t>
      </w:r>
      <w:r>
        <w:rPr>
          <w:rFonts w:ascii="Times New Roman" w:eastAsia="Times New Roman" w:hAnsi="Times New Roman" w:cs="Times New Roman"/>
          <w:lang w:eastAsia="es-AR"/>
        </w:rPr>
        <w:t xml:space="preserve"> pseudo</w:t>
      </w:r>
      <w:r w:rsidRPr="00075834">
        <w:rPr>
          <w:rFonts w:ascii="Times New Roman" w:eastAsia="Times New Roman" w:hAnsi="Times New Roman" w:cs="Times New Roman"/>
          <w:lang w:eastAsia="es-AR"/>
        </w:rPr>
        <w:t xml:space="preserve"> </w:t>
      </w:r>
      <w:r w:rsidRPr="00990636">
        <w:rPr>
          <w:rFonts w:ascii="Times New Roman" w:hAnsi="Times New Roman" w:cs="Times New Roman"/>
          <w:lang w:val="en-US"/>
        </w:rPr>
        <w:t>R-squared</w:t>
      </w:r>
      <w:r>
        <w:rPr>
          <w:rFonts w:ascii="Times New Roman" w:eastAsia="Times New Roman" w:hAnsi="Times New Roman" w:cs="Times New Roman"/>
          <w:vertAlign w:val="superscript"/>
          <w:lang w:eastAsia="es-AR"/>
        </w:rPr>
        <w:t xml:space="preserve"> </w:t>
      </w:r>
      <w:r w:rsidRPr="00E7289A">
        <w:rPr>
          <w:rFonts w:ascii="Times New Roman" w:eastAsia="Times New Roman" w:hAnsi="Times New Roman" w:cs="Times New Roman"/>
          <w:lang w:val="en-US" w:eastAsia="es-AR"/>
        </w:rPr>
        <w:t>(</w:t>
      </w:r>
      <w:proofErr w:type="spellStart"/>
      <w:r w:rsidRPr="0034442D">
        <w:rPr>
          <w:rFonts w:ascii="Times New Roman" w:eastAsia="Times New Roman" w:hAnsi="Times New Roman" w:cs="Times New Roman"/>
          <w:i/>
          <w:lang w:val="en-US" w:eastAsia="es-AR"/>
        </w:rPr>
        <w:t>sensu</w:t>
      </w:r>
      <w:proofErr w:type="spellEnd"/>
      <w:r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00E7289A">
        <w:rPr>
          <w:rFonts w:ascii="Times New Roman" w:eastAsia="Times New Roman" w:hAnsi="Times New Roman" w:cs="Times New Roman"/>
          <w:lang w:val="en-US" w:eastAsia="es-AR"/>
        </w:rPr>
        <w:t>Nakagawa et al. 2017)</w:t>
      </w:r>
      <w:r>
        <w:rPr>
          <w:rFonts w:ascii="Times New Roman" w:eastAsia="Times New Roman" w:hAnsi="Times New Roman" w:cs="Times New Roman"/>
          <w:lang w:val="en-US" w:eastAsia="es-AR"/>
        </w:rPr>
        <w:t xml:space="preserve">; </w:t>
      </w:r>
      <w:proofErr w:type="spellStart"/>
      <w:r w:rsidRPr="00104A96">
        <w:rPr>
          <w:rFonts w:ascii="Times New Roman" w:eastAsia="Times New Roman" w:hAnsi="Times New Roman" w:cs="Times New Roman"/>
          <w:i/>
          <w:lang w:eastAsia="es-AR"/>
        </w:rPr>
        <w:t>logLik</w:t>
      </w:r>
      <w:proofErr w:type="spellEnd"/>
      <w:r w:rsidRPr="004A3E8C">
        <w:rPr>
          <w:rFonts w:ascii="Times New Roman" w:eastAsia="Times New Roman" w:hAnsi="Times New Roman" w:cs="Times New Roman"/>
          <w:lang w:eastAsia="es-AR"/>
        </w:rPr>
        <w:t xml:space="preserve">, Log-likelihood estimation of the model computed by </w:t>
      </w:r>
      <w:r>
        <w:rPr>
          <w:rFonts w:ascii="Times New Roman" w:eastAsia="Times New Roman" w:hAnsi="Times New Roman" w:cs="Times New Roman"/>
          <w:lang w:eastAsia="es-AR"/>
        </w:rPr>
        <w:t>r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estricted </w:t>
      </w:r>
      <w:r>
        <w:rPr>
          <w:rFonts w:ascii="Times New Roman" w:eastAsia="Times New Roman" w:hAnsi="Times New Roman" w:cs="Times New Roman"/>
          <w:lang w:eastAsia="es-AR"/>
        </w:rPr>
        <w:t>m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aximum </w:t>
      </w:r>
      <w:r>
        <w:rPr>
          <w:rFonts w:ascii="Times New Roman" w:eastAsia="Times New Roman" w:hAnsi="Times New Roman" w:cs="Times New Roman"/>
          <w:lang w:eastAsia="es-AR"/>
        </w:rPr>
        <w:t>l</w:t>
      </w:r>
      <w:r w:rsidRPr="004A3E8C">
        <w:rPr>
          <w:rFonts w:ascii="Times New Roman" w:eastAsia="Times New Roman" w:hAnsi="Times New Roman" w:cs="Times New Roman"/>
          <w:lang w:eastAsia="es-AR"/>
        </w:rPr>
        <w:t>ikelihood.</w:t>
      </w:r>
      <w:proofErr w:type="gramEnd"/>
      <w:r>
        <w:rPr>
          <w:rFonts w:ascii="Times New Roman" w:eastAsia="Times New Roman" w:hAnsi="Times New Roman" w:cs="Times New Roman"/>
          <w:lang w:eastAsia="es-AR"/>
        </w:rPr>
        <w:t xml:space="preserve"> 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Significance values for the regression estimates:  </w:t>
      </w:r>
      <w:r w:rsidRPr="004A3E8C">
        <w:rPr>
          <w:rFonts w:ascii="Times New Roman" w:eastAsia="Times New Roman" w:hAnsi="Times New Roman" w:cs="Times New Roman"/>
          <w:vertAlign w:val="superscript"/>
          <w:lang w:eastAsia="es-AR"/>
        </w:rPr>
        <w:t>*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p&lt;0.1; </w:t>
      </w:r>
      <w:r w:rsidRPr="004A3E8C">
        <w:rPr>
          <w:rFonts w:ascii="Times New Roman" w:eastAsia="Times New Roman" w:hAnsi="Times New Roman" w:cs="Times New Roman"/>
          <w:vertAlign w:val="superscript"/>
          <w:lang w:eastAsia="es-AR"/>
        </w:rPr>
        <w:t>**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p&lt;0.05; </w:t>
      </w:r>
      <w:r w:rsidRPr="004A3E8C">
        <w:rPr>
          <w:rFonts w:ascii="Times New Roman" w:eastAsia="Times New Roman" w:hAnsi="Times New Roman" w:cs="Times New Roman"/>
          <w:vertAlign w:val="superscript"/>
          <w:lang w:eastAsia="es-AR"/>
        </w:rPr>
        <w:t>***</w:t>
      </w:r>
      <w:r>
        <w:rPr>
          <w:rFonts w:ascii="Times New Roman" w:eastAsia="Times New Roman" w:hAnsi="Times New Roman" w:cs="Times New Roman"/>
          <w:lang w:eastAsia="es-AR"/>
        </w:rPr>
        <w:t>p&lt;0.01</w:t>
      </w:r>
    </w:p>
    <w:tbl>
      <w:tblPr>
        <w:tblW w:w="14471" w:type="dxa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1266"/>
        <w:gridCol w:w="2111"/>
        <w:gridCol w:w="1854"/>
        <w:gridCol w:w="1854"/>
        <w:gridCol w:w="1929"/>
        <w:gridCol w:w="30"/>
        <w:gridCol w:w="1671"/>
        <w:gridCol w:w="30"/>
        <w:gridCol w:w="1872"/>
      </w:tblGrid>
      <w:tr w:rsidR="00E6768F" w:rsidRPr="002B05F3" w:rsidTr="00382816">
        <w:trPr>
          <w:trHeight w:val="140"/>
          <w:tblCellSpacing w:w="15" w:type="dxa"/>
        </w:trPr>
        <w:tc>
          <w:tcPr>
            <w:tcW w:w="1809" w:type="dxa"/>
            <w:tcBorders>
              <w:bottom w:val="double" w:sz="4" w:space="0" w:color="auto"/>
            </w:tcBorders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12572" w:type="dxa"/>
            <w:gridSpan w:val="9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>dH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 xml:space="preserve">-KUD </w:t>
            </w:r>
          </w:p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log(m</w:t>
            </w:r>
            <w:r w:rsidRPr="002B05F3"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es-AR"/>
              </w:rPr>
              <w:t>2</w:t>
            </w:r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>dV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 xml:space="preserve">-KS </w:t>
            </w:r>
          </w:p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log(m)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>Horizontal activity</w:t>
            </w:r>
          </w:p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sqrt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(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lang w:eastAsia="es-AR"/>
              </w:rPr>
              <w:t>m/s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vertAlign w:val="superscript"/>
                <w:lang w:eastAsia="es-AR"/>
              </w:rPr>
              <w:t>-1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lang w:eastAsia="es-AR"/>
              </w:rPr>
              <w:t>)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>Vertical activity</w:t>
            </w:r>
          </w:p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222"/>
                <w:lang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sqrt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(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lang w:eastAsia="es-AR"/>
              </w:rPr>
              <w:t>m/s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vertAlign w:val="superscript"/>
                <w:lang w:eastAsia="es-AR"/>
              </w:rPr>
              <w:t>-1</w:t>
            </w:r>
            <w:r w:rsidRPr="002B05F3">
              <w:rPr>
                <w:rFonts w:ascii="Times New Roman" w:eastAsia="Times New Roman" w:hAnsi="Times New Roman" w:cs="Times New Roman"/>
                <w:i/>
                <w:color w:val="222222"/>
                <w:lang w:eastAsia="es-AR"/>
              </w:rPr>
              <w:t>)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b/>
                <w:lang w:val="en-US" w:eastAsia="es-AR"/>
              </w:rPr>
              <w:t>Depth</w:t>
            </w:r>
          </w:p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n-US" w:eastAsia="es-AR"/>
              </w:rPr>
              <w:t>log(m)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</w:t>
            </w: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Intercept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)</w:t>
            </w: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0.772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5.324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26.477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 xml:space="preserve">***  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29.254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5.599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(0.625, 0.920)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(5.063, 5.585)</w:t>
            </w: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(22.848, 30.106)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(26.590, 31.918)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(5.258, 5.940)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lang w:val="en-US" w:eastAsia="es-AR"/>
              </w:rPr>
              <w:t>time</w:t>
            </w: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 xml:space="preserve"> × </w:t>
            </w:r>
            <w:proofErr w:type="spellStart"/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pL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 xml:space="preserve"> [LSC]</w:t>
            </w: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-0.003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-0.002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-0.055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n-US" w:eastAsia="es-AR"/>
              </w:rPr>
              <w:t>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-0.044</w:t>
            </w: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-0.002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(-0.005, 0.00002)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(-0.007, 0.003)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 xml:space="preserve">(-0.115, 0.005)   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(-0.099, 0.011)</w:t>
            </w: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(-0.007, 0.003)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lang w:val="en-US" w:eastAsia="es-AR"/>
              </w:rPr>
              <w:t>t</w:t>
            </w: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ime</w:t>
            </w: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0.002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-0.002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-0.001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-0.004</w:t>
            </w: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0.002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(-0.0003, 0.004)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(-0.005, 0.002)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 xml:space="preserve">(-0.044, 0.042)  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n-US" w:eastAsia="es-AR"/>
              </w:rPr>
              <w:t>(-0.043, 0.035)</w:t>
            </w: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(-0.001, 0.006)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pL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 [LSC]</w:t>
            </w: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0.390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0.315</w:t>
            </w: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9.620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 xml:space="preserve">***  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3.993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0.129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(0.183, 0.598)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(-0.053, 0.684)</w:t>
            </w: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(4.460, 14.779)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(0.220, 7.766)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(-0.350, 0.608)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pBL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 × </w:t>
            </w: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pL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 [LSC]</w:t>
            </w: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0.235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(0.106, 0.365)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pBL</w:t>
            </w:r>
            <w:proofErr w:type="spellEnd"/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0.135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1.632   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(0.062, 0.208)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(-0.233, 3.497)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pWT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 × </w:t>
            </w: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pBL</w:t>
            </w:r>
            <w:proofErr w:type="spellEnd"/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0.020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0.607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(-0.002, 0.042)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 xml:space="preserve">(-0.025, 1.239)  </w:t>
            </w: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pWT</w:t>
            </w:r>
            <w:proofErr w:type="spellEnd"/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-0.027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0.104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***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(-0.048, -0.005)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(0.026, 0.183)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>Random</w:t>
            </w:r>
            <w:proofErr w:type="spellEnd"/>
            <w:r w:rsidRPr="002B05F3"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 xml:space="preserve"> </w:t>
            </w:r>
            <w:proofErr w:type="spellStart"/>
            <w:r w:rsidRPr="002B05F3"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>Effects</w:t>
            </w:r>
            <w:proofErr w:type="spellEnd"/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σ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2</w:t>
            </w:r>
            <w:r w:rsidRPr="002B05F3">
              <w:rPr>
                <w:rFonts w:ascii="Times New Roman" w:eastAsia="Times New Roman" w:hAnsi="Times New Roman" w:cs="Times New Roman"/>
                <w:vertAlign w:val="subscript"/>
                <w:lang w:val="es-AR" w:eastAsia="es-AR"/>
              </w:rPr>
              <w:t>e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0.077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‡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0.702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‡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65.981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‡</w:t>
            </w:r>
          </w:p>
        </w:tc>
        <w:tc>
          <w:tcPr>
            <w:tcW w:w="1899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97.340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‡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0.936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‡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(0.070,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0.085)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(0.650,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0.760)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(60.202,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72.315)</w:t>
            </w:r>
          </w:p>
        </w:tc>
        <w:tc>
          <w:tcPr>
            <w:tcW w:w="1899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(89.810,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105.497)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(0.835,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1.049)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τ</w:t>
            </w:r>
            <w:r w:rsidRPr="002B05F3">
              <w:rPr>
                <w:rFonts w:ascii="Times New Roman" w:eastAsia="Times New Roman" w:hAnsi="Times New Roman" w:cs="Times New Roman"/>
                <w:vertAlign w:val="subscript"/>
                <w:lang w:val="es-AR" w:eastAsia="es-AR"/>
              </w:rPr>
              <w:t>00</w:t>
            </w: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 </w:t>
            </w:r>
            <w:proofErr w:type="spellStart"/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s-AR"/>
              </w:rPr>
              <w:t>tag_id</w:t>
            </w:r>
            <w:proofErr w:type="spellEnd"/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0.059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0.146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32.075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12.120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0.213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(0.028,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0.122)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(0.055,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0.385)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(14.597,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70.481)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(3.324,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44.186)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(0.048, 0.950)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t>τ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s-AR"/>
              </w:rPr>
              <w:t>11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t> 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s-AR"/>
              </w:rPr>
              <w:t>time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1.02</w:t>
            </w:r>
            <w:r w:rsidRPr="002B05F3">
              <w:rPr>
                <w:rFonts w:ascii="Times New Roman" w:eastAsia="Times New Roman" w:hAnsi="Times New Roman" w:cs="Times New Roman"/>
                <w:vertAlign w:val="superscript"/>
                <w:lang w:val="es-AR" w:eastAsia="es-AR"/>
              </w:rPr>
              <w:t>-05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2.72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-05***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0.004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0.003</w:t>
            </w:r>
            <w:r w:rsidRPr="002B05F3">
              <w:rPr>
                <w:rFonts w:ascii="Times New Roman" w:hAnsi="Times New Roman" w:cs="Times New Roman"/>
                <w:vertAlign w:val="superscript"/>
                <w:lang w:val="es-AR"/>
              </w:rPr>
              <w:t>**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1.35</w:t>
            </w:r>
            <w:r w:rsidRPr="002B05F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-05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(4.97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-06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2.08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-05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(1.1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-05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6.8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-05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(0.002, 0.010)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(0.001, 0.008)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(1.38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-06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, 0.10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-04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t>ρ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s-AR"/>
              </w:rPr>
              <w:t>01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t> </w:t>
            </w:r>
            <w:proofErr w:type="spellStart"/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s-AR"/>
              </w:rPr>
              <w:t>tag_id.time</w:t>
            </w:r>
            <w:proofErr w:type="spellEnd"/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-0.822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-0.749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-0.67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-0.728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-0.293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(-0.931,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-0.580)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(-0.918,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-0.347)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(-0.874, -0.265)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(-0.922, -0.242)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(-0.831,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0.542)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s-AR" w:eastAsia="es-AR"/>
              </w:rPr>
              <w:t>R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0.431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0.172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0.327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0.111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0.185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vertAlign w:val="subscript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s-AR" w:eastAsia="es-AR"/>
              </w:rPr>
              <w:t>R</w:t>
            </w:r>
            <w:r w:rsidRPr="002B05F3">
              <w:rPr>
                <w:rFonts w:ascii="Times New Roman" w:eastAsia="Times New Roman" w:hAnsi="Times New Roman" w:cs="Times New Roman"/>
                <w:i/>
                <w:vertAlign w:val="subscript"/>
                <w:lang w:val="es-AR" w:eastAsia="es-AR"/>
              </w:rPr>
              <w:t>LSC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0.493</w:t>
            </w:r>
            <w:r w:rsidRPr="002B05F3">
              <w:rPr>
                <w:rFonts w:ascii="Times New Roman" w:hAnsi="Times New Roman" w:cs="Times New Roman"/>
                <w:vertAlign w:val="superscript"/>
                <w:lang w:val="es-AR"/>
              </w:rPr>
              <w:t>†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1.25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-05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0.230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0.07</w:t>
            </w:r>
            <w:r w:rsidRPr="002B05F3">
              <w:rPr>
                <w:rFonts w:ascii="Times New Roman" w:hAnsi="Times New Roman" w:cs="Times New Roman"/>
                <w:vertAlign w:val="superscript"/>
                <w:lang w:val="es-AR"/>
              </w:rPr>
              <w:t>†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4F4FEB">
              <w:rPr>
                <w:rFonts w:ascii="Times New Roman" w:eastAsia="Times New Roman" w:hAnsi="Times New Roman" w:cs="Times New Roman"/>
                <w:iCs/>
                <w:lang w:eastAsia="es-AR"/>
              </w:rPr>
              <w:t>0.151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vertAlign w:val="subscript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/>
                <w:lang w:val="es-AR" w:eastAsia="es-AR"/>
              </w:rPr>
              <w:t>R</w:t>
            </w:r>
            <w:r w:rsidRPr="002B05F3">
              <w:rPr>
                <w:rFonts w:ascii="Times New Roman" w:eastAsia="Times New Roman" w:hAnsi="Times New Roman" w:cs="Times New Roman"/>
                <w:vertAlign w:val="subscript"/>
                <w:lang w:val="es-AR" w:eastAsia="es-AR"/>
              </w:rPr>
              <w:t>HSC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0.311</w:t>
            </w:r>
            <w:r w:rsidRPr="002B05F3">
              <w:rPr>
                <w:rFonts w:ascii="Times New Roman" w:hAnsi="Times New Roman" w:cs="Times New Roman"/>
                <w:vertAlign w:val="superscript"/>
                <w:lang w:val="es-AR"/>
              </w:rPr>
              <w:t>†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0.305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0.350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0.259</w:t>
            </w:r>
            <w:r w:rsidRPr="002B05F3">
              <w:rPr>
                <w:rFonts w:ascii="Times New Roman" w:hAnsi="Times New Roman" w:cs="Times New Roman"/>
                <w:vertAlign w:val="superscript"/>
                <w:lang w:val="es-AR"/>
              </w:rPr>
              <w:t>†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4F4FEB">
              <w:rPr>
                <w:rFonts w:ascii="Times New Roman" w:eastAsia="Times New Roman" w:hAnsi="Times New Roman" w:cs="Times New Roman"/>
                <w:iCs/>
                <w:lang w:eastAsia="es-AR"/>
              </w:rPr>
              <w:t>0.17</w:t>
            </w:r>
            <w:r>
              <w:rPr>
                <w:rFonts w:ascii="Times New Roman" w:eastAsia="Times New Roman" w:hAnsi="Times New Roman" w:cs="Times New Roman"/>
                <w:iCs/>
                <w:lang w:eastAsia="es-AR"/>
              </w:rPr>
              <w:t>5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es-AR" w:eastAsia="es-AR"/>
              </w:rPr>
            </w:pP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</w:pPr>
            <w:r w:rsidRPr="002B05F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  <w:t>ARMA(1,1)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es-AR" w:eastAsia="es-AR"/>
              </w:rPr>
            </w:pP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lang w:val="es-AR"/>
              </w:rPr>
            </w:pP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es-AR" w:eastAsia="es-AR"/>
              </w:rPr>
            </w:pP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vertAlign w:val="superscript"/>
                <w:lang w:val="en-US" w:eastAsia="es-AR"/>
              </w:rPr>
            </w:pP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t>ρ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n-US"/>
              </w:rPr>
              <w:t>AR(1)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0.719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0.610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0.691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0.892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0.764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(0.652,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0.774)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(0.463,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0.724)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(0.616, 0.755)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(0.645, 0.970)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(0.690,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0.822)</w:t>
            </w:r>
          </w:p>
        </w:tc>
      </w:tr>
      <w:tr w:rsidR="00E6768F" w:rsidRPr="002B05F3" w:rsidTr="00382816">
        <w:trPr>
          <w:gridAfter w:val="2"/>
          <w:wAfter w:w="1857" w:type="dxa"/>
          <w:trHeight w:val="2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s-AR"/>
              </w:rPr>
            </w:pP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  <w:lastRenderedPageBreak/>
              <w:t>ρ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2B05F3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n-US"/>
              </w:rPr>
              <w:t>MA(1)</w:t>
            </w: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-0.261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-0.270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-0.230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-0.793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-0.277</w:t>
            </w:r>
            <w:r w:rsidRPr="002B05F3">
              <w:rPr>
                <w:rFonts w:ascii="Times New Roman" w:eastAsia="Times New Roman" w:hAnsi="Times New Roman" w:cs="Times New Roman"/>
                <w:iCs/>
                <w:vertAlign w:val="superscript"/>
                <w:lang w:val="es-AR" w:eastAsia="es-AR"/>
              </w:rPr>
              <w:t>***</w:t>
            </w:r>
          </w:p>
        </w:tc>
      </w:tr>
      <w:tr w:rsidR="00E6768F" w:rsidRPr="002B05F3" w:rsidTr="00382816">
        <w:trPr>
          <w:gridAfter w:val="2"/>
          <w:wAfter w:w="1857" w:type="dxa"/>
          <w:trHeight w:val="21"/>
          <w:tblCellSpacing w:w="15" w:type="dxa"/>
        </w:trPr>
        <w:tc>
          <w:tcPr>
            <w:tcW w:w="3075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  <w:lang w:val="es-AR"/>
              </w:rPr>
            </w:pPr>
          </w:p>
        </w:tc>
        <w:tc>
          <w:tcPr>
            <w:tcW w:w="2081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(-0.340,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-0.179)</w:t>
            </w:r>
          </w:p>
        </w:tc>
        <w:tc>
          <w:tcPr>
            <w:tcW w:w="1824" w:type="dxa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(-0.419,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-0.106)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(-0.324, -0.133)</w:t>
            </w:r>
          </w:p>
        </w:tc>
        <w:tc>
          <w:tcPr>
            <w:tcW w:w="1899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lang w:val="es-AR"/>
              </w:rPr>
              <w:t>(-0.910, -0.560)</w:t>
            </w:r>
          </w:p>
        </w:tc>
        <w:tc>
          <w:tcPr>
            <w:tcW w:w="1671" w:type="dxa"/>
            <w:gridSpan w:val="2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(-0.375,</w:t>
            </w:r>
            <w:r w:rsidRPr="002B05F3">
              <w:rPr>
                <w:rFonts w:ascii="Times New Roman" w:hAnsi="Times New Roman" w:cs="Times New Roman"/>
                <w:lang w:val="es-AR"/>
              </w:rPr>
              <w:t xml:space="preserve"> </w:t>
            </w:r>
            <w:r w:rsidRPr="002B05F3">
              <w:rPr>
                <w:rFonts w:ascii="Times New Roman" w:eastAsia="Times New Roman" w:hAnsi="Times New Roman" w:cs="Times New Roman"/>
                <w:iCs/>
                <w:lang w:val="es-AR" w:eastAsia="es-AR"/>
              </w:rPr>
              <w:t>-0.172)</w:t>
            </w:r>
          </w:p>
        </w:tc>
      </w:tr>
      <w:tr w:rsidR="00E6768F" w:rsidRPr="002B05F3" w:rsidTr="00382816">
        <w:trPr>
          <w:gridAfter w:val="2"/>
          <w:wAfter w:w="1857" w:type="dxa"/>
          <w:trHeight w:val="140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1899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es-AR"/>
              </w:rPr>
            </w:pPr>
          </w:p>
        </w:tc>
      </w:tr>
      <w:tr w:rsidR="00E6768F" w:rsidRPr="002B05F3" w:rsidTr="00382816">
        <w:trPr>
          <w:gridAfter w:val="1"/>
          <w:wAfter w:w="1827" w:type="dxa"/>
          <w:trHeight w:val="413"/>
          <w:tblCellSpacing w:w="15" w:type="dxa"/>
        </w:trPr>
        <w:tc>
          <w:tcPr>
            <w:tcW w:w="3075" w:type="dxa"/>
            <w:gridSpan w:val="2"/>
            <w:tcBorders>
              <w:top w:val="single" w:sz="4" w:space="0" w:color="auto"/>
            </w:tcBorders>
          </w:tcPr>
          <w:p w:rsidR="00E6768F" w:rsidRPr="002B05F3" w:rsidRDefault="00E6768F" w:rsidP="00382816">
            <w:pPr>
              <w:shd w:val="clear" w:color="auto" w:fill="auto"/>
              <w:spacing w:before="80" w:after="80" w:line="276" w:lineRule="auto"/>
              <w:ind w:right="80"/>
              <w:jc w:val="left"/>
              <w:rPr>
                <w:rFonts w:ascii="Times New Roman" w:hAnsi="Times New Roman" w:cs="Times New Roman"/>
                <w:lang w:val="es-AR"/>
              </w:rPr>
            </w:pPr>
            <w:r w:rsidRPr="002B05F3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2B05F3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2</w:t>
            </w:r>
            <w:r w:rsidRPr="002B05F3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 xml:space="preserve">m </w:t>
            </w:r>
            <w:r w:rsidRPr="002B05F3">
              <w:rPr>
                <w:rFonts w:ascii="Times New Roman" w:hAnsi="Times New Roman" w:cs="Times New Roman"/>
                <w:color w:val="000000"/>
                <w:lang w:val="es-AR"/>
              </w:rPr>
              <w:t>/</w:t>
            </w:r>
            <w:r w:rsidRPr="002B05F3">
              <w:rPr>
                <w:rFonts w:ascii="Times New Roman" w:hAnsi="Times New Roman" w:cs="Times New Roman"/>
                <w:color w:val="000000"/>
                <w:lang w:val="en-US"/>
              </w:rPr>
              <w:t xml:space="preserve"> R</w:t>
            </w:r>
            <w:r w:rsidRPr="002B05F3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2</w:t>
            </w:r>
            <w:r w:rsidRPr="002B05F3">
              <w:rPr>
                <w:rFonts w:ascii="Times New Roman" w:hAnsi="Times New Roman" w:cs="Times New Roman"/>
                <w:color w:val="000000"/>
                <w:vertAlign w:val="subscript"/>
                <w:lang w:val="en-US"/>
              </w:rPr>
              <w:t>c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0.43/0.60</w:t>
            </w:r>
            <w:r w:rsidRPr="00104A96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s-AR" w:eastAsia="es-AR"/>
              </w:rPr>
              <w:t>ξ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0.02/0.15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0.17/0.39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0.01/0.12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0.01/0.21</w:t>
            </w:r>
          </w:p>
        </w:tc>
      </w:tr>
      <w:tr w:rsidR="00E6768F" w:rsidRPr="002B05F3" w:rsidTr="00382816">
        <w:trPr>
          <w:gridAfter w:val="1"/>
          <w:wAfter w:w="182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lang w:val="es-AR"/>
              </w:rPr>
            </w:pPr>
            <w:proofErr w:type="spellStart"/>
            <w:r w:rsidRPr="002B05F3">
              <w:rPr>
                <w:rFonts w:ascii="Times New Roman" w:hAnsi="Times New Roman" w:cs="Times New Roman"/>
                <w:color w:val="000000"/>
                <w:lang w:val="es-AR"/>
              </w:rPr>
              <w:t>pseudo</w:t>
            </w:r>
            <w:proofErr w:type="spellEnd"/>
            <w:r w:rsidRPr="002B05F3">
              <w:rPr>
                <w:rFonts w:ascii="Times New Roman" w:hAnsi="Times New Roman" w:cs="Times New Roman"/>
                <w:color w:val="000000"/>
                <w:lang w:val="es-AR"/>
              </w:rPr>
              <w:t>-</w:t>
            </w:r>
            <w:r w:rsidRPr="002B05F3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2B05F3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0.59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0.002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0.003</w:t>
            </w:r>
          </w:p>
        </w:tc>
        <w:tc>
          <w:tcPr>
            <w:tcW w:w="1929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0.0005</w:t>
            </w:r>
          </w:p>
        </w:tc>
        <w:tc>
          <w:tcPr>
            <w:tcW w:w="1671" w:type="dxa"/>
            <w:gridSpan w:val="2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0.002</w:t>
            </w:r>
          </w:p>
        </w:tc>
      </w:tr>
      <w:tr w:rsidR="00E6768F" w:rsidRPr="002B05F3" w:rsidTr="00382816">
        <w:trPr>
          <w:gridAfter w:val="1"/>
          <w:wAfter w:w="1827" w:type="dxa"/>
          <w:trHeight w:val="221"/>
          <w:tblCellSpacing w:w="15" w:type="dxa"/>
        </w:trPr>
        <w:tc>
          <w:tcPr>
            <w:tcW w:w="3075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hAnsi="Times New Roman" w:cs="Times New Roman"/>
                <w:color w:val="000000"/>
                <w:lang w:val="es-AR"/>
              </w:rPr>
              <w:t>logLik</w:t>
            </w:r>
            <w:proofErr w:type="spellEnd"/>
          </w:p>
        </w:tc>
        <w:tc>
          <w:tcPr>
            <w:tcW w:w="2081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-18.09</w:t>
            </w:r>
          </w:p>
        </w:tc>
        <w:tc>
          <w:tcPr>
            <w:tcW w:w="1824" w:type="dxa"/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-2309.49</w:t>
            </w:r>
          </w:p>
        </w:tc>
        <w:tc>
          <w:tcPr>
            <w:tcW w:w="1824" w:type="dxa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-6595.08</w:t>
            </w:r>
          </w:p>
        </w:tc>
        <w:tc>
          <w:tcPr>
            <w:tcW w:w="1929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-7202.22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-2346.14</w:t>
            </w:r>
          </w:p>
        </w:tc>
      </w:tr>
      <w:tr w:rsidR="00E6768F" w:rsidRPr="002B05F3" w:rsidTr="00382816">
        <w:trPr>
          <w:gridAfter w:val="1"/>
          <w:wAfter w:w="1827" w:type="dxa"/>
          <w:trHeight w:val="221"/>
          <w:tblCellSpacing w:w="15" w:type="dxa"/>
        </w:trPr>
        <w:tc>
          <w:tcPr>
            <w:tcW w:w="3075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lang w:val="es-AR" w:eastAsia="es-AR"/>
              </w:rPr>
            </w:pPr>
            <w:proofErr w:type="spellStart"/>
            <w:r w:rsidRPr="002B05F3">
              <w:rPr>
                <w:rFonts w:ascii="Times New Roman" w:eastAsia="Times New Roman" w:hAnsi="Times New Roman" w:cs="Times New Roman"/>
                <w:lang w:val="es-AR" w:eastAsia="es-AR"/>
              </w:rPr>
              <w:t>AICc</w:t>
            </w:r>
            <w:proofErr w:type="spellEnd"/>
          </w:p>
        </w:tc>
        <w:tc>
          <w:tcPr>
            <w:tcW w:w="2081" w:type="dxa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64.4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4639.09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13216.36</w:t>
            </w:r>
          </w:p>
        </w:tc>
        <w:tc>
          <w:tcPr>
            <w:tcW w:w="1929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14424.55</w:t>
            </w:r>
          </w:p>
        </w:tc>
        <w:tc>
          <w:tcPr>
            <w:tcW w:w="1671" w:type="dxa"/>
            <w:gridSpan w:val="2"/>
            <w:tcBorders>
              <w:bottom w:val="double" w:sz="4" w:space="0" w:color="auto"/>
            </w:tcBorders>
            <w:vAlign w:val="center"/>
            <w:hideMark/>
          </w:tcPr>
          <w:p w:rsidR="00E6768F" w:rsidRPr="002B05F3" w:rsidRDefault="00E6768F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</w:pPr>
            <w:r w:rsidRPr="002B05F3">
              <w:rPr>
                <w:rFonts w:ascii="Times New Roman" w:eastAsia="Times New Roman" w:hAnsi="Times New Roman" w:cs="Times New Roman"/>
                <w:color w:val="000000"/>
                <w:lang w:val="es-AR" w:eastAsia="es-AR"/>
              </w:rPr>
              <w:t>4714.42</w:t>
            </w:r>
          </w:p>
        </w:tc>
      </w:tr>
    </w:tbl>
    <w:p w:rsidR="00E6768F" w:rsidRPr="002B05F3" w:rsidRDefault="00E6768F" w:rsidP="00E6768F">
      <w:pPr>
        <w:shd w:val="clear" w:color="auto" w:fill="auto"/>
        <w:spacing w:line="240" w:lineRule="auto"/>
        <w:contextualSpacing/>
        <w:jc w:val="lef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B05F3">
        <w:rPr>
          <w:rFonts w:ascii="Times New Roman" w:hAnsi="Times New Roman" w:cs="Times New Roman"/>
          <w:vertAlign w:val="superscript"/>
          <w:lang w:val="en-US"/>
        </w:rPr>
        <w:t>†</w:t>
      </w:r>
      <w:r w:rsidRPr="002B05F3">
        <w:rPr>
          <w:rFonts w:ascii="Times New Roman" w:hAnsi="Times New Roman" w:cs="Times New Roman"/>
          <w:lang w:val="en-US"/>
        </w:rPr>
        <w:t xml:space="preserve"> </w:t>
      </w:r>
      <w:r w:rsidRPr="002B05F3">
        <w:rPr>
          <w:rFonts w:ascii="Times New Roman" w:hAnsi="Times New Roman" w:cs="Times New Roman"/>
          <w:sz w:val="20"/>
          <w:szCs w:val="20"/>
          <w:lang w:val="en-US"/>
        </w:rPr>
        <w:t xml:space="preserve">Repeatability was estimated from the model fitted with only an autoregressive AR1 term and excluding the moving average process due to lack of model convergence using </w:t>
      </w:r>
      <w:proofErr w:type="spellStart"/>
      <w:r w:rsidRPr="002B05F3">
        <w:rPr>
          <w:rFonts w:ascii="Times New Roman" w:hAnsi="Times New Roman" w:cs="Times New Roman"/>
          <w:i/>
          <w:sz w:val="20"/>
          <w:szCs w:val="20"/>
          <w:lang w:val="en-US"/>
        </w:rPr>
        <w:t>nlme</w:t>
      </w:r>
      <w:proofErr w:type="spellEnd"/>
    </w:p>
    <w:p w:rsidR="00E6768F" w:rsidRDefault="00E6768F" w:rsidP="00E6768F">
      <w:pPr>
        <w:shd w:val="clear" w:color="auto" w:fill="auto"/>
        <w:spacing w:line="240" w:lineRule="auto"/>
        <w:contextualSpacing/>
        <w:jc w:val="left"/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</w:pPr>
      <w:r w:rsidRPr="002B05F3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val="en-US" w:eastAsia="es-AR"/>
        </w:rPr>
        <w:t xml:space="preserve">‡ </w:t>
      </w:r>
      <w:r w:rsidRPr="002B05F3"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t xml:space="preserve">No </w:t>
      </w:r>
      <w:r w:rsidRPr="002B05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AR"/>
        </w:rPr>
        <w:t>p</w:t>
      </w:r>
      <w:r w:rsidRPr="002B05F3"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t xml:space="preserve">-value </w:t>
      </w:r>
      <w:proofErr w:type="gramStart"/>
      <w:r w:rsidRPr="002B05F3"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t>was computed</w:t>
      </w:r>
      <w:proofErr w:type="gramEnd"/>
    </w:p>
    <w:p w:rsidR="00E6768F" w:rsidRPr="000E453D" w:rsidRDefault="00E6768F" w:rsidP="00E6768F">
      <w:pPr>
        <w:shd w:val="clear" w:color="auto" w:fill="auto"/>
        <w:spacing w:line="240" w:lineRule="auto"/>
        <w:contextualSpacing/>
        <w:jc w:val="left"/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</w:pPr>
      <w:proofErr w:type="gramStart"/>
      <w:r w:rsidRPr="000E453D"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t>ξ</w:t>
      </w:r>
      <w:proofErr w:type="gramEnd"/>
      <w:r w:rsidRPr="0020198A"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Model with</w:t>
      </w:r>
      <w:r w:rsidRPr="00104A96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the largest R</w:t>
      </w:r>
      <w:r w:rsidRPr="00104A9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s-AR"/>
        </w:rPr>
        <w:t>2</w:t>
      </w:r>
      <w:r w:rsidRPr="00104A96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</w:t>
      </w:r>
      <w:r w:rsidRPr="009B2970">
        <w:rPr>
          <w:rFonts w:ascii="Times New Roman" w:eastAsia="Times New Roman" w:hAnsi="Times New Roman" w:cs="Times New Roman"/>
          <w:sz w:val="20"/>
          <w:szCs w:val="20"/>
          <w:lang w:eastAsia="es-AR"/>
        </w:rPr>
        <w:t>ind</w:t>
      </w: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ex</w:t>
      </w:r>
      <w:r w:rsidRPr="00104A96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was the best in terms of goodness of fit to the data.</w:t>
      </w:r>
    </w:p>
    <w:p w:rsidR="00E6768F" w:rsidRDefault="00E6768F" w:rsidP="00E6768F">
      <w:pPr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val="en-US" w:eastAsia="es-AR"/>
        </w:rPr>
        <w:br w:type="page"/>
      </w:r>
    </w:p>
    <w:p w:rsidR="004826A9" w:rsidRDefault="00E6768F"/>
    <w:sectPr w:rsidR="004826A9" w:rsidSect="00E676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8F"/>
    <w:rsid w:val="00827436"/>
    <w:rsid w:val="00975C2A"/>
    <w:rsid w:val="00E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7AF9C-7CE7-4593-A42C-67BC7E9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8F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2021-01-11T10:27:00Z</dcterms:created>
  <dcterms:modified xsi:type="dcterms:W3CDTF">2021-01-11T10:28:00Z</dcterms:modified>
</cp:coreProperties>
</file>