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97" w:rsidRDefault="00596C97" w:rsidP="00596C97">
      <w:pPr>
        <w:rPr>
          <w:rFonts w:ascii="Times New Roman" w:eastAsia="Times New Roman" w:hAnsi="Times New Roman" w:cs="Times New Roman"/>
        </w:rPr>
      </w:pPr>
      <w:r w:rsidRPr="006C4E85">
        <w:rPr>
          <w:rFonts w:ascii="Times New Roman" w:eastAsia="Times New Roman" w:hAnsi="Times New Roman" w:cs="Times New Roman"/>
          <w:b/>
        </w:rPr>
        <w:t xml:space="preserve">Table </w:t>
      </w:r>
      <w:r>
        <w:rPr>
          <w:rFonts w:ascii="Times New Roman" w:eastAsia="Times New Roman" w:hAnsi="Times New Roman" w:cs="Times New Roman"/>
          <w:b/>
        </w:rPr>
        <w:t>6</w:t>
      </w:r>
      <w:r w:rsidRPr="006C4E85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952910">
        <w:rPr>
          <w:rFonts w:ascii="Times New Roman" w:eastAsia="Times New Roman" w:hAnsi="Times New Roman" w:cs="Times New Roman"/>
        </w:rPr>
        <w:t>Model selection tables for 95% confidence sets of top candidate models predicting pike littoral reliance (LR)</w:t>
      </w:r>
      <w:r>
        <w:rPr>
          <w:rFonts w:ascii="Times New Roman" w:eastAsia="Times New Roman" w:hAnsi="Times New Roman" w:cs="Times New Roman"/>
        </w:rPr>
        <w:t>.</w:t>
      </w:r>
    </w:p>
    <w:p w:rsidR="00596C97" w:rsidRDefault="00596C97" w:rsidP="00596C97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LR was tested </w:t>
      </w:r>
      <w:r w:rsidRPr="00952910">
        <w:rPr>
          <w:rFonts w:ascii="Times New Roman" w:eastAsia="Times New Roman" w:hAnsi="Times New Roman" w:cs="Times New Roman"/>
        </w:rPr>
        <w:t>against structural habitat complexity (Lake as a binary factor) as well as pike open-water use (OWU, based on telemetry data) and</w:t>
      </w:r>
      <w:r>
        <w:rPr>
          <w:rFonts w:ascii="Times New Roman" w:eastAsia="Times New Roman" w:hAnsi="Times New Roman" w:cs="Times New Roman"/>
        </w:rPr>
        <w:t xml:space="preserve"> body length</w:t>
      </w:r>
      <w:r w:rsidRPr="00952910">
        <w:rPr>
          <w:rFonts w:ascii="Times New Roman" w:eastAsia="Times New Roman" w:hAnsi="Times New Roman" w:cs="Times New Roman"/>
        </w:rPr>
        <w:t xml:space="preserve"> (in mm). Parameter estimates for model terms included in the models, number of parameters (K), AIC, AIC difference from best model (ΔAIC), and </w:t>
      </w:r>
      <w:proofErr w:type="spellStart"/>
      <w:r w:rsidRPr="00952910">
        <w:rPr>
          <w:rFonts w:ascii="Times New Roman" w:eastAsia="Times New Roman" w:hAnsi="Times New Roman" w:cs="Times New Roman"/>
        </w:rPr>
        <w:t>Akaike</w:t>
      </w:r>
      <w:proofErr w:type="spellEnd"/>
      <w:r w:rsidRPr="00952910">
        <w:rPr>
          <w:rFonts w:ascii="Times New Roman" w:eastAsia="Times New Roman" w:hAnsi="Times New Roman" w:cs="Times New Roman"/>
        </w:rPr>
        <w:t xml:space="preserve"> weights (weights) </w:t>
      </w:r>
      <w:proofErr w:type="gramStart"/>
      <w:r w:rsidRPr="00952910">
        <w:rPr>
          <w:rFonts w:ascii="Times New Roman" w:eastAsia="Times New Roman" w:hAnsi="Times New Roman" w:cs="Times New Roman"/>
        </w:rPr>
        <w:t>are shown</w:t>
      </w:r>
      <w:proofErr w:type="gramEnd"/>
      <w:r w:rsidRPr="00952910">
        <w:rPr>
          <w:rFonts w:ascii="Times New Roman" w:eastAsia="Times New Roman" w:hAnsi="Times New Roman" w:cs="Times New Roman"/>
        </w:rPr>
        <w:t xml:space="preserve">. Continuous variables </w:t>
      </w:r>
      <w:proofErr w:type="gramStart"/>
      <w:r w:rsidRPr="00952910">
        <w:rPr>
          <w:rFonts w:ascii="Times New Roman" w:eastAsia="Times New Roman" w:hAnsi="Times New Roman" w:cs="Times New Roman"/>
        </w:rPr>
        <w:t>are standardized</w:t>
      </w:r>
      <w:proofErr w:type="gramEnd"/>
      <w:r w:rsidRPr="00952910">
        <w:rPr>
          <w:rFonts w:ascii="Times New Roman" w:eastAsia="Times New Roman" w:hAnsi="Times New Roman" w:cs="Times New Roman"/>
        </w:rPr>
        <w:t xml:space="preserve"> to allow direct comparison of effect sizes.</w:t>
      </w:r>
    </w:p>
    <w:tbl>
      <w:tblPr>
        <w:tblStyle w:val="11"/>
        <w:tblW w:w="7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0"/>
        <w:gridCol w:w="960"/>
        <w:gridCol w:w="960"/>
        <w:gridCol w:w="960"/>
        <w:gridCol w:w="960"/>
        <w:gridCol w:w="960"/>
        <w:gridCol w:w="960"/>
        <w:gridCol w:w="960"/>
      </w:tblGrid>
      <w:tr w:rsidR="00596C97" w:rsidRPr="00D754CC" w:rsidTr="003828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:rsidR="00596C97" w:rsidRPr="00D754CC" w:rsidRDefault="00596C97" w:rsidP="00382816">
            <w:pPr>
              <w:jc w:val="center"/>
              <w:rPr>
                <w:b/>
                <w:bCs/>
                <w:color w:val="000000"/>
              </w:rPr>
            </w:pPr>
            <w:r w:rsidRPr="14209F3C">
              <w:rPr>
                <w:b/>
                <w:bCs/>
                <w:color w:val="000000" w:themeColor="text1"/>
              </w:rPr>
              <w:t>Intercept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:rsidR="00596C97" w:rsidRPr="00D754CC" w:rsidRDefault="00596C97" w:rsidP="00382816">
            <w:pPr>
              <w:jc w:val="center"/>
              <w:rPr>
                <w:b/>
                <w:bCs/>
                <w:color w:val="000000"/>
              </w:rPr>
            </w:pPr>
            <w:r w:rsidRPr="14209F3C">
              <w:rPr>
                <w:b/>
                <w:bCs/>
                <w:color w:val="000000" w:themeColor="text1"/>
              </w:rPr>
              <w:t>Lake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:rsidR="00596C97" w:rsidRPr="00D754CC" w:rsidRDefault="00596C97" w:rsidP="00382816">
            <w:pPr>
              <w:jc w:val="center"/>
              <w:rPr>
                <w:b/>
                <w:bCs/>
                <w:color w:val="000000"/>
              </w:rPr>
            </w:pPr>
            <w:r w:rsidRPr="14209F3C">
              <w:rPr>
                <w:b/>
                <w:bCs/>
                <w:color w:val="000000" w:themeColor="text1"/>
              </w:rPr>
              <w:t>OWU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:rsidR="00596C97" w:rsidRPr="00D754CC" w:rsidRDefault="00596C97" w:rsidP="00382816">
            <w:pPr>
              <w:jc w:val="center"/>
              <w:rPr>
                <w:b/>
                <w:bCs/>
                <w:color w:val="000000"/>
              </w:rPr>
            </w:pPr>
            <w:r w:rsidRPr="14209F3C">
              <w:rPr>
                <w:b/>
                <w:bCs/>
                <w:color w:val="000000" w:themeColor="text1"/>
              </w:rPr>
              <w:t>Length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:rsidR="00596C97" w:rsidRPr="00D754CC" w:rsidRDefault="00596C97" w:rsidP="00382816">
            <w:pPr>
              <w:jc w:val="center"/>
              <w:rPr>
                <w:b/>
                <w:bCs/>
                <w:color w:val="000000"/>
              </w:rPr>
            </w:pPr>
            <w:r w:rsidRPr="14209F3C">
              <w:rPr>
                <w:b/>
                <w:bCs/>
                <w:color w:val="000000" w:themeColor="text1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:rsidR="00596C97" w:rsidRPr="00D754CC" w:rsidRDefault="00596C97" w:rsidP="00382816">
            <w:pPr>
              <w:jc w:val="center"/>
              <w:rPr>
                <w:b/>
                <w:bCs/>
                <w:color w:val="000000"/>
              </w:rPr>
            </w:pPr>
            <w:r w:rsidRPr="14209F3C">
              <w:rPr>
                <w:b/>
                <w:bCs/>
                <w:color w:val="000000" w:themeColor="text1"/>
              </w:rPr>
              <w:t>AIC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:rsidR="00596C97" w:rsidRPr="00D754CC" w:rsidRDefault="00596C97" w:rsidP="00382816">
            <w:pPr>
              <w:jc w:val="center"/>
              <w:rPr>
                <w:b/>
                <w:bCs/>
                <w:color w:val="000000"/>
              </w:rPr>
            </w:pPr>
            <w:r w:rsidRPr="14209F3C">
              <w:rPr>
                <w:b/>
                <w:bCs/>
                <w:color w:val="000000" w:themeColor="text1"/>
              </w:rPr>
              <w:t>ΔAIC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:rsidR="00596C97" w:rsidRPr="00D754CC" w:rsidRDefault="00596C97" w:rsidP="00382816">
            <w:pPr>
              <w:jc w:val="center"/>
              <w:rPr>
                <w:b/>
                <w:bCs/>
                <w:color w:val="000000"/>
              </w:rPr>
            </w:pPr>
            <w:r w:rsidRPr="14209F3C">
              <w:rPr>
                <w:b/>
                <w:bCs/>
                <w:color w:val="000000" w:themeColor="text1"/>
              </w:rPr>
              <w:t>Wi</w:t>
            </w:r>
          </w:p>
        </w:tc>
      </w:tr>
      <w:tr w:rsidR="00596C97" w:rsidRPr="00D754CC" w:rsidTr="00382816">
        <w:trPr>
          <w:trHeight w:val="2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96C97" w:rsidRPr="00D754CC" w:rsidRDefault="00596C97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96C97" w:rsidRPr="00D754CC" w:rsidRDefault="00596C97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96C97" w:rsidRPr="00D754CC" w:rsidRDefault="00596C97" w:rsidP="00382816">
            <w:pPr>
              <w:jc w:val="center"/>
              <w:rPr>
                <w:color w:val="000000"/>
              </w:rPr>
            </w:pPr>
            <w:r w:rsidRPr="00D754C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96C97" w:rsidRPr="00D754CC" w:rsidRDefault="00596C97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-0.08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96C97" w:rsidRPr="00D754CC" w:rsidRDefault="00596C97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96C97" w:rsidRPr="00D754CC" w:rsidRDefault="00596C97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-48.70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96C97" w:rsidRPr="00D754CC" w:rsidRDefault="00596C97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96C97" w:rsidRPr="00D754CC" w:rsidRDefault="00596C97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0.67</w:t>
            </w:r>
          </w:p>
        </w:tc>
      </w:tr>
      <w:tr w:rsidR="00596C97" w:rsidRPr="00D754CC" w:rsidTr="00382816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596C97" w:rsidRPr="00D754CC" w:rsidRDefault="00596C97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596C97" w:rsidRPr="00D754CC" w:rsidRDefault="00596C97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596C97" w:rsidRPr="00D754CC" w:rsidRDefault="00596C97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596C97" w:rsidRPr="00D754CC" w:rsidRDefault="00596C97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-0.10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596C97" w:rsidRPr="00D754CC" w:rsidRDefault="00596C97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596C97" w:rsidRPr="00D754CC" w:rsidRDefault="00596C97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-47.30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596C97" w:rsidRPr="00D754CC" w:rsidRDefault="00596C97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1.42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596C97" w:rsidRPr="00D754CC" w:rsidRDefault="00596C97" w:rsidP="00382816">
            <w:pPr>
              <w:jc w:val="center"/>
              <w:rPr>
                <w:color w:val="000000"/>
              </w:rPr>
            </w:pPr>
            <w:r w:rsidRPr="14209F3C">
              <w:rPr>
                <w:color w:val="000000" w:themeColor="text1"/>
              </w:rPr>
              <w:t>0.33</w:t>
            </w:r>
          </w:p>
        </w:tc>
      </w:tr>
    </w:tbl>
    <w:p w:rsidR="004826A9" w:rsidRDefault="00596C97">
      <w:bookmarkStart w:id="0" w:name="_GoBack"/>
      <w:bookmarkEnd w:id="0"/>
    </w:p>
    <w:sectPr w:rsidR="00482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97"/>
    <w:rsid w:val="00596C97"/>
    <w:rsid w:val="00827436"/>
    <w:rsid w:val="0097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AE629-A86A-4B54-BB5D-1E3D4692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C97"/>
    <w:pPr>
      <w:shd w:val="clear" w:color="auto" w:fill="FFFFFF"/>
      <w:spacing w:after="0" w:line="360" w:lineRule="auto"/>
      <w:jc w:val="both"/>
    </w:pPr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1">
    <w:name w:val="11"/>
    <w:basedOn w:val="TableNormal"/>
    <w:rsid w:val="00596C97"/>
    <w:pPr>
      <w:spacing w:after="0" w:line="240" w:lineRule="auto"/>
    </w:pPr>
    <w:rPr>
      <w:rFonts w:ascii="Calibri" w:eastAsia="Calibri" w:hAnsi="Calibri" w:cs="Calibri"/>
      <w:lang w:val="en-GB"/>
    </w:r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Derya</cp:lastModifiedBy>
  <cp:revision>1</cp:revision>
  <dcterms:created xsi:type="dcterms:W3CDTF">2021-01-11T10:30:00Z</dcterms:created>
  <dcterms:modified xsi:type="dcterms:W3CDTF">2021-01-11T10:30:00Z</dcterms:modified>
</cp:coreProperties>
</file>