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 xml:space="preserve">TableS2: 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 xml:space="preserve">Functional roles of 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>14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>differentially expressed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>miRNA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>s shared among the two miRNA datasets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</w:rPr>
        <w:t>.</w:t>
      </w:r>
    </w:p>
    <w:tbl>
      <w:tblPr>
        <w:tblStyle w:val="3"/>
        <w:tblpPr w:leftFromText="180" w:rightFromText="180" w:vertAnchor="text" w:horzAnchor="page" w:tblpX="1797" w:tblpY="302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566"/>
        <w:gridCol w:w="61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NO.</w:t>
            </w:r>
          </w:p>
        </w:tc>
        <w:tc>
          <w:tcPr>
            <w:tcW w:w="1566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Gene symbol</w:t>
            </w:r>
          </w:p>
        </w:tc>
        <w:tc>
          <w:tcPr>
            <w:tcW w:w="616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Function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hsa-miR-205</w:t>
            </w:r>
          </w:p>
        </w:tc>
        <w:tc>
          <w:tcPr>
            <w:tcW w:w="6164" w:type="dxa"/>
            <w:tcBorders>
              <w:top w:val="single" w:color="auto" w:sz="12" w:space="0"/>
            </w:tcBorders>
          </w:tcPr>
          <w:p>
            <w:pP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nhibits cell proliferation and anchorage independent growth 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and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 cell invasion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hsa-miR-184</w:t>
            </w:r>
          </w:p>
        </w:tc>
        <w:tc>
          <w:tcPr>
            <w:tcW w:w="6164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n oncogenic miRNA with an antiapoptotic effect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hsa-miR-452</w:t>
            </w:r>
          </w:p>
        </w:tc>
        <w:tc>
          <w:tcPr>
            <w:tcW w:w="6164" w:type="dxa"/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Correlated with tumor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 progression, underlying tumor suppressive gene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hsa-miR-211</w:t>
            </w:r>
          </w:p>
        </w:tc>
        <w:tc>
          <w:tcPr>
            <w:tcW w:w="6164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riggers an autophagy-dependent apoptosis in cervical cancer cells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hsa-miR-29b</w:t>
            </w:r>
          </w:p>
        </w:tc>
        <w:tc>
          <w:tcPr>
            <w:tcW w:w="6164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ver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expressed in renal cancer cell line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786-O expressing exogenous VHL, which could then target the TIS11B transcript to repress its expression under normoxia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hsa-miR-203</w:t>
            </w:r>
          </w:p>
        </w:tc>
        <w:tc>
          <w:tcPr>
            <w:tcW w:w="6164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he targets genes regulated by hsa-miR-203 were related to cell cycle function and pathway, especially in the phase of G1/S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hsa-miR-16</w:t>
            </w:r>
          </w:p>
        </w:tc>
        <w:tc>
          <w:tcPr>
            <w:tcW w:w="6164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ontrols myoblast proliferation and apoptosis via directly suppressing Bcl2 and FOXO1 activities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hsa-miR-140</w:t>
            </w:r>
          </w:p>
        </w:tc>
        <w:tc>
          <w:tcPr>
            <w:tcW w:w="6164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ffects the migration and invasion of hypopharyngeal carcinoma cells by down-regulating ADAM10 expression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-181d</w:t>
            </w:r>
          </w:p>
        </w:tc>
        <w:tc>
          <w:tcPr>
            <w:tcW w:w="6164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Up-regulated to control expression a tumor suppressor gene, PTEN to protect the cancer cell from apoptosis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hsa-miR-143</w:t>
            </w:r>
          </w:p>
        </w:tc>
        <w:tc>
          <w:tcPr>
            <w:tcW w:w="6164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An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 oncosuppressor many cancer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hsa-miR-34c</w:t>
            </w:r>
          </w:p>
        </w:tc>
        <w:tc>
          <w:tcPr>
            <w:tcW w:w="6164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The downregulation of miR-34c expression was involved in a small increase in cellular proliferation and a significant increase in cell migration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hsa-miR-101</w:t>
            </w:r>
          </w:p>
        </w:tc>
        <w:tc>
          <w:tcPr>
            <w:tcW w:w="6164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Hypoxia-induced hsa-miR-101 promotes glycolysis by targeting TIGAR mRNA in clear cell renal cell carcinoma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566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hsa-miR-625</w:t>
            </w:r>
          </w:p>
        </w:tc>
        <w:tc>
          <w:tcPr>
            <w:tcW w:w="6164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 xml:space="preserve">Serve as prognostic and predictive markers for survival of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b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 xml:space="preserve">ile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d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 xml:space="preserve">uct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c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ancer patients and could potentially be provided as targets for future therapy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566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has-miR-141</w:t>
            </w:r>
          </w:p>
        </w:tc>
        <w:tc>
          <w:tcPr>
            <w:tcW w:w="6164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Closely involved in the carcinogenesis of COAD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</w:p>
    <w:p>
      <w:pPr>
        <w:spacing w:line="480" w:lineRule="auto"/>
        <w:rPr>
          <w:rFonts w:ascii="Arial" w:hAnsi="Arial" w:eastAsia="等线" w:cs="Arial"/>
          <w:b/>
          <w:bCs/>
          <w:sz w:val="24"/>
          <w:szCs w:val="24"/>
        </w:rPr>
      </w:pPr>
    </w:p>
    <w:p>
      <w:pPr>
        <w:spacing w:line="480" w:lineRule="auto"/>
        <w:rPr>
          <w:rFonts w:ascii="Arial" w:hAnsi="Arial" w:eastAsia="等线" w:cs="Arial"/>
          <w:b/>
          <w:bCs/>
          <w:sz w:val="24"/>
          <w:szCs w:val="24"/>
        </w:rPr>
      </w:pPr>
      <w:r>
        <w:rPr>
          <w:rFonts w:ascii="Arial" w:hAnsi="Arial" w:eastAsia="等线" w:cs="Arial"/>
          <w:b/>
          <w:bCs/>
          <w:sz w:val="24"/>
          <w:szCs w:val="24"/>
        </w:rPr>
        <w:t>References: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ascii="Arial" w:hAnsi="Arial" w:eastAsia="等线" w:cs="Arial"/>
          <w:sz w:val="24"/>
          <w:szCs w:val="24"/>
        </w:rPr>
        <w:t>Manzanarez-Ozuna</w:t>
      </w:r>
      <w:r>
        <w:rPr>
          <w:rFonts w:hint="eastAsia" w:ascii="Arial" w:hAnsi="Arial" w:eastAsia="等线" w:cs="Arial"/>
          <w:sz w:val="24"/>
          <w:szCs w:val="24"/>
        </w:rPr>
        <w:t>,  Dora-Luz Flores,  Everardo Gutiérrez-López,</w:t>
      </w:r>
      <w:r>
        <w:rPr>
          <w:rFonts w:ascii="Arial" w:hAnsi="Arial" w:eastAsia="等线" w:cs="Arial"/>
          <w:sz w:val="24"/>
          <w:szCs w:val="24"/>
        </w:rPr>
        <w:t xml:space="preserve"> et al.</w:t>
      </w:r>
      <w:r>
        <w:rPr>
          <w:rFonts w:hint="eastAsia" w:ascii="Arial" w:hAnsi="Arial" w:eastAsia="等线" w:cs="Arial"/>
          <w:sz w:val="24"/>
          <w:szCs w:val="24"/>
        </w:rPr>
        <w:t xml:space="preserve"> </w:t>
      </w:r>
      <w:r>
        <w:rPr>
          <w:rFonts w:ascii="Arial" w:hAnsi="Arial" w:eastAsia="等线" w:cs="Arial"/>
          <w:sz w:val="24"/>
          <w:szCs w:val="24"/>
        </w:rPr>
        <w:t>Model based on GA and DNN for</w:t>
      </w:r>
      <w:r>
        <w:rPr>
          <w:rFonts w:hint="eastAsia" w:ascii="Arial" w:hAnsi="Arial" w:eastAsia="等线" w:cs="Arial"/>
          <w:sz w:val="24"/>
          <w:szCs w:val="24"/>
        </w:rPr>
        <w:t xml:space="preserve"> </w:t>
      </w:r>
      <w:r>
        <w:rPr>
          <w:rFonts w:ascii="Arial" w:hAnsi="Arial" w:eastAsia="等线" w:cs="Arial"/>
          <w:sz w:val="24"/>
          <w:szCs w:val="24"/>
        </w:rPr>
        <w:t>prediction of mRNA-Smad7 expression</w:t>
      </w:r>
      <w:r>
        <w:rPr>
          <w:rFonts w:hint="eastAsia" w:ascii="Arial" w:hAnsi="Arial" w:eastAsia="等线" w:cs="Arial"/>
          <w:sz w:val="24"/>
          <w:szCs w:val="24"/>
        </w:rPr>
        <w:t xml:space="preserve"> </w:t>
      </w:r>
      <w:r>
        <w:rPr>
          <w:rFonts w:ascii="Arial" w:hAnsi="Arial" w:eastAsia="等线" w:cs="Arial"/>
          <w:sz w:val="24"/>
          <w:szCs w:val="24"/>
        </w:rPr>
        <w:t>regulated by miRNAs in breast cancer</w:t>
      </w:r>
      <w:r>
        <w:rPr>
          <w:rFonts w:hint="eastAsia" w:ascii="Arial" w:hAnsi="Arial" w:eastAsia="等线" w:cs="Arial"/>
          <w:sz w:val="24"/>
          <w:szCs w:val="24"/>
        </w:rPr>
        <w:t>. Theoretical Biology and Medical Modelling. 2018 12 29;15(1). doi: 10.1186/s12976-018-0095-8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ascii="Arial" w:hAnsi="Arial" w:eastAsia="等线" w:cs="Arial"/>
          <w:sz w:val="24"/>
          <w:szCs w:val="24"/>
        </w:rPr>
        <w:t>Xiao B, Zhang W, Chen L,</w:t>
      </w:r>
      <w:r>
        <w:rPr>
          <w:rFonts w:hint="eastAsia" w:ascii="Arial" w:hAnsi="Arial" w:eastAsia="等线" w:cs="Arial"/>
          <w:sz w:val="24"/>
          <w:szCs w:val="24"/>
        </w:rPr>
        <w:t xml:space="preserve"> et al. </w:t>
      </w:r>
      <w:r>
        <w:rPr>
          <w:rFonts w:ascii="Arial" w:hAnsi="Arial" w:eastAsia="等线" w:cs="Arial"/>
          <w:sz w:val="24"/>
          <w:szCs w:val="24"/>
        </w:rPr>
        <w:t>Analysis of the miRNA–mRNA–lncRNA network in human estrogen</w:t>
      </w:r>
      <w:r>
        <w:rPr>
          <w:rFonts w:hint="eastAsia" w:ascii="Arial" w:hAnsi="Arial" w:eastAsia="等线" w:cs="Arial"/>
          <w:sz w:val="24"/>
          <w:szCs w:val="24"/>
        </w:rPr>
        <w:t xml:space="preserve"> </w:t>
      </w:r>
      <w:r>
        <w:rPr>
          <w:rFonts w:ascii="Arial" w:hAnsi="Arial" w:eastAsia="等线" w:cs="Arial"/>
          <w:sz w:val="24"/>
          <w:szCs w:val="24"/>
        </w:rPr>
        <w:t>receptor-positive and estrogen receptor-negative breast cancer based on</w:t>
      </w:r>
      <w:r>
        <w:rPr>
          <w:rFonts w:hint="eastAsia" w:ascii="Arial" w:hAnsi="Arial" w:eastAsia="等线" w:cs="Arial"/>
          <w:sz w:val="24"/>
          <w:szCs w:val="24"/>
        </w:rPr>
        <w:t xml:space="preserve"> </w:t>
      </w:r>
      <w:r>
        <w:rPr>
          <w:rFonts w:ascii="Arial" w:hAnsi="Arial" w:eastAsia="等线" w:cs="Arial"/>
          <w:sz w:val="24"/>
          <w:szCs w:val="24"/>
        </w:rPr>
        <w:t>TCGA data</w:t>
      </w:r>
      <w:r>
        <w:rPr>
          <w:rFonts w:hint="eastAsia" w:ascii="Arial" w:hAnsi="Arial" w:eastAsia="等线" w:cs="Arial"/>
          <w:sz w:val="24"/>
          <w:szCs w:val="24"/>
        </w:rPr>
        <w:t xml:space="preserve">. Gene. 2018 Jun 05;658. </w:t>
      </w:r>
    </w:p>
    <w:p>
      <w:pPr>
        <w:spacing w:line="480" w:lineRule="auto"/>
        <w:rPr>
          <w:rFonts w:hint="eastAsia"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>doi: 10.1016/j.gene.2018.03.011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 xml:space="preserve">Liu S, Wang H, Mu J, et al. MiRNA-211 triggers an autophagy-dependent apoptosis in cervical cancer cells: regulation of Bcl-2. Naunyn-Schmiedeberg's Archives of Pharmacology. 2020 03;393(3). </w:t>
      </w:r>
    </w:p>
    <w:p>
      <w:pPr>
        <w:spacing w:line="480" w:lineRule="auto"/>
        <w:rPr>
          <w:rFonts w:hint="eastAsia"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>doi: 10.1007/s00210-019-01720-4.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ascii="Arial" w:hAnsi="Arial" w:eastAsia="等线" w:cs="Arial"/>
          <w:sz w:val="24"/>
          <w:szCs w:val="24"/>
        </w:rPr>
        <w:t>Sinha S, Dutta S, Datta K,</w:t>
      </w:r>
      <w:r>
        <w:rPr>
          <w:rFonts w:hint="eastAsia" w:ascii="Arial" w:hAnsi="Arial" w:eastAsia="等线" w:cs="Arial"/>
          <w:sz w:val="24"/>
          <w:szCs w:val="24"/>
        </w:rPr>
        <w:t xml:space="preserve"> et al. </w:t>
      </w:r>
      <w:r>
        <w:rPr>
          <w:rFonts w:ascii="Arial" w:hAnsi="Arial" w:eastAsia="等线" w:cs="Arial"/>
          <w:sz w:val="24"/>
          <w:szCs w:val="24"/>
        </w:rPr>
        <w:t>Von Hippel-Lindau gene product modulates TIS11B expression in renal cell carcinoma: impact on vascular endothelial growth factor expression in hypoxia.</w:t>
      </w:r>
      <w:r>
        <w:rPr>
          <w:rFonts w:hint="eastAsia" w:ascii="Arial" w:hAnsi="Arial" w:eastAsia="等线" w:cs="Arial"/>
          <w:sz w:val="24"/>
          <w:szCs w:val="24"/>
        </w:rPr>
        <w:t xml:space="preserve"> The Journal of Biological Chemistry. 2009 Nov 20;284(47). doi: 10.1074/jbc.M109.058065.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ascii="Arial" w:hAnsi="Arial" w:eastAsia="等线" w:cs="Arial"/>
          <w:sz w:val="24"/>
          <w:szCs w:val="24"/>
        </w:rPr>
        <w:t>Wang HB, Jiang ZB, Li M</w:t>
      </w:r>
      <w:r>
        <w:rPr>
          <w:rFonts w:hint="eastAsia" w:ascii="Arial" w:hAnsi="Arial" w:eastAsia="等线" w:cs="Arial"/>
          <w:sz w:val="24"/>
          <w:szCs w:val="24"/>
        </w:rPr>
        <w:t xml:space="preserve">. </w:t>
      </w:r>
      <w:r>
        <w:rPr>
          <w:rFonts w:ascii="Arial" w:hAnsi="Arial" w:eastAsia="等线" w:cs="Arial"/>
          <w:sz w:val="24"/>
          <w:szCs w:val="24"/>
        </w:rPr>
        <w:t>Research on the typical miRNA and target genes in squamous cell carcinoma and adenocarcinoma of esophagus cancer with DNA microarray.</w:t>
      </w:r>
      <w:r>
        <w:rPr>
          <w:rFonts w:hint="eastAsia" w:ascii="Arial" w:hAnsi="Arial" w:eastAsia="等线" w:cs="Arial"/>
          <w:sz w:val="24"/>
          <w:szCs w:val="24"/>
        </w:rPr>
        <w:t xml:space="preserve"> Pathol</w:t>
      </w:r>
      <w:r>
        <w:rPr>
          <w:rFonts w:ascii="Arial" w:hAnsi="Arial" w:eastAsia="等线" w:cs="Arial"/>
          <w:sz w:val="24"/>
          <w:szCs w:val="24"/>
        </w:rPr>
        <w:t>ogy &amp;</w:t>
      </w:r>
      <w:r>
        <w:rPr>
          <w:rFonts w:hint="eastAsia" w:ascii="Arial" w:hAnsi="Arial" w:eastAsia="等线" w:cs="Arial"/>
          <w:sz w:val="24"/>
          <w:szCs w:val="24"/>
        </w:rPr>
        <w:t xml:space="preserve"> Oncol</w:t>
      </w:r>
      <w:r>
        <w:rPr>
          <w:rFonts w:ascii="Arial" w:hAnsi="Arial" w:eastAsia="等线" w:cs="Arial"/>
          <w:sz w:val="24"/>
          <w:szCs w:val="24"/>
        </w:rPr>
        <w:t>ogy</w:t>
      </w:r>
      <w:r>
        <w:rPr>
          <w:rFonts w:hint="eastAsia" w:ascii="Arial" w:hAnsi="Arial" w:eastAsia="等线" w:cs="Arial"/>
          <w:sz w:val="24"/>
          <w:szCs w:val="24"/>
        </w:rPr>
        <w:t xml:space="preserve"> Res</w:t>
      </w:r>
      <w:r>
        <w:rPr>
          <w:rFonts w:ascii="Arial" w:hAnsi="Arial" w:eastAsia="等线" w:cs="Arial"/>
          <w:sz w:val="24"/>
          <w:szCs w:val="24"/>
        </w:rPr>
        <w:t>earch</w:t>
      </w:r>
      <w:r>
        <w:rPr>
          <w:rFonts w:hint="eastAsia" w:ascii="Arial" w:hAnsi="Arial" w:eastAsia="等线" w:cs="Arial"/>
          <w:sz w:val="24"/>
          <w:szCs w:val="24"/>
        </w:rPr>
        <w:t xml:space="preserve">. 2014 Apr;20(2). </w:t>
      </w:r>
    </w:p>
    <w:p>
      <w:pPr>
        <w:spacing w:line="480" w:lineRule="auto"/>
        <w:rPr>
          <w:rFonts w:hint="eastAsia"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 xml:space="preserve">doi: 10.1007/s12253-013-9688-z. 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ascii="Arial" w:hAnsi="Arial" w:eastAsia="等线" w:cs="Arial"/>
          <w:sz w:val="24"/>
          <w:szCs w:val="24"/>
        </w:rPr>
        <w:t>Bladen JC, Wang J, Sangaralingam A,</w:t>
      </w:r>
      <w:r>
        <w:rPr>
          <w:rFonts w:hint="eastAsia" w:ascii="Arial" w:hAnsi="Arial" w:eastAsia="等线" w:cs="Arial"/>
          <w:sz w:val="24"/>
          <w:szCs w:val="24"/>
        </w:rPr>
        <w:t xml:space="preserve"> et al. </w:t>
      </w:r>
      <w:r>
        <w:rPr>
          <w:rFonts w:ascii="Arial" w:hAnsi="Arial" w:eastAsia="等线" w:cs="Arial"/>
          <w:sz w:val="24"/>
          <w:szCs w:val="24"/>
        </w:rPr>
        <w:t>MicroRNA and transcriptome analysis in periocular Sebaceous Gland Carcinoma</w:t>
      </w:r>
      <w:r>
        <w:rPr>
          <w:rFonts w:hint="eastAsia" w:ascii="Arial" w:hAnsi="Arial" w:eastAsia="等线" w:cs="Arial"/>
          <w:sz w:val="24"/>
          <w:szCs w:val="24"/>
        </w:rPr>
        <w:t>. Scientific Reports. 2018 05 14;8(1). doi: 10.1038/s41598-018-25900-z.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ascii="Arial" w:hAnsi="Arial" w:eastAsia="等线" w:cs="Arial"/>
          <w:sz w:val="24"/>
          <w:szCs w:val="24"/>
        </w:rPr>
        <w:t xml:space="preserve">Jing P, Sa N, Xu W. </w:t>
      </w:r>
      <w:r>
        <w:rPr>
          <w:rFonts w:hint="eastAsia" w:ascii="Arial" w:hAnsi="Arial" w:eastAsia="等线" w:cs="Arial"/>
          <w:sz w:val="24"/>
          <w:szCs w:val="24"/>
        </w:rPr>
        <w:t>M</w:t>
      </w:r>
      <w:r>
        <w:rPr>
          <w:rFonts w:ascii="Arial" w:hAnsi="Arial" w:eastAsia="等线" w:cs="Arial"/>
          <w:sz w:val="24"/>
          <w:szCs w:val="24"/>
        </w:rPr>
        <w:t xml:space="preserve">iR-140-5p affects the migration and invasion of </w:t>
      </w:r>
      <w:r>
        <w:rPr>
          <w:rFonts w:hint="eastAsia" w:ascii="Arial" w:hAnsi="Arial" w:eastAsia="等线" w:cs="Arial"/>
          <w:sz w:val="24"/>
          <w:szCs w:val="24"/>
        </w:rPr>
        <w:t>H</w:t>
      </w:r>
      <w:r>
        <w:rPr>
          <w:rFonts w:ascii="Arial" w:hAnsi="Arial" w:eastAsia="等线" w:cs="Arial"/>
          <w:sz w:val="24"/>
          <w:szCs w:val="24"/>
        </w:rPr>
        <w:t xml:space="preserve">ypopharyngeal </w:t>
      </w:r>
      <w:r>
        <w:rPr>
          <w:rFonts w:hint="eastAsia" w:ascii="Arial" w:hAnsi="Arial" w:eastAsia="等线" w:cs="Arial"/>
          <w:sz w:val="24"/>
          <w:szCs w:val="24"/>
        </w:rPr>
        <w:t>C</w:t>
      </w:r>
      <w:r>
        <w:rPr>
          <w:rFonts w:ascii="Arial" w:hAnsi="Arial" w:eastAsia="等线" w:cs="Arial"/>
          <w:sz w:val="24"/>
          <w:szCs w:val="24"/>
        </w:rPr>
        <w:t>arcinoma cells by downregulating ADAM10 expression</w:t>
      </w:r>
      <w:r>
        <w:rPr>
          <w:rFonts w:hint="eastAsia" w:ascii="Arial" w:hAnsi="Arial" w:eastAsia="等线" w:cs="Arial"/>
          <w:sz w:val="24"/>
          <w:szCs w:val="24"/>
        </w:rPr>
        <w:t>. Chinese Journal of Otorhinolaryngology Head and Neck Surgery. 2016 Mar;51(3).</w:t>
      </w:r>
      <w:r>
        <w:rPr>
          <w:rFonts w:ascii="Arial" w:hAnsi="Arial" w:eastAsia="等线" w:cs="Arial"/>
          <w:sz w:val="24"/>
          <w:szCs w:val="24"/>
        </w:rPr>
        <w:t xml:space="preserve"> </w:t>
      </w:r>
      <w:r>
        <w:rPr>
          <w:rFonts w:hint="eastAsia" w:ascii="Arial" w:hAnsi="Arial" w:eastAsia="等线" w:cs="Arial"/>
          <w:sz w:val="24"/>
          <w:szCs w:val="24"/>
        </w:rPr>
        <w:t xml:space="preserve">doi: 10.3760/cma.j.issn.1673-0860.2016.03.007. 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ascii="Arial" w:hAnsi="Arial" w:eastAsia="等线" w:cs="Arial"/>
          <w:sz w:val="24"/>
          <w:szCs w:val="24"/>
        </w:rPr>
        <w:t>Ma C, Miao C, Wang C,</w:t>
      </w:r>
      <w:r>
        <w:rPr>
          <w:rFonts w:hint="eastAsia" w:ascii="Arial" w:hAnsi="Arial" w:eastAsia="等线" w:cs="Arial"/>
          <w:sz w:val="24"/>
          <w:szCs w:val="24"/>
        </w:rPr>
        <w:t xml:space="preserve"> et al. </w:t>
      </w:r>
      <w:r>
        <w:rPr>
          <w:rFonts w:ascii="Arial" w:hAnsi="Arial" w:eastAsia="等线" w:cs="Arial"/>
          <w:sz w:val="24"/>
          <w:szCs w:val="24"/>
        </w:rPr>
        <w:t>Role of MicroRNAs in carcinogenesis that potential for biomarker of</w:t>
      </w:r>
      <w:r>
        <w:rPr>
          <w:rFonts w:hint="eastAsia" w:ascii="Arial" w:hAnsi="Arial" w:eastAsia="等线" w:cs="Arial"/>
          <w:sz w:val="24"/>
          <w:szCs w:val="24"/>
        </w:rPr>
        <w:t xml:space="preserve"> </w:t>
      </w:r>
      <w:r>
        <w:rPr>
          <w:rFonts w:ascii="Arial" w:hAnsi="Arial" w:eastAsia="等线" w:cs="Arial"/>
          <w:sz w:val="24"/>
          <w:szCs w:val="24"/>
        </w:rPr>
        <w:t>endometrial cancer</w:t>
      </w:r>
      <w:r>
        <w:rPr>
          <w:rFonts w:hint="eastAsia" w:ascii="Arial" w:hAnsi="Arial" w:eastAsia="等线" w:cs="Arial"/>
          <w:sz w:val="24"/>
          <w:szCs w:val="24"/>
        </w:rPr>
        <w:t xml:space="preserve">. Cancer Biomark. 2019;26(1). </w:t>
      </w:r>
    </w:p>
    <w:p>
      <w:pPr>
        <w:spacing w:line="480" w:lineRule="auto"/>
        <w:rPr>
          <w:rFonts w:hint="eastAsia" w:ascii="Arial" w:hAnsi="Arial" w:eastAsia="等线" w:cs="Arial"/>
          <w:sz w:val="24"/>
          <w:szCs w:val="24"/>
          <w:lang w:val="en-US" w:eastAsia="zh-CN"/>
        </w:rPr>
      </w:pPr>
      <w:r>
        <w:rPr>
          <w:rFonts w:hint="eastAsia" w:ascii="Arial" w:hAnsi="Arial" w:eastAsia="等线" w:cs="Arial"/>
          <w:sz w:val="24"/>
          <w:szCs w:val="24"/>
        </w:rPr>
        <w:t>doi: 10.3233/CBM-182279.</w:t>
      </w:r>
      <w:r>
        <w:rPr>
          <w:rFonts w:hint="eastAsia" w:ascii="Arial" w:hAnsi="Arial" w:eastAsia="等线" w:cs="Arial"/>
          <w:sz w:val="24"/>
          <w:szCs w:val="24"/>
          <w:lang w:val="en-US" w:eastAsia="zh-CN"/>
        </w:rPr>
        <w:t xml:space="preserve"> 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>Boubaker NS, Spagnuolo M, Trabelsi N, et al. M</w:t>
      </w:r>
      <w:r>
        <w:rPr>
          <w:rFonts w:ascii="Arial" w:hAnsi="Arial" w:eastAsia="等线" w:cs="Arial"/>
          <w:sz w:val="24"/>
          <w:szCs w:val="24"/>
        </w:rPr>
        <w:t>iR-143 expression profiles in urinary bladder cancer: correlation with clinical and epidemiological parameters</w:t>
      </w:r>
      <w:r>
        <w:rPr>
          <w:rFonts w:hint="eastAsia" w:ascii="Arial" w:hAnsi="Arial" w:eastAsia="等线" w:cs="Arial"/>
          <w:sz w:val="24"/>
          <w:szCs w:val="24"/>
        </w:rPr>
        <w:t xml:space="preserve">. Molecular Biology Reports. 2020 Feb;47(2). </w:t>
      </w:r>
    </w:p>
    <w:p>
      <w:pPr>
        <w:spacing w:line="480" w:lineRule="auto"/>
        <w:rPr>
          <w:rFonts w:hint="eastAsia"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>doi: 10.1007/s11033-019-05228-1.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ascii="Arial" w:hAnsi="Arial" w:eastAsia="等线" w:cs="Arial"/>
          <w:sz w:val="24"/>
          <w:szCs w:val="24"/>
        </w:rPr>
        <w:t>Sommerová L, Fraňková H, Anton M,</w:t>
      </w:r>
      <w:r>
        <w:rPr>
          <w:rFonts w:hint="eastAsia" w:ascii="Arial" w:hAnsi="Arial" w:eastAsia="等线" w:cs="Arial"/>
          <w:sz w:val="24"/>
          <w:szCs w:val="24"/>
        </w:rPr>
        <w:t xml:space="preserve"> et al. </w:t>
      </w:r>
      <w:r>
        <w:rPr>
          <w:rFonts w:ascii="Arial" w:hAnsi="Arial" w:eastAsia="等线" w:cs="Arial"/>
          <w:sz w:val="24"/>
          <w:szCs w:val="24"/>
        </w:rPr>
        <w:t>Expression and Functional Characterization of miR-34c in Cervical Cancer.</w:t>
      </w:r>
      <w:r>
        <w:rPr>
          <w:rFonts w:hint="eastAsia" w:ascii="Arial" w:hAnsi="Arial" w:eastAsia="等线" w:cs="Arial"/>
          <w:sz w:val="24"/>
          <w:szCs w:val="24"/>
        </w:rPr>
        <w:t xml:space="preserve"> Klin Onkol. 2018;31. </w:t>
      </w:r>
    </w:p>
    <w:p>
      <w:pPr>
        <w:spacing w:line="480" w:lineRule="auto"/>
        <w:rPr>
          <w:rFonts w:hint="eastAsia"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>doi: 10.14735/amko20182S82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ascii="Arial" w:hAnsi="Arial" w:eastAsia="等线" w:cs="Arial"/>
          <w:sz w:val="24"/>
          <w:szCs w:val="24"/>
        </w:rPr>
        <w:t>Xu X, Liu C, Bao J</w:t>
      </w:r>
      <w:r>
        <w:rPr>
          <w:rFonts w:hint="eastAsia" w:ascii="Arial" w:hAnsi="Arial" w:eastAsia="等线" w:cs="Arial"/>
          <w:sz w:val="24"/>
          <w:szCs w:val="24"/>
        </w:rPr>
        <w:t xml:space="preserve">. </w:t>
      </w:r>
      <w:r>
        <w:rPr>
          <w:rFonts w:ascii="Arial" w:hAnsi="Arial" w:eastAsia="等线" w:cs="Arial"/>
          <w:sz w:val="24"/>
          <w:szCs w:val="24"/>
        </w:rPr>
        <w:t>Hypoxia-induced hsa-miR-101 promotes glycolysis by targeting TIGAR mRNA in clear cell renal cell carcinoma.</w:t>
      </w:r>
      <w:r>
        <w:rPr>
          <w:rFonts w:hint="eastAsia" w:ascii="Arial" w:hAnsi="Arial" w:eastAsia="等线" w:cs="Arial"/>
          <w:sz w:val="24"/>
          <w:szCs w:val="24"/>
        </w:rPr>
        <w:t xml:space="preserve"> Mol</w:t>
      </w:r>
      <w:r>
        <w:rPr>
          <w:rFonts w:ascii="Arial" w:hAnsi="Arial" w:eastAsia="等线" w:cs="Arial"/>
          <w:sz w:val="24"/>
          <w:szCs w:val="24"/>
        </w:rPr>
        <w:t>ecular</w:t>
      </w:r>
      <w:r>
        <w:rPr>
          <w:rFonts w:hint="eastAsia" w:ascii="Arial" w:hAnsi="Arial" w:eastAsia="等线" w:cs="Arial"/>
          <w:sz w:val="24"/>
          <w:szCs w:val="24"/>
        </w:rPr>
        <w:t xml:space="preserve"> Med</w:t>
      </w:r>
      <w:r>
        <w:rPr>
          <w:rFonts w:ascii="Arial" w:hAnsi="Arial" w:eastAsia="等线" w:cs="Arial"/>
          <w:sz w:val="24"/>
          <w:szCs w:val="24"/>
        </w:rPr>
        <w:t>icine</w:t>
      </w:r>
      <w:r>
        <w:rPr>
          <w:rFonts w:hint="eastAsia" w:ascii="Arial" w:hAnsi="Arial" w:eastAsia="等线" w:cs="Arial"/>
          <w:sz w:val="24"/>
          <w:szCs w:val="24"/>
        </w:rPr>
        <w:t xml:space="preserve"> Rep</w:t>
      </w:r>
      <w:r>
        <w:rPr>
          <w:rFonts w:ascii="Arial" w:hAnsi="Arial" w:eastAsia="等线" w:cs="Arial"/>
          <w:sz w:val="24"/>
          <w:szCs w:val="24"/>
        </w:rPr>
        <w:t>orts</w:t>
      </w:r>
      <w:r>
        <w:rPr>
          <w:rFonts w:hint="eastAsia" w:ascii="Arial" w:hAnsi="Arial" w:eastAsia="等线" w:cs="Arial"/>
          <w:sz w:val="24"/>
          <w:szCs w:val="24"/>
        </w:rPr>
        <w:t>. 2017 Mar;15(3). doi: 10.3892/mmr.2017.6139.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ascii="Arial" w:hAnsi="Arial" w:eastAsia="等线" w:cs="Arial"/>
          <w:sz w:val="24"/>
          <w:szCs w:val="24"/>
        </w:rPr>
        <w:t>Wang M, Wen TF, He LH,</w:t>
      </w:r>
      <w:r>
        <w:rPr>
          <w:rFonts w:hint="eastAsia" w:ascii="Arial" w:hAnsi="Arial" w:eastAsia="等线" w:cs="Arial"/>
          <w:sz w:val="24"/>
          <w:szCs w:val="24"/>
        </w:rPr>
        <w:t xml:space="preserve"> et al. </w:t>
      </w:r>
      <w:r>
        <w:rPr>
          <w:rFonts w:ascii="Arial" w:hAnsi="Arial" w:eastAsia="等线" w:cs="Arial"/>
          <w:sz w:val="24"/>
          <w:szCs w:val="24"/>
        </w:rPr>
        <w:t>A six-microRNA set as prognostic indicators for bile duct cancer.</w:t>
      </w:r>
      <w:r>
        <w:rPr>
          <w:rFonts w:hint="eastAsia" w:ascii="Arial" w:hAnsi="Arial" w:eastAsia="等线" w:cs="Arial"/>
          <w:sz w:val="24"/>
          <w:szCs w:val="24"/>
        </w:rPr>
        <w:t xml:space="preserve"> </w:t>
      </w:r>
      <w:r>
        <w:rPr>
          <w:rFonts w:ascii="Arial" w:hAnsi="Arial" w:eastAsia="等线" w:cs="Arial"/>
          <w:sz w:val="24"/>
          <w:szCs w:val="24"/>
        </w:rPr>
        <w:t>International Journal of Clinical and Experimental Medicine.</w:t>
      </w:r>
      <w:r>
        <w:rPr>
          <w:rFonts w:hint="eastAsia" w:ascii="Arial" w:hAnsi="Arial" w:eastAsia="等线" w:cs="Arial"/>
          <w:sz w:val="24"/>
          <w:szCs w:val="24"/>
        </w:rPr>
        <w:t xml:space="preserve"> 2015;8(10). doi: 10.00000/26770318.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</w:pPr>
      <w:bookmarkStart w:id="0" w:name="_GoBack"/>
      <w:bookmarkEnd w:id="0"/>
      <w:r>
        <w:rPr>
          <w:rFonts w:ascii="Arial" w:hAnsi="Arial" w:eastAsia="等线" w:cs="Arial"/>
          <w:sz w:val="24"/>
          <w:szCs w:val="24"/>
        </w:rPr>
        <w:t xml:space="preserve">Wang JY, Wang CL, Wang XM, </w:t>
      </w:r>
      <w:r>
        <w:rPr>
          <w:rFonts w:hint="eastAsia" w:ascii="Arial" w:hAnsi="Arial" w:eastAsia="等线" w:cs="Arial"/>
          <w:sz w:val="24"/>
          <w:szCs w:val="24"/>
        </w:rPr>
        <w:t xml:space="preserve">et al. </w:t>
      </w:r>
      <w:r>
        <w:rPr>
          <w:rFonts w:ascii="Arial" w:hAnsi="Arial" w:eastAsia="等线" w:cs="Arial"/>
          <w:sz w:val="24"/>
          <w:szCs w:val="24"/>
        </w:rPr>
        <w:t>Comprehensive analysis of microRNA/mRNA signature in colon adenocarcinoma.</w:t>
      </w:r>
      <w:r>
        <w:rPr>
          <w:rFonts w:hint="eastAsia" w:ascii="Arial" w:hAnsi="Arial" w:eastAsia="等线" w:cs="Arial"/>
          <w:sz w:val="24"/>
          <w:szCs w:val="24"/>
        </w:rPr>
        <w:t xml:space="preserve"> </w:t>
      </w:r>
      <w:r>
        <w:rPr>
          <w:rFonts w:ascii="Arial" w:hAnsi="Arial" w:eastAsia="等线" w:cs="Arial"/>
          <w:sz w:val="24"/>
          <w:szCs w:val="24"/>
        </w:rPr>
        <w:t>European Review for Medical and Pharmacological Sciences.</w:t>
      </w:r>
      <w:r>
        <w:rPr>
          <w:rFonts w:hint="eastAsia" w:ascii="Arial" w:hAnsi="Arial" w:eastAsia="等线" w:cs="Arial"/>
          <w:sz w:val="24"/>
          <w:szCs w:val="24"/>
        </w:rPr>
        <w:t xml:space="preserve"> 2017 05;21(9). doi:10.00000/28537673. 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7119A70"/>
    <w:multiLevelType w:val="singleLevel"/>
    <w:tmpl w:val="E7119A7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E83207"/>
    <w:rsid w:val="1EB55735"/>
    <w:rsid w:val="2D235A83"/>
    <w:rsid w:val="306C3663"/>
    <w:rsid w:val="37E14BAE"/>
    <w:rsid w:val="53EA25AB"/>
    <w:rsid w:val="7371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2020-07-13T14:12:00Z</dcterms:created>
  <dc:creator>心仪的心怡</dc:creator>
  <cp:lastModifiedBy>梦里花落</cp:lastModifiedBy>
  <dcterms:modified xsi:type="dcterms:W3CDTF">2020-07-19T12:10:48Z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