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480" w:lineRule="auto"/>
        <w:jc w:val="both"/>
        <w:rPr>
          <w:rFonts w:ascii="Times New Roman" w:hAnsi="Times New Roman" w:eastAsia="等线" w:cs="Times New Roman"/>
          <w:b/>
          <w:bCs/>
          <w:kern w:val="0"/>
          <w:sz w:val="24"/>
          <w:szCs w:val="24"/>
          <w:lang w:val="en-US" w:eastAsia="zh-CN" w:bidi="ar-SA"/>
        </w:rPr>
        <w:pPrChange w:id="0" w:author="许元基" w:date="2020-07-19T19:06:55Z">
          <w:pPr/>
        </w:pPrChange>
      </w:pPr>
      <w:r>
        <w:rPr>
          <w:rFonts w:hint="eastAsia" w:ascii="Times New Roman" w:hAnsi="Times New Roman" w:eastAsia="等线" w:cs="Times New Roman"/>
          <w:b/>
          <w:bCs/>
          <w:kern w:val="0"/>
          <w:sz w:val="24"/>
          <w:szCs w:val="24"/>
          <w:lang w:val="en-US" w:eastAsia="zh-CN" w:bidi="ar-SA"/>
        </w:rPr>
        <w:t xml:space="preserve">TableS1: </w:t>
      </w:r>
      <w:r>
        <w:rPr>
          <w:rFonts w:ascii="Times New Roman" w:hAnsi="Times New Roman" w:eastAsia="等线" w:cs="Times New Roman"/>
          <w:b/>
          <w:bCs/>
          <w:kern w:val="0"/>
          <w:sz w:val="24"/>
          <w:szCs w:val="24"/>
          <w:lang w:val="en-US" w:eastAsia="zh-CN" w:bidi="ar-SA"/>
        </w:rPr>
        <w:t xml:space="preserve">Functional roles of </w:t>
      </w:r>
      <w:r>
        <w:rPr>
          <w:rFonts w:hint="eastAsia" w:ascii="Times New Roman" w:hAnsi="Times New Roman" w:eastAsia="等线" w:cs="Times New Roman"/>
          <w:b/>
          <w:bCs/>
          <w:kern w:val="0"/>
          <w:sz w:val="24"/>
          <w:szCs w:val="24"/>
          <w:lang w:val="en-US" w:eastAsia="zh-CN" w:bidi="ar-SA"/>
        </w:rPr>
        <w:t>10</w:t>
      </w:r>
      <w:r>
        <w:rPr>
          <w:rFonts w:ascii="Times New Roman" w:hAnsi="Times New Roman" w:eastAsia="等线" w:cs="Times New Roman"/>
          <w:b/>
          <w:bCs/>
          <w:kern w:val="0"/>
          <w:sz w:val="24"/>
          <w:szCs w:val="24"/>
          <w:lang w:val="en-US" w:eastAsia="zh-CN" w:bidi="ar-SA"/>
        </w:rPr>
        <w:t xml:space="preserve"> </w:t>
      </w:r>
      <w:r>
        <w:rPr>
          <w:rFonts w:hint="eastAsia" w:ascii="Times New Roman" w:hAnsi="Times New Roman" w:eastAsia="等线" w:cs="Times New Roman"/>
          <w:b/>
          <w:bCs/>
          <w:kern w:val="0"/>
          <w:sz w:val="24"/>
          <w:szCs w:val="24"/>
          <w:lang w:val="en-US" w:eastAsia="zh-CN" w:bidi="ar-SA"/>
        </w:rPr>
        <w:t>differentially expressed</w:t>
      </w:r>
      <w:r>
        <w:rPr>
          <w:rFonts w:ascii="Times New Roman" w:hAnsi="Times New Roman" w:eastAsia="等线" w:cs="Times New Roman"/>
          <w:b/>
          <w:bCs/>
          <w:kern w:val="0"/>
          <w:sz w:val="24"/>
          <w:szCs w:val="24"/>
          <w:lang w:val="en-US" w:eastAsia="zh-CN" w:bidi="ar-SA"/>
        </w:rPr>
        <w:t xml:space="preserve"> </w:t>
      </w:r>
      <w:r>
        <w:rPr>
          <w:rFonts w:hint="eastAsia" w:ascii="Times New Roman" w:hAnsi="Times New Roman" w:eastAsia="等线" w:cs="Times New Roman"/>
          <w:b/>
          <w:bCs/>
          <w:kern w:val="0"/>
          <w:sz w:val="24"/>
          <w:szCs w:val="24"/>
          <w:lang w:val="en-US" w:eastAsia="zh-CN" w:bidi="ar-SA"/>
        </w:rPr>
        <w:t>lncRNA</w:t>
      </w:r>
      <w:r>
        <w:rPr>
          <w:rFonts w:ascii="Times New Roman" w:hAnsi="Times New Roman" w:eastAsia="等线" w:cs="Times New Roman"/>
          <w:b/>
          <w:bCs/>
          <w:kern w:val="0"/>
          <w:sz w:val="24"/>
          <w:szCs w:val="24"/>
          <w:lang w:val="en-US" w:eastAsia="zh-CN" w:bidi="ar-SA"/>
        </w:rPr>
        <w:t>s shared among the t</w:t>
      </w:r>
      <w:r>
        <w:rPr>
          <w:rFonts w:hint="eastAsia" w:ascii="Times New Roman" w:hAnsi="Times New Roman" w:eastAsia="等线" w:cs="Times New Roman"/>
          <w:b/>
          <w:bCs/>
          <w:kern w:val="0"/>
          <w:sz w:val="24"/>
          <w:szCs w:val="24"/>
          <w:lang w:val="en-US" w:eastAsia="zh-CN" w:bidi="ar-SA"/>
        </w:rPr>
        <w:t>hree</w:t>
      </w:r>
      <w:r>
        <w:rPr>
          <w:rFonts w:ascii="Times New Roman" w:hAnsi="Times New Roman" w:eastAsia="等线" w:cs="Times New Roman"/>
          <w:b/>
          <w:bCs/>
          <w:kern w:val="0"/>
          <w:sz w:val="24"/>
          <w:szCs w:val="24"/>
          <w:lang w:val="en-US" w:eastAsia="zh-CN" w:bidi="ar-SA"/>
        </w:rPr>
        <w:t xml:space="preserve"> </w:t>
      </w:r>
      <w:r>
        <w:rPr>
          <w:rFonts w:hint="eastAsia" w:ascii="Times New Roman" w:hAnsi="Times New Roman" w:eastAsia="等线" w:cs="Times New Roman"/>
          <w:b/>
          <w:bCs/>
          <w:kern w:val="0"/>
          <w:sz w:val="24"/>
          <w:szCs w:val="24"/>
          <w:lang w:val="en-US" w:eastAsia="zh-CN" w:bidi="ar-SA"/>
        </w:rPr>
        <w:t>lnc</w:t>
      </w:r>
      <w:r>
        <w:rPr>
          <w:rFonts w:ascii="Times New Roman" w:hAnsi="Times New Roman" w:eastAsia="等线" w:cs="Times New Roman"/>
          <w:b/>
          <w:bCs/>
          <w:kern w:val="0"/>
          <w:sz w:val="24"/>
          <w:szCs w:val="24"/>
          <w:lang w:val="en-US" w:eastAsia="zh-CN" w:bidi="ar-SA"/>
        </w:rPr>
        <w:t>RNA datasets</w:t>
      </w:r>
      <w:r>
        <w:rPr>
          <w:rFonts w:hint="eastAsia" w:ascii="Times New Roman" w:hAnsi="Times New Roman" w:eastAsia="等线" w:cs="Times New Roman"/>
          <w:b/>
          <w:bCs/>
          <w:kern w:val="0"/>
          <w:sz w:val="24"/>
          <w:szCs w:val="24"/>
          <w:lang w:val="en-US" w:eastAsia="zh-CN" w:bidi="ar-SA"/>
        </w:rPr>
        <w:t>.</w:t>
      </w:r>
    </w:p>
    <w:p>
      <w:pPr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</w:pP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1562"/>
        <w:gridCol w:w="61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7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NO.</w:t>
            </w:r>
          </w:p>
        </w:tc>
        <w:tc>
          <w:tcPr>
            <w:tcW w:w="1562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Gene symbol</w:t>
            </w:r>
          </w:p>
        </w:tc>
        <w:tc>
          <w:tcPr>
            <w:tcW w:w="6163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Function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797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62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LINC02195</w:t>
            </w:r>
          </w:p>
        </w:tc>
        <w:tc>
          <w:tcPr>
            <w:tcW w:w="6163" w:type="dxa"/>
            <w:tcBorders>
              <w:top w:val="single" w:color="auto" w:sz="12" w:space="0"/>
            </w:tcBorders>
          </w:tcPr>
          <w:p>
            <w:pP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lay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s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 xml:space="preserve"> a 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key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 xml:space="preserve"> role in regulating the expression of MHC I molecules, and it was an immune-related lncRNA and positively 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involved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 xml:space="preserve">in 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an increased T cell density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7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562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SET</w:t>
            </w:r>
          </w:p>
        </w:tc>
        <w:tc>
          <w:tcPr>
            <w:tcW w:w="6163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 xml:space="preserve">Not found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7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562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UCK2</w:t>
            </w:r>
          </w:p>
        </w:tc>
        <w:tc>
          <w:tcPr>
            <w:tcW w:w="6163" w:type="dxa"/>
          </w:tcPr>
          <w:p>
            <w:pP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n the cells of colorectal, UCK2 inhibition directly resulted in reduced 18S RNA biosynthesis and concomitant cell cycle arrest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7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562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DNAH6</w:t>
            </w:r>
          </w:p>
        </w:tc>
        <w:tc>
          <w:tcPr>
            <w:tcW w:w="6163" w:type="dxa"/>
          </w:tcPr>
          <w:p>
            <w:pP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R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equired for motile cilia function mediating airway clearance and left/right patterning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7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562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AC005332.5</w:t>
            </w:r>
          </w:p>
        </w:tc>
        <w:tc>
          <w:tcPr>
            <w:tcW w:w="6163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 xml:space="preserve">Not found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7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562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TMPO</w:t>
            </w:r>
          </w:p>
        </w:tc>
        <w:tc>
          <w:tcPr>
            <w:tcW w:w="6163" w:type="dxa"/>
          </w:tcPr>
          <w:p>
            <w:pP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romotes the proliferation of hepatocellular cancer cells, migration and invasion by sponging miR-329-3p to stimulate FOXK1-mediated AKT/mTOR pathway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7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562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AC008124.1</w:t>
            </w:r>
          </w:p>
        </w:tc>
        <w:tc>
          <w:tcPr>
            <w:tcW w:w="6163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 xml:space="preserve">Not found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7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562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FUBP1</w:t>
            </w:r>
          </w:p>
        </w:tc>
        <w:tc>
          <w:tcPr>
            <w:tcW w:w="6163" w:type="dxa"/>
          </w:tcPr>
          <w:p>
            <w:pP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R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 xml:space="preserve">epressed p21 mRNA stabilization and regulated pro-apoptotic genes transcription, 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acted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 xml:space="preserve"> as an anti-apoptotic factor in hepatocellular carcinoma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7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1562" w:type="dxa"/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ENO1</w:t>
            </w:r>
          </w:p>
        </w:tc>
        <w:tc>
          <w:tcPr>
            <w:tcW w:w="6163" w:type="dxa"/>
          </w:tcPr>
          <w:p>
            <w:pP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Correlated with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 xml:space="preserve"> the regulation of cancer cell proliferation and metastasis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7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562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LINC01089</w:t>
            </w:r>
          </w:p>
        </w:tc>
        <w:tc>
          <w:tcPr>
            <w:tcW w:w="6163" w:type="dxa"/>
            <w:tcBorders>
              <w:bottom w:val="single" w:color="auto" w:sz="12" w:space="0"/>
            </w:tcBorders>
          </w:tcPr>
          <w:p>
            <w:pP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 w:eastAsia="等线" w:cs="Times New Roman"/>
                <w:kern w:val="0"/>
                <w:sz w:val="24"/>
                <w:szCs w:val="24"/>
              </w:rPr>
              <w:t>redicts clinical prognosis and inhibits cell proliferation and invasion through the Wnt/β-catenin signaling pathway in breast cancer</w:t>
            </w:r>
            <w:bookmarkStart w:id="0" w:name="_GoBack"/>
            <w:bookmarkEnd w:id="0"/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7</w:t>
            </w:r>
          </w:p>
        </w:tc>
      </w:tr>
    </w:tbl>
    <w:p>
      <w:pPr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</w:pPr>
    </w:p>
    <w:p>
      <w:pPr>
        <w:spacing w:line="480" w:lineRule="auto"/>
        <w:rPr>
          <w:rFonts w:ascii="Arial" w:hAnsi="Arial" w:eastAsia="等线" w:cs="Arial"/>
          <w:b/>
          <w:bCs/>
          <w:sz w:val="24"/>
          <w:szCs w:val="24"/>
        </w:rPr>
      </w:pPr>
      <w:r>
        <w:rPr>
          <w:rFonts w:ascii="Arial" w:hAnsi="Arial" w:eastAsia="等线" w:cs="Arial"/>
          <w:b/>
          <w:bCs/>
          <w:sz w:val="24"/>
          <w:szCs w:val="24"/>
        </w:rPr>
        <w:t>References:</w:t>
      </w:r>
    </w:p>
    <w:p>
      <w:pPr>
        <w:rPr>
          <w:rFonts w:ascii="Times New Roman" w:hAnsi="Times New Roman" w:eastAsia="等线" w:cs="Times New Roman"/>
          <w:b/>
          <w:bCs/>
          <w:kern w:val="0"/>
          <w:sz w:val="24"/>
          <w:szCs w:val="24"/>
        </w:rPr>
      </w:pP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rPr>
          <w:rFonts w:ascii="Arial" w:hAnsi="Arial" w:eastAsia="等线" w:cs="Arial"/>
          <w:sz w:val="24"/>
          <w:szCs w:val="24"/>
        </w:rPr>
      </w:pPr>
      <w:r>
        <w:rPr>
          <w:rFonts w:hint="eastAsia" w:ascii="Arial" w:hAnsi="Arial" w:eastAsia="等线" w:cs="Arial"/>
          <w:sz w:val="24"/>
          <w:szCs w:val="24"/>
        </w:rPr>
        <w:t xml:space="preserve">Li H, Xiong HG, Xiao Y, et al. Long Non-coding RNA LINC02195 as a Regulator of MHC I Molecules and Favorable Prognostic Marker for Head and Neck Squamous Cell Carcinoma. </w:t>
      </w:r>
      <w:r>
        <w:rPr>
          <w:rFonts w:ascii="Arial" w:hAnsi="Arial" w:eastAsia="等线" w:cs="Arial"/>
          <w:sz w:val="24"/>
          <w:szCs w:val="24"/>
        </w:rPr>
        <w:t>Frontiers in Oncology.</w:t>
      </w:r>
      <w:r>
        <w:rPr>
          <w:rFonts w:hint="eastAsia" w:ascii="Arial" w:hAnsi="Arial" w:eastAsia="等线" w:cs="Arial"/>
          <w:sz w:val="24"/>
          <w:szCs w:val="24"/>
        </w:rPr>
        <w:t xml:space="preserve"> 2020;10. </w:t>
      </w:r>
    </w:p>
    <w:p>
      <w:pPr>
        <w:spacing w:line="480" w:lineRule="auto"/>
        <w:rPr>
          <w:rFonts w:hint="eastAsia" w:ascii="Arial" w:hAnsi="Arial" w:eastAsia="等线" w:cs="Arial"/>
          <w:sz w:val="24"/>
          <w:szCs w:val="24"/>
        </w:rPr>
      </w:pPr>
      <w:r>
        <w:rPr>
          <w:rFonts w:hint="eastAsia" w:ascii="Arial" w:hAnsi="Arial" w:eastAsia="等线" w:cs="Arial"/>
          <w:sz w:val="24"/>
          <w:szCs w:val="24"/>
        </w:rPr>
        <w:t>doi: 10.3389/fonc.2020.00615.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rPr>
          <w:rFonts w:ascii="Arial" w:hAnsi="Arial" w:eastAsia="等线" w:cs="Arial"/>
          <w:sz w:val="24"/>
          <w:szCs w:val="24"/>
        </w:rPr>
      </w:pPr>
      <w:r>
        <w:rPr>
          <w:rFonts w:hint="eastAsia" w:ascii="Arial" w:hAnsi="Arial" w:eastAsia="等线" w:cs="Arial"/>
          <w:sz w:val="24"/>
          <w:szCs w:val="24"/>
        </w:rPr>
        <w:t>Yu S, Li X, Guo X, et al. UCK2 upregulation might serve as an indicator of unfavorable prognosis of hepatocellular carcinoma. IUBMB Life. 2019 01;71(1). doi: 10.1002/iub.1941.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rPr>
          <w:rFonts w:ascii="Arial" w:hAnsi="Arial" w:eastAsia="等线" w:cs="Arial"/>
          <w:sz w:val="24"/>
          <w:szCs w:val="24"/>
        </w:rPr>
      </w:pPr>
      <w:r>
        <w:rPr>
          <w:rFonts w:hint="eastAsia" w:ascii="Arial" w:hAnsi="Arial" w:eastAsia="等线" w:cs="Arial"/>
          <w:sz w:val="24"/>
          <w:szCs w:val="24"/>
        </w:rPr>
        <w:t>Li Y, Yagi H, Onuoha EO, et al. DNAH6 and Its Interactions with PCD Genes in Heterotaxy and Primary Ciliary Dyskinesia. PLoS Genet. 2016 Feb;12(2). doi: 10.1371/journal.pgen.1005821.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rPr>
          <w:rFonts w:ascii="Arial" w:hAnsi="Arial" w:eastAsia="等线" w:cs="Arial"/>
          <w:sz w:val="24"/>
          <w:szCs w:val="24"/>
        </w:rPr>
      </w:pPr>
      <w:r>
        <w:rPr>
          <w:rFonts w:hint="eastAsia" w:ascii="Arial" w:hAnsi="Arial" w:eastAsia="等线" w:cs="Arial"/>
          <w:sz w:val="24"/>
          <w:szCs w:val="24"/>
        </w:rPr>
        <w:t>Guo X, Wang Y. LncRNA TMPO-AS1 promotes hepatocellular carcinoma cell proliferation, migration and invasion through sponging miR-329-3p to stimulate FOXK1-mediated AKT/mTOR signaling pathway. Cancer Med</w:t>
      </w:r>
      <w:r>
        <w:rPr>
          <w:rFonts w:ascii="Arial" w:hAnsi="Arial" w:eastAsia="等线" w:cs="Arial"/>
          <w:sz w:val="24"/>
          <w:szCs w:val="24"/>
        </w:rPr>
        <w:t>icine</w:t>
      </w:r>
      <w:r>
        <w:rPr>
          <w:rFonts w:hint="eastAsia" w:ascii="Arial" w:hAnsi="Arial" w:eastAsia="等线" w:cs="Arial"/>
          <w:sz w:val="24"/>
          <w:szCs w:val="24"/>
        </w:rPr>
        <w:t>. 2020 May 27. doi: 10.1002/cam4.3046.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rPr>
          <w:rFonts w:ascii="Arial" w:hAnsi="Arial" w:eastAsia="等线" w:cs="Arial"/>
          <w:sz w:val="24"/>
          <w:szCs w:val="24"/>
        </w:rPr>
      </w:pPr>
      <w:r>
        <w:rPr>
          <w:rFonts w:hint="eastAsia" w:ascii="Arial" w:hAnsi="Arial" w:eastAsia="等线" w:cs="Arial"/>
          <w:sz w:val="24"/>
          <w:szCs w:val="24"/>
        </w:rPr>
        <w:t xml:space="preserve">Han T, Wu Y, Hu X, et al. NORAD orchestrates endometrial cancer progression by sequestering FUBP1 nuclear localization to promote cell apoptosis. </w:t>
      </w:r>
      <w:r>
        <w:rPr>
          <w:rFonts w:ascii="Arial" w:hAnsi="Arial" w:eastAsia="等线" w:cs="Arial"/>
          <w:sz w:val="24"/>
          <w:szCs w:val="24"/>
        </w:rPr>
        <w:t>Cell Death &amp; Disease.</w:t>
      </w:r>
      <w:r>
        <w:rPr>
          <w:rFonts w:hint="eastAsia" w:ascii="Arial" w:hAnsi="Arial" w:eastAsia="等线" w:cs="Arial"/>
          <w:sz w:val="24"/>
          <w:szCs w:val="24"/>
        </w:rPr>
        <w:t xml:space="preserve"> 2020 Jun 18;11(6). doi: 10.1038/s41419-020-2674-y. 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rPr>
          <w:rFonts w:ascii="Arial" w:hAnsi="Arial" w:eastAsia="等线" w:cs="Arial"/>
          <w:sz w:val="24"/>
          <w:szCs w:val="24"/>
        </w:rPr>
      </w:pPr>
      <w:r>
        <w:rPr>
          <w:rFonts w:hint="eastAsia" w:ascii="Arial" w:hAnsi="Arial" w:eastAsia="等线" w:cs="Arial"/>
          <w:sz w:val="24"/>
          <w:szCs w:val="24"/>
        </w:rPr>
        <w:t xml:space="preserve">Zhang J, Li H, Miao L, et al. Silencing of ENO1 inhibits the proliferation, migration and invasion of human breast cancer cells. </w:t>
      </w:r>
      <w:r>
        <w:rPr>
          <w:rFonts w:ascii="Arial" w:hAnsi="Arial" w:eastAsia="等线" w:cs="Arial"/>
          <w:sz w:val="24"/>
          <w:szCs w:val="24"/>
        </w:rPr>
        <w:t>Journal of BUON.</w:t>
      </w:r>
      <w:r>
        <w:rPr>
          <w:rFonts w:hint="eastAsia" w:ascii="Arial" w:hAnsi="Arial" w:eastAsia="等线" w:cs="Arial"/>
          <w:sz w:val="24"/>
          <w:szCs w:val="24"/>
        </w:rPr>
        <w:t xml:space="preserve"> 2020 Mar-Apr;25(2).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rPr>
          <w:rFonts w:ascii="Arial" w:hAnsi="Arial" w:eastAsia="等线" w:cs="Arial"/>
          <w:sz w:val="24"/>
          <w:szCs w:val="24"/>
        </w:rPr>
      </w:pPr>
      <w:r>
        <w:rPr>
          <w:rFonts w:hint="eastAsia" w:ascii="Arial" w:hAnsi="Arial" w:eastAsia="等线" w:cs="Arial"/>
          <w:sz w:val="24"/>
          <w:szCs w:val="24"/>
        </w:rPr>
        <w:t xml:space="preserve">Yuan H, Qin Y, Zeng B, et al. Long noncoding RNA LINC01089 predicts clinical prognosis and inhibits cell proliferation and invasion through the Wnt/β-catenin signaling pathway in breast cancer. </w:t>
      </w:r>
      <w:r>
        <w:rPr>
          <w:rFonts w:ascii="Arial" w:hAnsi="Arial" w:eastAsia="等线" w:cs="Arial"/>
          <w:sz w:val="24"/>
          <w:szCs w:val="24"/>
        </w:rPr>
        <w:t xml:space="preserve">OncoTargets and Therapy. </w:t>
      </w:r>
      <w:r>
        <w:rPr>
          <w:rFonts w:hint="eastAsia" w:ascii="Arial" w:hAnsi="Arial" w:eastAsia="等线" w:cs="Arial"/>
          <w:sz w:val="24"/>
          <w:szCs w:val="24"/>
        </w:rPr>
        <w:t xml:space="preserve"> 2019;12. doi: 10.2147/OTT.S208830</w:t>
      </w:r>
      <w:r>
        <w:rPr>
          <w:rFonts w:ascii="Arial" w:hAnsi="Arial" w:eastAsia="等线" w:cs="Arial"/>
          <w:sz w:val="24"/>
          <w:szCs w:val="24"/>
        </w:rPr>
        <w:t>.</w:t>
      </w:r>
    </w:p>
    <w:p/>
    <w:sectPr>
      <w:pgSz w:w="12240" w:h="15840"/>
      <w:pgMar w:top="1440" w:right="1800" w:bottom="1440" w:left="1800" w:header="720" w:footer="720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7119A70"/>
    <w:multiLevelType w:val="singleLevel"/>
    <w:tmpl w:val="E7119A7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许元基">
    <w15:presenceInfo w15:providerId="WPS Office" w15:userId="356187216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C3556"/>
    <w:rsid w:val="08B7245B"/>
    <w:rsid w:val="09435E4B"/>
    <w:rsid w:val="33976FCF"/>
    <w:rsid w:val="4AE048C1"/>
    <w:rsid w:val="73274314"/>
    <w:rsid w:val="7D487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2020-07-13T14:13:00Z</dcterms:created>
  <dc:creator>心仪的心怡</dc:creator>
  <cp:lastModifiedBy>梦里花落</cp:lastModifiedBy>
  <dcterms:modified xsi:type="dcterms:W3CDTF">2020-07-19T12:09:16Z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