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szCs w:val="21"/>
        </w:rPr>
      </w:pPr>
      <w:r>
        <w:rPr>
          <w:rFonts w:ascii="Times New Roman" w:hAnsi="Times New Roman" w:cs="Times New Roman"/>
          <w:b/>
          <w:bCs/>
          <w:szCs w:val="21"/>
        </w:rPr>
        <w:t xml:space="preserve">Supplementary Figures </w:t>
      </w:r>
    </w:p>
    <w:p>
      <w:pPr>
        <w:rPr>
          <w:rFonts w:ascii="Times New Roman" w:hAnsi="Times New Roman" w:cs="Times New Roman"/>
          <w:b/>
          <w:bCs/>
          <w:szCs w:val="21"/>
        </w:rPr>
      </w:pPr>
    </w:p>
    <w:p>
      <w:pPr>
        <w:rPr>
          <w:rFonts w:ascii="Times New Roman" w:hAnsi="Times New Roman" w:cs="Times New Roman"/>
          <w:b/>
          <w:bCs/>
          <w:szCs w:val="21"/>
        </w:rPr>
      </w:pPr>
      <w:r>
        <w:rPr>
          <w:rFonts w:ascii="Times New Roman" w:hAnsi="Times New Roman" w:cs="Times New Roman"/>
          <w:b/>
          <w:bCs/>
          <w:szCs w:val="21"/>
        </w:rPr>
        <w:drawing>
          <wp:inline distT="0" distB="0" distL="0" distR="0">
            <wp:extent cx="5260340" cy="3574415"/>
            <wp:effectExtent l="0" t="0" r="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0590" cy="3581903"/>
                    </a:xfrm>
                    <a:prstGeom prst="rect">
                      <a:avLst/>
                    </a:prstGeom>
                    <a:noFill/>
                  </pic:spPr>
                </pic:pic>
              </a:graphicData>
            </a:graphic>
          </wp:inline>
        </w:drawing>
      </w:r>
    </w:p>
    <w:p>
      <w:pPr>
        <w:jc w:val="center"/>
        <w:rPr>
          <w:rFonts w:ascii="Times New Roman" w:hAnsi="Times New Roman" w:eastAsia="楷体"/>
          <w:b/>
          <w:bCs/>
          <w:szCs w:val="24"/>
        </w:rPr>
      </w:pPr>
      <w:bookmarkStart w:id="0" w:name="_Hlk50909278"/>
      <w:r>
        <w:rPr>
          <w:rFonts w:ascii="Times New Roman" w:hAnsi="Times New Roman" w:cs="Times New Roman"/>
          <w:b/>
          <w:bCs/>
          <w:szCs w:val="21"/>
        </w:rPr>
        <w:t>Supplementary Figure 1</w:t>
      </w:r>
      <w:bookmarkEnd w:id="0"/>
      <w:r>
        <w:rPr>
          <w:rFonts w:ascii="Times New Roman" w:hAnsi="Times New Roman" w:cs="Times New Roman"/>
          <w:b/>
          <w:bCs/>
          <w:szCs w:val="21"/>
        </w:rPr>
        <w:t xml:space="preserve">. </w:t>
      </w:r>
      <w:r>
        <w:rPr>
          <w:rFonts w:ascii="Times New Roman" w:hAnsi="Times New Roman" w:eastAsia="楷体"/>
          <w:b/>
          <w:bCs/>
          <w:szCs w:val="24"/>
        </w:rPr>
        <w:t xml:space="preserve">Validation of miRNAs expression levels in </w:t>
      </w:r>
      <w:r>
        <w:rPr>
          <w:rFonts w:hint="eastAsia" w:ascii="Times New Roman" w:hAnsi="Times New Roman" w:cs="Times New Roman"/>
          <w:b/>
          <w:bCs/>
          <w:szCs w:val="21"/>
          <w:lang w:val="en-US" w:eastAsia="zh-CN"/>
        </w:rPr>
        <w:t>beast cancer</w:t>
      </w:r>
      <w:r>
        <w:rPr>
          <w:rFonts w:hint="eastAsia" w:ascii="Times New Roman" w:hAnsi="Times New Roman"/>
          <w:b/>
          <w:bCs/>
          <w:i/>
          <w:iCs/>
          <w:szCs w:val="21"/>
          <w:lang w:val="en-US" w:eastAsia="zh-CN"/>
        </w:rPr>
        <w:t xml:space="preserve"> </w:t>
      </w:r>
      <w:r>
        <w:rPr>
          <w:rFonts w:hint="eastAsia" w:ascii="Times New Roman" w:hAnsi="Times New Roman" w:cs="Times New Roman"/>
          <w:b/>
          <w:bCs/>
          <w:i w:val="0"/>
          <w:iCs w:val="0"/>
          <w:szCs w:val="21"/>
          <w:lang w:val="en-US" w:eastAsia="zh-CN"/>
        </w:rPr>
        <w:t>xen</w:t>
      </w:r>
      <w:r>
        <w:rPr>
          <w:rFonts w:hint="eastAsia" w:ascii="Times New Roman" w:hAnsi="Times New Roman" w:cs="Times New Roman"/>
          <w:b/>
          <w:bCs/>
          <w:szCs w:val="21"/>
          <w:lang w:val="en-US" w:eastAsia="zh-CN"/>
        </w:rPr>
        <w:t>ograft mouse</w:t>
      </w:r>
      <w:r>
        <w:rPr>
          <w:rFonts w:ascii="Times New Roman" w:hAnsi="Times New Roman" w:eastAsia="楷体"/>
          <w:b/>
          <w:bCs/>
          <w:szCs w:val="24"/>
        </w:rPr>
        <w:t xml:space="preserve"> serum </w:t>
      </w:r>
      <w:r>
        <w:rPr>
          <w:rFonts w:hint="eastAsia" w:ascii="Times New Roman" w:hAnsi="Times New Roman" w:eastAsia="楷体"/>
          <w:b/>
          <w:bCs/>
          <w:szCs w:val="24"/>
          <w:lang w:val="en-US" w:eastAsia="zh-CN"/>
        </w:rPr>
        <w:t xml:space="preserve">after GBK treatment </w:t>
      </w:r>
      <w:r>
        <w:rPr>
          <w:rFonts w:ascii="Times New Roman" w:hAnsi="Times New Roman" w:eastAsia="楷体"/>
          <w:b/>
          <w:bCs/>
          <w:szCs w:val="24"/>
        </w:rPr>
        <w:t>by RT-qPCR analysis</w:t>
      </w:r>
    </w:p>
    <w:p>
      <w:pPr>
        <w:rPr>
          <w:rFonts w:hint="eastAsia" w:ascii="Times New Roman" w:hAnsi="Times New Roman" w:eastAsia="楷体"/>
          <w:szCs w:val="24"/>
          <w:lang w:val="en-US" w:eastAsia="zh-CN"/>
        </w:rPr>
      </w:pPr>
      <w:r>
        <w:rPr>
          <w:rFonts w:ascii="Times New Roman" w:hAnsi="Times New Roman" w:eastAsia="楷体"/>
          <w:szCs w:val="24"/>
        </w:rPr>
        <w:t>The mice in the experimental group were administered with GBK, and other feeding conditions were consistent with the control group. Serum samples were collected and miRNA expression was detected by RT-qPCR. Expression of (A) miR-22, (B) miR-31, (C) miR-411, (D) miR-421, (E) miR-21, (F) miR-145, (G) miR-150, (H) miR-182, (I) miR-217</w:t>
      </w:r>
      <w:r>
        <w:rPr>
          <w:rFonts w:hint="eastAsia" w:ascii="Times New Roman" w:hAnsi="Times New Roman" w:eastAsia="楷体"/>
          <w:szCs w:val="24"/>
          <w:lang w:val="en-US" w:eastAsia="zh-CN"/>
        </w:rPr>
        <w:t xml:space="preserve"> </w:t>
      </w:r>
      <w:r>
        <w:rPr>
          <w:rFonts w:ascii="Times New Roman" w:hAnsi="Times New Roman" w:eastAsia="楷体"/>
          <w:szCs w:val="24"/>
        </w:rPr>
        <w:t>was detected by RT-qPCR.</w:t>
      </w:r>
      <w:r>
        <w:rPr>
          <w:rFonts w:hint="eastAsia" w:ascii="Times New Roman" w:hAnsi="Times New Roman" w:eastAsia="楷体"/>
          <w:szCs w:val="24"/>
          <w:lang w:val="en-US" w:eastAsia="zh-CN"/>
        </w:rPr>
        <w:t xml:space="preserve"> </w:t>
      </w:r>
      <w:r>
        <w:rPr>
          <w:rFonts w:ascii="Times New Roman" w:hAnsi="Times New Roman" w:eastAsia="楷体"/>
          <w:szCs w:val="24"/>
        </w:rPr>
        <w:t xml:space="preserve">Student's t test, * p&lt;0.05, ** p&lt;0.01, *** p&lt;0.001. </w:t>
      </w:r>
    </w:p>
    <w:p>
      <w:pPr>
        <w:rPr>
          <w:rFonts w:ascii="Times New Roman" w:hAnsi="Times New Roman" w:eastAsia="楷体"/>
          <w:szCs w:val="24"/>
        </w:rPr>
      </w:pPr>
    </w:p>
    <w:p>
      <w:pPr>
        <w:rPr>
          <w:rFonts w:ascii="Times New Roman" w:hAnsi="Times New Roman" w:eastAsia="楷体"/>
          <w:szCs w:val="24"/>
        </w:rPr>
      </w:pPr>
    </w:p>
    <w:p>
      <w:pPr>
        <w:rPr>
          <w:rFonts w:ascii="Times New Roman" w:hAnsi="Times New Roman" w:cs="Times New Roman"/>
          <w:b/>
          <w:bCs/>
          <w:szCs w:val="21"/>
        </w:rPr>
      </w:pPr>
      <w:r>
        <w:rPr>
          <w:rFonts w:ascii="Times New Roman" w:hAnsi="Times New Roman" w:eastAsia="楷体"/>
          <w:szCs w:val="24"/>
        </w:rPr>
        <w:t xml:space="preserve"> </w:t>
      </w:r>
      <w:r>
        <w:rPr>
          <w:rFonts w:ascii="Times New Roman" w:hAnsi="Times New Roman" w:eastAsia="楷体"/>
          <w:szCs w:val="24"/>
        </w:rPr>
        <w:drawing>
          <wp:anchor distT="0" distB="0" distL="114300" distR="114300" simplePos="0" relativeHeight="251664384" behindDoc="0" locked="0" layoutInCell="1" allowOverlap="1">
            <wp:simplePos x="0" y="0"/>
            <wp:positionH relativeFrom="column">
              <wp:posOffset>6805295</wp:posOffset>
            </wp:positionH>
            <wp:positionV relativeFrom="paragraph">
              <wp:posOffset>174625</wp:posOffset>
            </wp:positionV>
            <wp:extent cx="3888105" cy="3672840"/>
            <wp:effectExtent l="0" t="0" r="0" b="3810"/>
            <wp:wrapNone/>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3891070" cy="3675577"/>
                    </a:xfrm>
                    <a:prstGeom prst="rect">
                      <a:avLst/>
                    </a:prstGeom>
                  </pic:spPr>
                </pic:pic>
              </a:graphicData>
            </a:graphic>
          </wp:anchor>
        </w:drawing>
      </w:r>
    </w:p>
    <w:p>
      <w:pPr>
        <w:jc w:val="center"/>
        <w:rPr>
          <w:rFonts w:ascii="Times New Roman" w:hAnsi="Times New Roman" w:cs="Times New Roman"/>
          <w:szCs w:val="21"/>
        </w:rPr>
      </w:pPr>
      <w:r>
        <w:rPr>
          <w:rFonts w:ascii="Times New Roman" w:hAnsi="Times New Roman" w:cs="Times New Roman"/>
          <w:szCs w:val="21"/>
        </w:rPr>
        <w:drawing>
          <wp:inline distT="0" distB="0" distL="0" distR="0">
            <wp:extent cx="4031615" cy="1986280"/>
            <wp:effectExtent l="0" t="0" r="6985" b="0"/>
            <wp:docPr id="1" name="图片 9" descr="C:\Users\Aurora\AppData\Local\Microsoft\Windows\INetCacheContent.Word\QQ截图201903311707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C:\Users\Aurora\AppData\Local\Microsoft\Windows\INetCacheContent.Word\QQ截图2019033117070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4119318" cy="2029809"/>
                    </a:xfrm>
                    <a:prstGeom prst="rect">
                      <a:avLst/>
                    </a:prstGeom>
                    <a:noFill/>
                    <a:ln>
                      <a:noFill/>
                    </a:ln>
                  </pic:spPr>
                </pic:pic>
              </a:graphicData>
            </a:graphic>
          </wp:inline>
        </w:drawing>
      </w:r>
    </w:p>
    <w:p>
      <w:pPr>
        <w:rPr>
          <w:rFonts w:ascii="Times New Roman" w:hAnsi="Times New Roman" w:eastAsia="Times New Roman" w:cs="Times New Roman"/>
          <w:b/>
          <w:bCs/>
          <w:color w:val="131413"/>
          <w:w w:val="105"/>
          <w:kern w:val="0"/>
          <w:szCs w:val="21"/>
          <w:lang w:eastAsia="en-US" w:bidi="en-US"/>
        </w:rPr>
      </w:pPr>
      <w:r>
        <w:rPr>
          <w:rFonts w:ascii="Times New Roman" w:hAnsi="Times New Roman" w:cs="Times New Roman"/>
          <w:b/>
          <w:bCs/>
          <w:szCs w:val="21"/>
        </w:rPr>
        <w:t xml:space="preserve">Supplementary Figure </w:t>
      </w:r>
      <w:r>
        <w:rPr>
          <w:rFonts w:hint="eastAsia" w:ascii="Times New Roman" w:hAnsi="Times New Roman" w:cs="Times New Roman"/>
          <w:b/>
          <w:bCs/>
          <w:szCs w:val="21"/>
          <w:lang w:val="en-US" w:eastAsia="zh-CN"/>
        </w:rPr>
        <w:t>2</w:t>
      </w:r>
      <w:r>
        <w:rPr>
          <w:rFonts w:ascii="Times New Roman" w:hAnsi="Times New Roman" w:eastAsia="Times New Roman" w:cs="Times New Roman"/>
          <w:b/>
          <w:bCs/>
          <w:color w:val="131413"/>
          <w:w w:val="105"/>
          <w:kern w:val="0"/>
          <w:szCs w:val="21"/>
          <w:lang w:eastAsia="en-US" w:bidi="en-US"/>
        </w:rPr>
        <w:t>. High-pressure liquid chromatography to verify GBK purity</w:t>
      </w:r>
    </w:p>
    <w:p>
      <w:pPr>
        <w:rPr>
          <w:rFonts w:ascii="Times New Roman" w:hAnsi="Times New Roman" w:cs="Times New Roman"/>
          <w:szCs w:val="21"/>
        </w:rPr>
      </w:pPr>
    </w:p>
    <w:p>
      <w:pPr>
        <w:rPr>
          <w:rFonts w:ascii="Times New Roman" w:hAnsi="Times New Roman" w:cs="Times New Roman"/>
          <w:szCs w:val="21"/>
        </w:rPr>
      </w:pPr>
    </w:p>
    <w:p>
      <w:pPr>
        <w:rPr>
          <w:rFonts w:ascii="Times New Roman" w:hAnsi="Times New Roman" w:cs="Times New Roman"/>
          <w:b/>
          <w:bCs/>
          <w:szCs w:val="21"/>
        </w:rPr>
      </w:pPr>
      <w:r>
        <w:rPr>
          <w:rFonts w:ascii="Times New Roman" w:hAnsi="Times New Roman" w:cs="Times New Roman"/>
          <w:b/>
          <w:bCs/>
          <w:szCs w:val="21"/>
        </w:rPr>
        <w:t>Supplementary tables</w:t>
      </w:r>
    </w:p>
    <w:p>
      <w:pPr>
        <w:spacing w:line="264" w:lineRule="auto"/>
        <w:rPr>
          <w:rFonts w:ascii="Times New Roman" w:hAnsi="Times New Roman" w:eastAsia="Times New Roman" w:cs="Times New Roman"/>
          <w:i/>
          <w:iCs/>
          <w:color w:val="131413"/>
          <w:w w:val="105"/>
          <w:kern w:val="0"/>
          <w:szCs w:val="21"/>
          <w:lang w:eastAsia="en-US" w:bidi="en-US"/>
        </w:rPr>
      </w:pPr>
    </w:p>
    <w:p>
      <w:pPr>
        <w:jc w:val="center"/>
        <w:rPr>
          <w:rFonts w:ascii="Times New Roman" w:hAnsi="Times New Roman" w:eastAsia="Times New Roman" w:cs="Times New Roman"/>
          <w:b/>
          <w:bCs/>
          <w:color w:val="131413"/>
          <w:w w:val="105"/>
          <w:kern w:val="0"/>
          <w:szCs w:val="21"/>
          <w:lang w:eastAsia="en-US" w:bidi="en-US"/>
        </w:rPr>
      </w:pPr>
      <w:r>
        <w:rPr>
          <w:rFonts w:ascii="Times New Roman" w:hAnsi="Times New Roman" w:cs="Times New Roman"/>
          <w:b/>
          <w:bCs/>
          <w:szCs w:val="21"/>
        </w:rPr>
        <w:t xml:space="preserve">Supplementary table </w:t>
      </w:r>
      <w:r>
        <w:rPr>
          <w:rFonts w:hint="eastAsia" w:ascii="Times New Roman" w:hAnsi="Times New Roman" w:cs="Times New Roman"/>
          <w:b/>
          <w:bCs/>
          <w:szCs w:val="21"/>
          <w:lang w:val="en-US" w:eastAsia="zh-CN"/>
        </w:rPr>
        <w:t>1</w:t>
      </w:r>
      <w:r>
        <w:rPr>
          <w:rFonts w:ascii="Times New Roman" w:hAnsi="Times New Roman" w:cs="Times New Roman"/>
          <w:b/>
          <w:bCs/>
          <w:szCs w:val="21"/>
        </w:rPr>
        <w:t xml:space="preserve">. </w:t>
      </w:r>
      <w:r>
        <w:rPr>
          <w:rFonts w:ascii="Times New Roman" w:hAnsi="Times New Roman" w:eastAsia="Times New Roman" w:cs="Times New Roman"/>
          <w:b/>
          <w:bCs/>
          <w:color w:val="131413"/>
          <w:w w:val="105"/>
          <w:kern w:val="0"/>
          <w:szCs w:val="21"/>
          <w:lang w:eastAsia="en-US" w:bidi="en-US"/>
        </w:rPr>
        <w:t>miRNAs Primer list Ⅰ</w:t>
      </w:r>
    </w:p>
    <w:tbl>
      <w:tblPr>
        <w:tblStyle w:val="6"/>
        <w:tblW w:w="9781"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80"/>
        <w:gridCol w:w="7801"/>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1980" w:type="dxa"/>
            <w:tcBorders>
              <w:top w:val="single" w:color="auto" w:sz="12" w:space="0"/>
              <w:bottom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Primer Name</w:t>
            </w:r>
          </w:p>
        </w:tc>
        <w:tc>
          <w:tcPr>
            <w:tcW w:w="7801" w:type="dxa"/>
            <w:tcBorders>
              <w:top w:val="single" w:color="auto" w:sz="12" w:space="0"/>
              <w:bottom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Primer sequence (5'-3')</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2" w:hRule="atLeast"/>
        </w:trPr>
        <w:tc>
          <w:tcPr>
            <w:tcW w:w="1980" w:type="dxa"/>
            <w:tcBorders>
              <w:top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mmu-miR-21a</w:t>
            </w:r>
          </w:p>
        </w:tc>
        <w:tc>
          <w:tcPr>
            <w:tcW w:w="7801" w:type="dxa"/>
            <w:tcBorders>
              <w:top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CCGTAGCTTATCAGACTGATGTTG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mmu-miR-22</w:t>
            </w:r>
          </w:p>
        </w:tc>
        <w:tc>
          <w:tcPr>
            <w:tcW w:w="7801"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GCGAAGCTGCCAGTTGAAGAACT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mmu-miR-31</w:t>
            </w:r>
          </w:p>
        </w:tc>
        <w:tc>
          <w:tcPr>
            <w:tcW w:w="7801"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GAGGCAAGATGCTGGCATAGCTGAA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mmu-miR-145a</w:t>
            </w:r>
          </w:p>
        </w:tc>
        <w:tc>
          <w:tcPr>
            <w:tcW w:w="7801" w:type="dxa"/>
            <w:tcBorders>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CGTCCAGTTTTCCCAGGAATCCC</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top w:val="nil"/>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mmu-miR-150</w:t>
            </w:r>
          </w:p>
        </w:tc>
        <w:tc>
          <w:tcPr>
            <w:tcW w:w="7801" w:type="dxa"/>
            <w:tcBorders>
              <w:top w:val="nil"/>
              <w:bottom w:val="nil"/>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GTCTCCCAACCCTTGTACCAGTG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top w:val="nil"/>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mmu-miR-182</w:t>
            </w:r>
          </w:p>
        </w:tc>
        <w:tc>
          <w:tcPr>
            <w:tcW w:w="7801" w:type="dxa"/>
            <w:tcBorders>
              <w:top w:val="nil"/>
              <w:bottom w:val="nil"/>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GCTTTGGCAATGGTAGAACTCACAC</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top w:val="nil"/>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mmu-miR-217</w:t>
            </w:r>
          </w:p>
        </w:tc>
        <w:tc>
          <w:tcPr>
            <w:tcW w:w="7801" w:type="dxa"/>
            <w:tcBorders>
              <w:top w:val="nil"/>
              <w:bottom w:val="nil"/>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CGTACTGCATCAGGAACTGACTGGA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top w:val="nil"/>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mmu-miR-411</w:t>
            </w:r>
          </w:p>
        </w:tc>
        <w:tc>
          <w:tcPr>
            <w:tcW w:w="7801" w:type="dxa"/>
            <w:tcBorders>
              <w:top w:val="nil"/>
              <w:bottom w:val="nil"/>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CGTAGTAGACCGTATAGCGTA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top w:val="nil"/>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mmu-miR-421</w:t>
            </w:r>
          </w:p>
        </w:tc>
        <w:tc>
          <w:tcPr>
            <w:tcW w:w="7801" w:type="dxa"/>
            <w:tcBorders>
              <w:top w:val="nil"/>
              <w:bottom w:val="nil"/>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GCATCAACAGACATTAATTGGGCG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top w:val="nil"/>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has-mir-21</w:t>
            </w:r>
          </w:p>
        </w:tc>
        <w:tc>
          <w:tcPr>
            <w:tcW w:w="7801" w:type="dxa"/>
            <w:tcBorders>
              <w:top w:val="nil"/>
              <w:bottom w:val="nil"/>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CCGTAGCTTATCAGACTGATGTTG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top w:val="nil"/>
              <w:bottom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has-mir-22</w:t>
            </w:r>
          </w:p>
        </w:tc>
        <w:tc>
          <w:tcPr>
            <w:tcW w:w="7801" w:type="dxa"/>
            <w:tcBorders>
              <w:top w:val="nil"/>
              <w:bottom w:val="nil"/>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GCGAAGCTGCCAGTTGAAGAACT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Borders>
              <w:top w:val="nil"/>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has-mir-31</w:t>
            </w:r>
          </w:p>
        </w:tc>
        <w:tc>
          <w:tcPr>
            <w:tcW w:w="7801" w:type="dxa"/>
            <w:tcBorders>
              <w:top w:val="nil"/>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GAGGCAAGATGCTGGCATAGCTGAA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has-mir-145</w:t>
            </w:r>
          </w:p>
        </w:tc>
        <w:tc>
          <w:tcPr>
            <w:tcW w:w="7801"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CGTCCAGTTTTCCCAGGAATCCC</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has-mir-150</w:t>
            </w:r>
          </w:p>
        </w:tc>
        <w:tc>
          <w:tcPr>
            <w:tcW w:w="7801"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GTCTCCCAACCCTTGTACCAGTG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has-mir-182</w:t>
            </w:r>
          </w:p>
        </w:tc>
        <w:tc>
          <w:tcPr>
            <w:tcW w:w="7801"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GCTTTGGCAATGGTAGAACTCACAC</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has-mir-217</w:t>
            </w:r>
          </w:p>
        </w:tc>
        <w:tc>
          <w:tcPr>
            <w:tcW w:w="7801"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CGTACTGCATCAGGAACTGACTGGA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has-mir-411</w:t>
            </w:r>
          </w:p>
        </w:tc>
        <w:tc>
          <w:tcPr>
            <w:tcW w:w="7801"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CGTAGTAGACCGTATAGCGTA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32" w:hRule="atLeast"/>
        </w:trPr>
        <w:tc>
          <w:tcPr>
            <w:tcW w:w="1980"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has-mir-421</w:t>
            </w:r>
          </w:p>
        </w:tc>
        <w:tc>
          <w:tcPr>
            <w:tcW w:w="7801"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GCATCAACAGACATTAATTGGGCG</w:t>
            </w:r>
          </w:p>
        </w:tc>
      </w:tr>
    </w:tbl>
    <w:p>
      <w:pPr>
        <w:spacing w:line="264" w:lineRule="auto"/>
        <w:rPr>
          <w:rFonts w:ascii="Times New Roman" w:hAnsi="Times New Roman" w:eastAsia="Times New Roman" w:cs="Times New Roman"/>
          <w:i/>
          <w:iCs/>
          <w:color w:val="131413"/>
          <w:w w:val="105"/>
          <w:kern w:val="0"/>
          <w:szCs w:val="21"/>
          <w:lang w:eastAsia="en-US" w:bidi="en-US"/>
        </w:rPr>
      </w:pPr>
      <w:r>
        <w:rPr>
          <w:rFonts w:ascii="Times New Roman" w:hAnsi="Times New Roman" w:eastAsia="Times New Roman" w:cs="Times New Roman"/>
          <w:i/>
          <w:iCs/>
          <w:color w:val="131413"/>
          <w:w w:val="105"/>
          <w:kern w:val="0"/>
          <w:szCs w:val="21"/>
          <w:lang w:eastAsia="en-US" w:bidi="en-US"/>
        </w:rPr>
        <w:t>Note: the internal reference gene miR- 39 (miRNeasy® Serum/ Plasma Spike-In Control) and the 3' microRNA Primer universal downstream primer (Mir-XTM miRNA First-Strand Synthesis Kit) are provided by the corresponding kit.</w:t>
      </w:r>
    </w:p>
    <w:p>
      <w:pPr>
        <w:jc w:val="center"/>
        <w:rPr>
          <w:rFonts w:ascii="Times New Roman" w:hAnsi="Times New Roman" w:eastAsia="Times New Roman" w:cs="Times New Roman"/>
          <w:color w:val="131413"/>
          <w:w w:val="105"/>
          <w:kern w:val="0"/>
          <w:szCs w:val="21"/>
          <w:lang w:eastAsia="en-US" w:bidi="en-US"/>
        </w:rPr>
      </w:pPr>
    </w:p>
    <w:p>
      <w:pPr>
        <w:jc w:val="center"/>
        <w:rPr>
          <w:rFonts w:ascii="Times New Roman" w:hAnsi="Times New Roman" w:eastAsia="Times New Roman" w:cs="Times New Roman"/>
          <w:color w:val="131413"/>
          <w:w w:val="105"/>
          <w:kern w:val="0"/>
          <w:szCs w:val="21"/>
          <w:lang w:eastAsia="en-US" w:bidi="en-US"/>
        </w:rPr>
      </w:pPr>
    </w:p>
    <w:p>
      <w:pPr>
        <w:jc w:val="center"/>
        <w:rPr>
          <w:rFonts w:ascii="Times New Roman" w:hAnsi="Times New Roman" w:eastAsia="Times New Roman" w:cs="Times New Roman"/>
          <w:color w:val="131413"/>
          <w:w w:val="105"/>
          <w:kern w:val="0"/>
          <w:szCs w:val="21"/>
          <w:lang w:eastAsia="en-US" w:bidi="en-US"/>
        </w:rPr>
      </w:pPr>
    </w:p>
    <w:p>
      <w:pPr>
        <w:rPr>
          <w:rFonts w:ascii="Times New Roman" w:hAnsi="Times New Roman" w:cs="Times New Roman"/>
          <w:szCs w:val="21"/>
        </w:rPr>
      </w:pPr>
    </w:p>
    <w:p>
      <w:pPr>
        <w:jc w:val="center"/>
        <w:rPr>
          <w:rFonts w:ascii="Times New Roman" w:hAnsi="Times New Roman" w:eastAsia="Times New Roman" w:cs="Times New Roman"/>
          <w:b/>
          <w:bCs/>
          <w:color w:val="131413"/>
          <w:w w:val="105"/>
          <w:kern w:val="0"/>
          <w:szCs w:val="21"/>
          <w:lang w:eastAsia="en-US" w:bidi="en-US"/>
        </w:rPr>
      </w:pPr>
      <w:r>
        <w:rPr>
          <w:rFonts w:ascii="Times New Roman" w:hAnsi="Times New Roman" w:cs="Times New Roman"/>
          <w:b/>
          <w:bCs/>
          <w:szCs w:val="21"/>
        </w:rPr>
        <w:t>Supplementary table</w:t>
      </w:r>
      <w:r>
        <w:rPr>
          <w:rFonts w:hint="eastAsia" w:ascii="Times New Roman" w:hAnsi="Times New Roman" w:cs="Times New Roman"/>
          <w:b/>
          <w:bCs/>
          <w:szCs w:val="21"/>
          <w:lang w:val="en-US" w:eastAsia="zh-CN"/>
        </w:rPr>
        <w:t xml:space="preserve"> 2</w:t>
      </w:r>
      <w:r>
        <w:rPr>
          <w:rFonts w:ascii="Times New Roman" w:hAnsi="Times New Roman" w:cs="Times New Roman"/>
          <w:b/>
          <w:bCs/>
          <w:szCs w:val="21"/>
        </w:rPr>
        <w:t xml:space="preserve">. </w:t>
      </w:r>
      <w:r>
        <w:rPr>
          <w:rFonts w:ascii="Times New Roman" w:hAnsi="Times New Roman" w:eastAsia="Times New Roman" w:cs="Times New Roman"/>
          <w:b/>
          <w:bCs/>
          <w:color w:val="131413"/>
          <w:w w:val="105"/>
          <w:kern w:val="0"/>
          <w:szCs w:val="21"/>
          <w:lang w:eastAsia="en-US" w:bidi="en-US"/>
        </w:rPr>
        <w:t>Primer listⅡ</w:t>
      </w:r>
    </w:p>
    <w:tbl>
      <w:tblPr>
        <w:tblStyle w:val="6"/>
        <w:tblW w:w="9639"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38"/>
        <w:gridCol w:w="3544"/>
        <w:gridCol w:w="4257"/>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Borders>
              <w:top w:val="single" w:color="auto" w:sz="12" w:space="0"/>
              <w:bottom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Gene name</w:t>
            </w:r>
          </w:p>
        </w:tc>
        <w:tc>
          <w:tcPr>
            <w:tcW w:w="3544" w:type="dxa"/>
            <w:tcBorders>
              <w:top w:val="single" w:color="auto" w:sz="12" w:space="0"/>
              <w:bottom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Forward</w:t>
            </w:r>
            <w:r>
              <w:rPr>
                <w:rFonts w:hint="eastAsia" w:ascii="Times New Roman" w:hAnsi="Times New Roman" w:eastAsia="宋体" w:cs="Times New Roman"/>
                <w:kern w:val="0"/>
                <w:sz w:val="18"/>
                <w:szCs w:val="18"/>
                <w:lang w:val="en-US" w:eastAsia="zh-CN" w:bidi="en-US"/>
              </w:rPr>
              <w:t xml:space="preserve"> </w:t>
            </w:r>
            <w:r>
              <w:rPr>
                <w:rFonts w:ascii="Times New Roman" w:hAnsi="Times New Roman" w:eastAsia="Arial Narrow" w:cs="Times New Roman"/>
                <w:kern w:val="0"/>
                <w:sz w:val="18"/>
                <w:szCs w:val="18"/>
                <w:lang w:eastAsia="en-US" w:bidi="en-US"/>
              </w:rPr>
              <w:t>primer</w:t>
            </w:r>
            <w:r>
              <w:rPr>
                <w:rFonts w:hint="eastAsia" w:ascii="Times New Roman" w:hAnsi="Times New Roman" w:eastAsia="宋体" w:cs="Times New Roman"/>
                <w:kern w:val="0"/>
                <w:sz w:val="18"/>
                <w:szCs w:val="18"/>
                <w:lang w:val="en-US" w:eastAsia="zh-CN" w:bidi="en-US"/>
              </w:rPr>
              <w:t xml:space="preserve"> </w:t>
            </w:r>
            <w:r>
              <w:rPr>
                <w:rFonts w:ascii="Times New Roman" w:hAnsi="Times New Roman" w:eastAsia="Arial Narrow" w:cs="Times New Roman"/>
                <w:kern w:val="0"/>
                <w:sz w:val="18"/>
                <w:szCs w:val="18"/>
                <w:lang w:eastAsia="en-US" w:bidi="en-US"/>
              </w:rPr>
              <w:t>sequence</w:t>
            </w:r>
          </w:p>
        </w:tc>
        <w:tc>
          <w:tcPr>
            <w:tcW w:w="4257" w:type="dxa"/>
            <w:tcBorders>
              <w:top w:val="single" w:color="auto" w:sz="12" w:space="0"/>
              <w:bottom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Reverse primer sequence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Borders>
              <w:top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RhoA</w:t>
            </w:r>
          </w:p>
        </w:tc>
        <w:tc>
          <w:tcPr>
            <w:tcW w:w="3544" w:type="dxa"/>
            <w:tcBorders>
              <w:top w:val="single" w:color="auto" w:sz="6" w:space="0"/>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GGACTTAAGCGTCTGGCTC</w:t>
            </w:r>
          </w:p>
        </w:tc>
        <w:tc>
          <w:tcPr>
            <w:tcW w:w="4257" w:type="dxa"/>
            <w:tcBorders>
              <w:top w:val="single" w:color="auto" w:sz="6" w:space="0"/>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AGTGCCACCCATGAGAACTG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WAVE3</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CCGCGGACCGTTTTAGTT</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GACGCTCCATGGTACACACT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Gα13</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AGGGAACTTTTTGCCCGAGA</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ACCCTCATACCTGACCGTGA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Ubc13</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AGGCCTTGTTAAGTGCTCCC</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GCAAAATCCACCTCTTGCCAT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ITGA5</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GGCTTCAACTTAGACGCGGA</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GGCCGGTAAAACTCCACTGA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RDX</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ACAGTTGGTTTGCGTGAGGT</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TGTTCCAATACACGCTGGGG</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SATB2</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ATCGGAAACCGAGGACAACC</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GTGTCTTCTTCTGGTGCGGA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PKC</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CCATGTCGCCATTTCTTCGG</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GCCCGTTCTCTGATTCGACA</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RHOBTB1</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CGGCTTCAGGGTAAGTCCAG</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CCTGCCATATGCAAAGCGTC</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183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β-actin</w:t>
            </w:r>
          </w:p>
        </w:tc>
        <w:tc>
          <w:tcPr>
            <w:tcW w:w="3544"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TTAGTTGCGTTACACCCTTTC</w:t>
            </w:r>
          </w:p>
        </w:tc>
        <w:tc>
          <w:tcPr>
            <w:tcW w:w="4257" w:type="dxa"/>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ACCTTCACCGTTCCAGTTT</w:t>
            </w:r>
          </w:p>
        </w:tc>
      </w:tr>
    </w:tbl>
    <w:p>
      <w:pPr>
        <w:jc w:val="center"/>
        <w:rPr>
          <w:rFonts w:ascii="Times New Roman" w:hAnsi="Times New Roman" w:cs="Times New Roman"/>
          <w:szCs w:val="21"/>
        </w:rPr>
      </w:pPr>
    </w:p>
    <w:p>
      <w:pPr>
        <w:jc w:val="center"/>
        <w:rPr>
          <w:rFonts w:ascii="Times New Roman" w:hAnsi="Times New Roman" w:cs="Times New Roman"/>
          <w:szCs w:val="21"/>
        </w:rPr>
      </w:pPr>
    </w:p>
    <w:p>
      <w:pPr>
        <w:jc w:val="center"/>
        <w:rPr>
          <w:rFonts w:hint="default" w:ascii="Times New Roman" w:hAnsi="Times New Roman" w:eastAsia="宋体" w:cs="Times New Roman"/>
          <w:b/>
          <w:bCs/>
          <w:color w:val="131413"/>
          <w:w w:val="105"/>
          <w:kern w:val="0"/>
          <w:szCs w:val="21"/>
          <w:lang w:val="en-US" w:eastAsia="zh-CN" w:bidi="en-US"/>
        </w:rPr>
      </w:pPr>
      <w:r>
        <w:rPr>
          <w:rFonts w:ascii="Times New Roman" w:hAnsi="Times New Roman" w:cs="Times New Roman"/>
          <w:b/>
          <w:bCs/>
          <w:szCs w:val="21"/>
        </w:rPr>
        <w:t>Supplementary table</w:t>
      </w:r>
      <w:r>
        <w:rPr>
          <w:rFonts w:hint="eastAsia" w:ascii="Times New Roman" w:hAnsi="Times New Roman" w:cs="Times New Roman"/>
          <w:b/>
          <w:bCs/>
          <w:szCs w:val="21"/>
          <w:lang w:val="en-US" w:eastAsia="zh-CN"/>
        </w:rPr>
        <w:t xml:space="preserve"> 3</w:t>
      </w:r>
      <w:r>
        <w:rPr>
          <w:rFonts w:ascii="Times New Roman" w:hAnsi="Times New Roman" w:cs="Times New Roman"/>
          <w:b/>
          <w:bCs/>
          <w:szCs w:val="21"/>
        </w:rPr>
        <w:t xml:space="preserve">. </w:t>
      </w:r>
      <w:r>
        <w:rPr>
          <w:rFonts w:ascii="Times New Roman" w:hAnsi="Times New Roman" w:eastAsia="Times New Roman" w:cs="Times New Roman"/>
          <w:b/>
          <w:bCs/>
          <w:color w:val="131413"/>
          <w:w w:val="105"/>
          <w:kern w:val="0"/>
          <w:szCs w:val="21"/>
          <w:lang w:eastAsia="en-US" w:bidi="en-US"/>
        </w:rPr>
        <w:t>Primer list</w:t>
      </w:r>
      <w:r>
        <w:rPr>
          <w:rFonts w:hint="eastAsia" w:ascii="Times New Roman" w:hAnsi="Times New Roman" w:eastAsia="宋体" w:cs="Times New Roman"/>
          <w:b/>
          <w:bCs/>
          <w:color w:val="131413"/>
          <w:w w:val="105"/>
          <w:kern w:val="0"/>
          <w:szCs w:val="21"/>
          <w:lang w:val="en-US" w:eastAsia="zh-CN" w:bidi="en-US"/>
        </w:rPr>
        <w:t xml:space="preserve"> III</w:t>
      </w:r>
    </w:p>
    <w:tbl>
      <w:tblPr>
        <w:tblStyle w:val="6"/>
        <w:tblW w:w="9497"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73"/>
        <w:gridCol w:w="3616"/>
        <w:gridCol w:w="360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73" w:type="dxa"/>
            <w:tcBorders>
              <w:top w:val="single" w:color="auto" w:sz="12" w:space="0"/>
              <w:bottom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Gene name</w:t>
            </w:r>
          </w:p>
        </w:tc>
        <w:tc>
          <w:tcPr>
            <w:tcW w:w="3616" w:type="dxa"/>
            <w:tcBorders>
              <w:top w:val="single" w:color="auto" w:sz="12" w:space="0"/>
              <w:bottom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Forward</w:t>
            </w:r>
            <w:r>
              <w:rPr>
                <w:rFonts w:hint="eastAsia" w:ascii="Times New Roman" w:hAnsi="Times New Roman" w:eastAsia="宋体" w:cs="Times New Roman"/>
                <w:kern w:val="0"/>
                <w:sz w:val="18"/>
                <w:szCs w:val="18"/>
                <w:lang w:val="en-US" w:eastAsia="zh-CN" w:bidi="en-US"/>
              </w:rPr>
              <w:t xml:space="preserve"> </w:t>
            </w:r>
            <w:r>
              <w:rPr>
                <w:rFonts w:ascii="Times New Roman" w:hAnsi="Times New Roman" w:eastAsia="Arial Narrow" w:cs="Times New Roman"/>
                <w:kern w:val="0"/>
                <w:sz w:val="18"/>
                <w:szCs w:val="18"/>
                <w:lang w:eastAsia="en-US" w:bidi="en-US"/>
              </w:rPr>
              <w:t>primer</w:t>
            </w:r>
            <w:r>
              <w:rPr>
                <w:rFonts w:hint="eastAsia" w:ascii="Times New Roman" w:hAnsi="Times New Roman" w:eastAsia="宋体" w:cs="Times New Roman"/>
                <w:kern w:val="0"/>
                <w:sz w:val="18"/>
                <w:szCs w:val="18"/>
                <w:lang w:val="en-US" w:eastAsia="zh-CN" w:bidi="en-US"/>
              </w:rPr>
              <w:t xml:space="preserve"> </w:t>
            </w:r>
            <w:bookmarkStart w:id="1" w:name="_GoBack"/>
            <w:bookmarkEnd w:id="1"/>
            <w:r>
              <w:rPr>
                <w:rFonts w:ascii="Times New Roman" w:hAnsi="Times New Roman" w:eastAsia="Arial Narrow" w:cs="Times New Roman"/>
                <w:kern w:val="0"/>
                <w:sz w:val="18"/>
                <w:szCs w:val="18"/>
                <w:lang w:eastAsia="en-US" w:bidi="en-US"/>
              </w:rPr>
              <w:t>sequence</w:t>
            </w:r>
          </w:p>
        </w:tc>
        <w:tc>
          <w:tcPr>
            <w:tcW w:w="3608" w:type="dxa"/>
            <w:tcBorders>
              <w:top w:val="single" w:color="auto" w:sz="12" w:space="0"/>
              <w:bottom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Reverse primer sequence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73" w:type="dxa"/>
            <w:tcBorders>
              <w:top w:val="single" w:color="auto" w:sz="6" w:space="0"/>
            </w:tcBorders>
          </w:tcPr>
          <w:p>
            <w:pPr>
              <w:spacing w:line="360" w:lineRule="auto"/>
              <w:ind w:left="485"/>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GAPDH</w:t>
            </w:r>
          </w:p>
        </w:tc>
        <w:tc>
          <w:tcPr>
            <w:tcW w:w="3616" w:type="dxa"/>
            <w:tcBorders>
              <w:top w:val="single" w:color="auto" w:sz="6" w:space="0"/>
            </w:tcBorders>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TGAAGGTCGGAGTCAACGATTTGGT</w:t>
            </w:r>
          </w:p>
        </w:tc>
        <w:tc>
          <w:tcPr>
            <w:tcW w:w="3608" w:type="dxa"/>
            <w:tcBorders>
              <w:top w:val="single" w:color="auto" w:sz="6" w:space="0"/>
            </w:tcBorders>
          </w:tcPr>
          <w:p>
            <w:pPr>
              <w:widowControl/>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CATGTGGGCCATGAGGTCCACCAC</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c>
          <w:tcPr>
            <w:tcW w:w="2273"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LOC554202 Ex1</w:t>
            </w:r>
          </w:p>
        </w:tc>
        <w:tc>
          <w:tcPr>
            <w:tcW w:w="3616"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CAGAGCTGGGAGGCGGTGTTC</w:t>
            </w:r>
          </w:p>
        </w:tc>
        <w:tc>
          <w:tcPr>
            <w:tcW w:w="360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c>
          <w:tcPr>
            <w:tcW w:w="2273"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LOC554202 Ex4</w:t>
            </w:r>
          </w:p>
        </w:tc>
        <w:tc>
          <w:tcPr>
            <w:tcW w:w="3616"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w:t>
            </w:r>
          </w:p>
        </w:tc>
        <w:tc>
          <w:tcPr>
            <w:tcW w:w="3608" w:type="dxa"/>
          </w:tcPr>
          <w:p>
            <w:pPr>
              <w:spacing w:line="360" w:lineRule="auto"/>
              <w:jc w:val="center"/>
              <w:rPr>
                <w:rFonts w:ascii="Times New Roman" w:hAnsi="Times New Roman" w:eastAsia="Arial Narrow" w:cs="Times New Roman"/>
                <w:kern w:val="0"/>
                <w:sz w:val="18"/>
                <w:szCs w:val="18"/>
                <w:lang w:eastAsia="en-US" w:bidi="en-US"/>
              </w:rPr>
            </w:pPr>
            <w:r>
              <w:rPr>
                <w:rFonts w:ascii="Times New Roman" w:hAnsi="Times New Roman" w:eastAsia="Arial Narrow" w:cs="Times New Roman"/>
                <w:kern w:val="0"/>
                <w:sz w:val="18"/>
                <w:szCs w:val="18"/>
                <w:lang w:eastAsia="en-US" w:bidi="en-US"/>
              </w:rPr>
              <w:t>CTCTACACTGGCCTTGAGGAGGTA</w:t>
            </w:r>
          </w:p>
        </w:tc>
      </w:tr>
    </w:tbl>
    <w:p>
      <w:pPr>
        <w:jc w:val="center"/>
        <w:rPr>
          <w:rFonts w:ascii="Times New Roman" w:hAnsi="Times New Roman" w:cs="Times New Roman"/>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350"/>
    <w:rsid w:val="001A0350"/>
    <w:rsid w:val="0024204A"/>
    <w:rsid w:val="005C6D3E"/>
    <w:rsid w:val="005D46FD"/>
    <w:rsid w:val="00630BB3"/>
    <w:rsid w:val="00777B1A"/>
    <w:rsid w:val="00897D4D"/>
    <w:rsid w:val="00A35EF1"/>
    <w:rsid w:val="00A53C5E"/>
    <w:rsid w:val="00A866B6"/>
    <w:rsid w:val="00AA6917"/>
    <w:rsid w:val="00BC24C0"/>
    <w:rsid w:val="00C807AB"/>
    <w:rsid w:val="00D061A9"/>
    <w:rsid w:val="00DC27EC"/>
    <w:rsid w:val="00E95999"/>
    <w:rsid w:val="00ED5AAC"/>
    <w:rsid w:val="00FB5C5B"/>
    <w:rsid w:val="00FE5695"/>
    <w:rsid w:val="165273E8"/>
    <w:rsid w:val="1F076B44"/>
    <w:rsid w:val="39BA593B"/>
    <w:rsid w:val="41790C9D"/>
    <w:rsid w:val="73214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59"/>
    <w:rPr>
      <w:szCs w:val="28"/>
      <w:lang w:bidi="mn-Mong-C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mn-Mong-CN"/>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756</Words>
  <Characters>4314</Characters>
  <Lines>35</Lines>
  <Paragraphs>10</Paragraphs>
  <TotalTime>5</TotalTime>
  <ScaleCrop>false</ScaleCrop>
  <LinksUpToDate>false</LinksUpToDate>
  <CharactersWithSpaces>5060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2020-09-12T11:10:00Z</dcterms:created>
  <dc:creator>tian xiaoxia</dc:creator>
  <cp:lastModifiedBy>Ken</cp:lastModifiedBy>
  <dcterms:modified xsi:type="dcterms:W3CDTF">2021-01-22T07:25:28Z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