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</w:rPr>
        <w:t xml:space="preserve">Table S1. Results of differential expression of cuproptosis-related genes (CRGs) in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TCGA-COAD/READ</w:t>
      </w:r>
    </w:p>
    <w:tbl>
      <w:tblPr>
        <w:tblStyle w:val="2"/>
        <w:tblW w:w="9293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9293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Genes      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Wilcoxon rank-sum test</w:t>
            </w:r>
          </w:p>
          <w:p>
            <w:pPr>
              <w:ind w:firstLine="2400" w:firstLineChars="10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1828165</wp:posOffset>
                      </wp:positionH>
                      <wp:positionV relativeFrom="paragraph">
                        <wp:posOffset>7620</wp:posOffset>
                      </wp:positionV>
                      <wp:extent cx="3672205" cy="635"/>
                      <wp:effectExtent l="0" t="0" r="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72205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43.95pt;margin-top:0.6pt;height:0.05pt;width:289.15pt;z-index:251659264;mso-width-relative:page;mso-height-relative:page;" filled="f" stroked="t" coordsize="21600,21600" o:gfxdata="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KxtAqvUAAAABwEAAA8AAAAAAAAAAQAgAAAAIgAAAGRycy9kb3ducmV2LnhtbFBLAQIUABQA&#10;AAAIAIdO4kAUFjiH9AEAAOYDAAAOAAAAAAAAAAEAIAAAACMBAABkcnMvZTJvRG9jLnhtbFBLBQYA&#10;AAAABgAGAFkBAACJ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宋体" w:cs="Times New Roman"/>
                <w:i w:val="0"/>
                <w:iCs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95% confidence interval (95%CI)</w:t>
            </w:r>
            <w:r>
              <w:rPr>
                <w:rFonts w:ascii="Times New Roman" w:hAnsi="Times New Roman" w:eastAsia="宋体" w:cs="Times New Roman"/>
                <w:i w:val="0"/>
                <w:iCs w:val="0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</w:rPr>
              <w:t>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-value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9293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CDKN2A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                     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1.1128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1.589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          1.31e-23      </w:t>
            </w:r>
          </w:p>
          <w:p>
            <w:pPr>
              <w:rPr>
                <w:rFonts w:hint="default" w:ascii="Times New Roman" w:hAnsi="Times New Roman" w:eastAsia="宋体" w:cs="Times New Roman"/>
                <w:i/>
                <w:iCs/>
                <w:sz w:val="24"/>
                <w:lang w:val="en-US" w:eastAsia="zh-CN"/>
              </w:rPr>
            </w:pPr>
            <w:bookmarkStart w:id="0" w:name="_Hlk121498697"/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PDHA1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lang w:val="en-US" w:eastAsia="zh-CN"/>
              </w:rPr>
              <w:t xml:space="preserve">                       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0.11269 - 0.39951                 0.0004          </w:t>
            </w:r>
          </w:p>
          <w:p>
            <w:pPr>
              <w:rPr>
                <w:rFonts w:hint="default" w:ascii="Times New Roman" w:hAnsi="Times New Roman" w:eastAsia="宋体" w:cs="Times New Roman"/>
                <w:i/>
                <w:iCs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GLS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0.38068 - 0.71196                6.33e-09</w:t>
            </w:r>
          </w:p>
          <w:p>
            <w:pPr>
              <w:rPr>
                <w:rFonts w:hint="default" w:ascii="Times New Roman" w:hAnsi="Times New Roman" w:eastAsia="宋体" w:cs="Times New Roman"/>
                <w:i/>
                <w:iCs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FDX1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-0.32415 - -0.094174               0.0005</w:t>
            </w:r>
          </w:p>
          <w:p>
            <w:pPr>
              <w:rPr>
                <w:rFonts w:hint="default" w:ascii="Times New Roman" w:hAnsi="Times New Roman" w:eastAsia="宋体" w:cs="Times New Roman"/>
                <w:i/>
                <w:iCs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LIAS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-0.1215 - 0.1067                  0.9141</w:t>
            </w:r>
          </w:p>
          <w:p>
            <w:pPr>
              <w:rPr>
                <w:rFonts w:hint="default" w:ascii="Times New Roman" w:hAnsi="Times New Roman" w:eastAsia="宋体" w:cs="Times New Roman"/>
                <w:i/>
                <w:iCs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LIPT1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0.20411 - 0.44268                 2.1e-06  </w:t>
            </w:r>
          </w:p>
          <w:p>
            <w:pPr>
              <w:rPr>
                <w:rFonts w:hint="default" w:ascii="Times New Roman" w:hAnsi="Times New Roman" w:eastAsia="宋体" w:cs="Times New Roman"/>
                <w:i/>
                <w:iCs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DLD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-0.35948 - -0.12106                0.0001</w:t>
            </w:r>
          </w:p>
          <w:p>
            <w:pPr>
              <w:rPr>
                <w:rFonts w:hint="default" w:ascii="Times New Roman" w:hAnsi="Times New Roman" w:eastAsia="宋体" w:cs="Times New Roman"/>
                <w:i/>
                <w:iCs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MTF1</w:t>
            </w:r>
            <w:bookmarkEnd w:id="0"/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lang w:val="en-US" w:eastAsia="zh-CN"/>
              </w:rPr>
              <w:t xml:space="preserve">                            -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0.53381 - -0.26956               1.95e-08</w:t>
            </w:r>
          </w:p>
          <w:p>
            <w:pP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DLAT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                        -0.22625 - 0.041536               0.1847</w:t>
            </w:r>
          </w:p>
          <w:p>
            <w:pP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PDHB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         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             -0.11314 - 0.12765                0.8688</w:t>
            </w:r>
          </w:p>
        </w:tc>
      </w:tr>
    </w:tbl>
    <w:p>
      <w:pPr>
        <w:spacing w:line="440" w:lineRule="exact"/>
        <w:rPr>
          <w:rFonts w:hint="default" w:ascii="Times New Roman" w:hAnsi="Times New Roman" w:eastAsia="宋体" w:cs="Times New Roman"/>
          <w:sz w:val="24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eastAsia="宋体" w:cs="Times New Roman"/>
          <w:sz w:val="24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</w:rPr>
        <w:t>Table S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sz w:val="24"/>
        </w:rPr>
        <w:t xml:space="preserve">. Results of differential expression of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CDKN2A and DLAT</w:t>
      </w:r>
      <w:r>
        <w:rPr>
          <w:rFonts w:hint="eastAsia" w:ascii="Times New Roman" w:hAnsi="Times New Roman" w:eastAsia="宋体" w:cs="Times New Roman"/>
          <w:sz w:val="24"/>
        </w:rPr>
        <w:t xml:space="preserve"> in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GSE21510 and GSE41328</w:t>
      </w:r>
    </w:p>
    <w:tbl>
      <w:tblPr>
        <w:tblStyle w:val="2"/>
        <w:tblW w:w="9420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9420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Datasets     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Genes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>95% confidence interval (95%CI)</w:t>
            </w:r>
            <w:r>
              <w:rPr>
                <w:rFonts w:ascii="Times New Roman" w:hAnsi="Times New Roman" w:eastAsia="宋体" w:cs="Times New Roman"/>
                <w:i w:val="0"/>
                <w:iCs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</w:rPr>
              <w:t>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-value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Statistical test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9420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eastAsia="宋体" w:cs="Times New Roman"/>
                <w:i/>
                <w:i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GSE21510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CDKN2A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0.20513 - 0.54211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5.74e-05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independent-sample t-test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  <w:lang w:val="en-US" w:eastAsia="zh-CN"/>
              </w:rPr>
              <w:t xml:space="preserve">                        </w:t>
            </w:r>
          </w:p>
          <w:p>
            <w:pP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GSE21510  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DLAT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   -1.1663 - -0.44675         0.0008    Wilcoxon rank-sum test                            </w:t>
            </w:r>
          </w:p>
          <w:p>
            <w:pP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GSE41328 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CDKN2A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  2.9585 - 3.857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ab/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     1.53e-10      Welch t-test</w:t>
            </w:r>
          </w:p>
          <w:p>
            <w:pP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GSE41328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 </w:t>
            </w: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DLAT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-0.78595 - -0.026095        0.0383       Welch t-test</w:t>
            </w:r>
          </w:p>
        </w:tc>
      </w:tr>
    </w:tbl>
    <w:p>
      <w:pPr>
        <w:spacing w:line="440" w:lineRule="exact"/>
        <w:rPr>
          <w:rFonts w:hint="default" w:ascii="Times New Roman" w:hAnsi="Times New Roman" w:eastAsia="宋体" w:cs="Times New Roman"/>
          <w:sz w:val="24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eastAsia="宋体" w:cs="Times New Roman"/>
          <w:sz w:val="24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</w:rPr>
        <w:t>Table S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sz w:val="24"/>
        </w:rPr>
        <w:t xml:space="preserve">. The correlations between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CDKN2A </w:t>
      </w:r>
      <w:r>
        <w:rPr>
          <w:rFonts w:hint="eastAsia" w:ascii="Times New Roman" w:hAnsi="Times New Roman" w:eastAsia="宋体" w:cs="Times New Roman"/>
          <w:sz w:val="24"/>
        </w:rPr>
        <w:t>expression and clinicopathological parameters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(Chisq test)</w:t>
      </w:r>
    </w:p>
    <w:tbl>
      <w:tblPr>
        <w:tblStyle w:val="2"/>
        <w:tblW w:w="9420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9420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Characteristics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sz w:val="24"/>
              </w:rPr>
              <w:t>Low expression of CDKN2A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High expression of CDKN2A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</w:rPr>
              <w:t>P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value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420" w:type="dxa"/>
            <w:tcBorders>
              <w:top w:val="single" w:color="auto" w:sz="4" w:space="0"/>
            </w:tcBorders>
          </w:tcPr>
          <w:p>
            <w:pPr>
              <w:ind w:firstLine="960" w:firstLineChars="400"/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322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322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</w:p>
          <w:p>
            <w:pP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Pathologic N stage, n (%)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0.008</w:t>
            </w:r>
          </w:p>
          <w:p>
            <w:pP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N0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200 (31.2%)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168 (26.2%)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</w:p>
          <w:p>
            <w:pP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N1&amp;N2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      119 (18.6%)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153 (23.9%)</w:t>
            </w:r>
          </w:p>
          <w:p>
            <w:pP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Pathologic stage, n (%)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0.031</w:t>
            </w:r>
          </w:p>
          <w:p>
            <w:pP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Stage I&amp;Stage II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187 (30%)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162 (26%)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</w:p>
          <w:p>
            <w:pP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Stage III&amp;Stage IV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123 (19.7%)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151 (24.2%)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</w:p>
          <w:p>
            <w:pP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Lymphatic invasion, n (%)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&lt; 0.001</w:t>
            </w:r>
          </w:p>
          <w:p>
            <w:pP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No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204 (35.1%)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146 (25.1%)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</w:p>
          <w:p>
            <w:pP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Yes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86 (14.8%)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146 (25.1%)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</w:p>
        </w:tc>
      </w:tr>
    </w:tbl>
    <w:p>
      <w:pPr>
        <w:spacing w:line="440" w:lineRule="exact"/>
        <w:rPr>
          <w:rFonts w:hint="default" w:ascii="Times New Roman" w:hAnsi="Times New Roman" w:eastAsia="宋体" w:cs="Times New Roman"/>
          <w:sz w:val="24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eastAsia="宋体" w:cs="Times New Roman"/>
          <w:sz w:val="24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</w:rPr>
        <w:t>Table S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sz w:val="24"/>
        </w:rPr>
        <w:t xml:space="preserve">. The correlations between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DLAT </w:t>
      </w:r>
      <w:r>
        <w:rPr>
          <w:rFonts w:hint="eastAsia" w:ascii="Times New Roman" w:hAnsi="Times New Roman" w:eastAsia="宋体" w:cs="Times New Roman"/>
          <w:sz w:val="24"/>
        </w:rPr>
        <w:t>expression and clinicopathological parameters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(Chisq test)</w:t>
      </w:r>
    </w:p>
    <w:tbl>
      <w:tblPr>
        <w:tblStyle w:val="2"/>
        <w:tblW w:w="9420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9420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Characteristics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Low expression of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DLAT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High expression of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DLAT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i/>
                <w:iCs/>
                <w:sz w:val="24"/>
              </w:rPr>
              <w:t>P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value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420" w:type="dxa"/>
            <w:tcBorders>
              <w:top w:val="single" w:color="auto" w:sz="4" w:space="0"/>
            </w:tcBorders>
          </w:tcPr>
          <w:p>
            <w:pPr>
              <w:ind w:firstLine="960" w:firstLineChars="400"/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322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322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</w:p>
          <w:p>
            <w:pP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Pathologic N stage, n (%)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0.00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>3</w:t>
            </w:r>
          </w:p>
          <w:p>
            <w:pP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N0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165 (25.8%)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bookmarkStart w:id="1" w:name="_GoBack"/>
            <w:bookmarkEnd w:id="1"/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203 (31.7%)</w:t>
            </w:r>
          </w:p>
          <w:p>
            <w:pP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N1&amp;N2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      154 (24.1%)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118 (18.4%)</w:t>
            </w:r>
          </w:p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Pathologic stage, n (%)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>11</w:t>
            </w:r>
          </w:p>
          <w:p>
            <w:pP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Stage I&amp;Stage II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158 (25.4%)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191 (30.7%)</w:t>
            </w:r>
          </w:p>
          <w:p>
            <w:pP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Stage III&amp;Stage IV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152 (24.4%)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122 (19.6%)</w:t>
            </w:r>
          </w:p>
          <w:p>
            <w:pP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Lymphatic invasion, n (%)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&lt; 0.001</w:t>
            </w:r>
          </w:p>
          <w:p>
            <w:pP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No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158 (27.1%)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192 (33%)</w:t>
            </w:r>
          </w:p>
          <w:p>
            <w:pP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>Yes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            138 (23.7%)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ab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4"/>
                <w:lang w:val="en-US" w:eastAsia="zh-CN"/>
              </w:rPr>
              <w:t xml:space="preserve">       94 (16.2%)</w:t>
            </w:r>
          </w:p>
        </w:tc>
      </w:tr>
    </w:tbl>
    <w:p>
      <w:pPr>
        <w:spacing w:line="440" w:lineRule="exact"/>
        <w:rPr>
          <w:rFonts w:hint="default" w:ascii="Times New Roman" w:hAnsi="Times New Roman" w:eastAsia="宋体" w:cs="Times New Roman"/>
          <w:sz w:val="24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eastAsia="宋体" w:cs="Times New Roman"/>
          <w:sz w:val="24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eastAsia="宋体" w:cs="Times New Roman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3MDIzZTI5MjQ1MzVkNDgzOWNkZjM3YjA5OTczMGIifQ=="/>
  </w:docVars>
  <w:rsids>
    <w:rsidRoot w:val="00000000"/>
    <w:rsid w:val="003E21C5"/>
    <w:rsid w:val="02E93E76"/>
    <w:rsid w:val="373D070E"/>
    <w:rsid w:val="3B494B91"/>
    <w:rsid w:val="427174BE"/>
    <w:rsid w:val="446A2F7A"/>
    <w:rsid w:val="4DEE494B"/>
    <w:rsid w:val="645E744B"/>
    <w:rsid w:val="77EB793D"/>
    <w:rsid w:val="7A4B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279</Words>
  <Characters>1545</Characters>
  <Lines>0</Lines>
  <Paragraphs>0</Paragraphs>
  <TotalTime>1</TotalTime>
  <ScaleCrop>false</ScaleCrop>
  <LinksUpToDate>false</LinksUpToDate>
  <CharactersWithSpaces>3361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2023-05-06T01:46:59Z</dcterms:created>
  <dc:creator>Administrator</dc:creator>
  <cp:lastModifiedBy>Administrator</cp:lastModifiedBy>
  <dcterms:modified xsi:type="dcterms:W3CDTF">2023-05-06T03:37:14Z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14514D8170FB436CB00D3EB19BCA3755_12</vt:lpwstr>
  </property>
</Properties>
</file>