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08FE" w14:textId="5199C02E" w:rsidR="00CA4ECC" w:rsidRPr="00CA4ECC" w:rsidRDefault="00CA4ECC" w:rsidP="00081222">
      <w:pPr>
        <w:snapToGrid w:val="0"/>
        <w:spacing w:line="360" w:lineRule="auto"/>
        <w:jc w:val="center"/>
        <w:rPr>
          <w:rFonts w:ascii="Times New Roman" w:hAnsi="Times New Roman" w:cs="Times New Roman"/>
          <w:b/>
          <w:bCs/>
          <w:sz w:val="28"/>
          <w:szCs w:val="28"/>
        </w:rPr>
      </w:pPr>
      <w:r w:rsidRPr="00CA4ECC">
        <w:rPr>
          <w:rFonts w:ascii="Times New Roman" w:hAnsi="Times New Roman" w:cs="Times New Roman"/>
          <w:b/>
          <w:bCs/>
          <w:sz w:val="28"/>
          <w:szCs w:val="28"/>
        </w:rPr>
        <w:t>Supplementary Material</w:t>
      </w:r>
    </w:p>
    <w:p w14:paraId="406ABE9F" w14:textId="10E76DC4" w:rsidR="00CA4ECC" w:rsidRDefault="00CA4ECC" w:rsidP="00081222">
      <w:pPr>
        <w:snapToGrid w:val="0"/>
        <w:spacing w:line="360" w:lineRule="auto"/>
        <w:rPr>
          <w:rFonts w:ascii="Times New Roman" w:hAnsi="Times New Roman" w:cs="Times New Roman"/>
          <w:sz w:val="24"/>
          <w:szCs w:val="24"/>
        </w:rPr>
      </w:pPr>
    </w:p>
    <w:p w14:paraId="69D51FB9" w14:textId="4C75B306" w:rsidR="00070824" w:rsidRPr="00CA4ECC" w:rsidRDefault="00CA4ECC" w:rsidP="00081222">
      <w:pPr>
        <w:snapToGrid w:val="0"/>
        <w:spacing w:line="360" w:lineRule="auto"/>
        <w:rPr>
          <w:rFonts w:ascii="Times New Roman" w:hAnsi="Times New Roman" w:cs="Times New Roman"/>
          <w:color w:val="4472C4" w:themeColor="accent1"/>
          <w:sz w:val="24"/>
          <w:szCs w:val="24"/>
        </w:rPr>
      </w:pPr>
      <w:r w:rsidRPr="00F409A3">
        <w:rPr>
          <w:rFonts w:ascii="Times New Roman" w:hAnsi="Times New Roman" w:cs="Times New Roman"/>
          <w:b/>
          <w:bCs/>
          <w:sz w:val="24"/>
          <w:szCs w:val="24"/>
        </w:rPr>
        <w:t>Article Title:</w:t>
      </w:r>
      <w:r w:rsidRPr="00CA4ECC">
        <w:rPr>
          <w:rFonts w:ascii="Times New Roman" w:hAnsi="Times New Roman" w:cs="Times New Roman"/>
          <w:sz w:val="24"/>
          <w:szCs w:val="24"/>
        </w:rPr>
        <w:t xml:space="preserve"> </w:t>
      </w:r>
      <w:bookmarkStart w:id="0" w:name="_Hlk125537649"/>
      <w:r w:rsidR="00070824" w:rsidRPr="00070824">
        <w:rPr>
          <w:rFonts w:ascii="Times New Roman" w:hAnsi="Times New Roman" w:cs="Times New Roman"/>
          <w:sz w:val="24"/>
          <w:szCs w:val="24"/>
        </w:rPr>
        <w:t>A comparison of the clinical performance of two commercially available SARS-CoV-2 antibody assays among Japanese healthcare workers (2020</w:t>
      </w:r>
      <w:bookmarkStart w:id="1" w:name="_Hlk127263521"/>
      <w:r w:rsidR="00070824" w:rsidRPr="00070824">
        <w:rPr>
          <w:rFonts w:ascii="Times New Roman" w:hAnsi="Times New Roman" w:cs="Times New Roman"/>
          <w:sz w:val="24"/>
          <w:szCs w:val="24"/>
        </w:rPr>
        <w:t>–</w:t>
      </w:r>
      <w:bookmarkEnd w:id="1"/>
      <w:r w:rsidR="00070824" w:rsidRPr="00070824">
        <w:rPr>
          <w:rFonts w:ascii="Times New Roman" w:hAnsi="Times New Roman" w:cs="Times New Roman"/>
          <w:sz w:val="24"/>
          <w:szCs w:val="24"/>
        </w:rPr>
        <w:t>2022)</w:t>
      </w:r>
    </w:p>
    <w:bookmarkEnd w:id="0"/>
    <w:p w14:paraId="39F0DD44" w14:textId="39D30979" w:rsidR="00CA4ECC" w:rsidRPr="00805906" w:rsidRDefault="00CA4ECC" w:rsidP="00081222">
      <w:pPr>
        <w:snapToGrid w:val="0"/>
        <w:spacing w:line="360" w:lineRule="auto"/>
        <w:rPr>
          <w:rFonts w:ascii="Times New Roman" w:hAnsi="Times New Roman" w:cs="Times New Roman"/>
          <w:bCs/>
          <w:sz w:val="24"/>
          <w:szCs w:val="24"/>
        </w:rPr>
      </w:pPr>
      <w:r w:rsidRPr="00F409A3">
        <w:rPr>
          <w:rFonts w:ascii="Times New Roman" w:hAnsi="Times New Roman" w:cs="Times New Roman"/>
          <w:b/>
          <w:bCs/>
          <w:sz w:val="24"/>
          <w:szCs w:val="24"/>
        </w:rPr>
        <w:t xml:space="preserve">Authors: </w:t>
      </w:r>
      <w:bookmarkStart w:id="2" w:name="_Hlk125537672"/>
      <w:r w:rsidR="00805906" w:rsidRPr="00AE2326">
        <w:rPr>
          <w:rFonts w:ascii="Times New Roman" w:hAnsi="Times New Roman" w:cs="Times New Roman"/>
          <w:bCs/>
          <w:sz w:val="24"/>
          <w:szCs w:val="24"/>
        </w:rPr>
        <w:t xml:space="preserve">Yan </w:t>
      </w:r>
      <w:proofErr w:type="spellStart"/>
      <w:r w:rsidR="00805906" w:rsidRPr="00AE2326">
        <w:rPr>
          <w:rFonts w:ascii="Times New Roman" w:hAnsi="Times New Roman" w:cs="Times New Roman"/>
          <w:bCs/>
          <w:sz w:val="24"/>
          <w:szCs w:val="24"/>
        </w:rPr>
        <w:t>Yan</w:t>
      </w:r>
      <w:proofErr w:type="spellEnd"/>
      <w:r w:rsidR="00805906" w:rsidRPr="00AE2326">
        <w:rPr>
          <w:rFonts w:ascii="Times New Roman" w:hAnsi="Times New Roman" w:cs="Times New Roman"/>
          <w:bCs/>
          <w:sz w:val="24"/>
          <w:szCs w:val="24"/>
        </w:rPr>
        <w:t xml:space="preserve">, Kaori Saito, Toshio Naito, </w:t>
      </w:r>
      <w:proofErr w:type="spellStart"/>
      <w:r w:rsidR="00805906" w:rsidRPr="00AE2326">
        <w:rPr>
          <w:rFonts w:ascii="Times New Roman" w:hAnsi="Times New Roman" w:cs="Times New Roman"/>
          <w:bCs/>
          <w:sz w:val="24"/>
          <w:szCs w:val="24"/>
        </w:rPr>
        <w:t>Kanami</w:t>
      </w:r>
      <w:proofErr w:type="spellEnd"/>
      <w:r w:rsidR="00805906" w:rsidRPr="00AE2326">
        <w:rPr>
          <w:rFonts w:ascii="Times New Roman" w:hAnsi="Times New Roman" w:cs="Times New Roman"/>
          <w:bCs/>
          <w:sz w:val="24"/>
          <w:szCs w:val="24"/>
        </w:rPr>
        <w:t xml:space="preserve"> Ito</w:t>
      </w:r>
      <w:r w:rsidR="00805906">
        <w:rPr>
          <w:rFonts w:ascii="Times New Roman" w:hAnsi="Times New Roman" w:cs="Times New Roman"/>
          <w:bCs/>
          <w:sz w:val="24"/>
          <w:szCs w:val="24"/>
        </w:rPr>
        <w:t>,</w:t>
      </w:r>
      <w:r w:rsidR="00805906" w:rsidRPr="00AE2326">
        <w:rPr>
          <w:rFonts w:ascii="Times New Roman" w:hAnsi="Times New Roman" w:cs="Times New Roman"/>
          <w:bCs/>
          <w:sz w:val="24"/>
          <w:szCs w:val="24"/>
        </w:rPr>
        <w:t xml:space="preserve"> Yuki Horiuchi, Gautam A. Deshpande,</w:t>
      </w:r>
      <w:r w:rsidR="00805906">
        <w:rPr>
          <w:rFonts w:ascii="Times New Roman" w:hAnsi="Times New Roman" w:cs="Times New Roman"/>
          <w:bCs/>
          <w:sz w:val="24"/>
          <w:szCs w:val="24"/>
        </w:rPr>
        <w:t xml:space="preserve"> </w:t>
      </w:r>
      <w:proofErr w:type="spellStart"/>
      <w:r w:rsidR="00805906" w:rsidRPr="00AE2326">
        <w:rPr>
          <w:rFonts w:ascii="Times New Roman" w:hAnsi="Times New Roman" w:cs="Times New Roman"/>
          <w:bCs/>
          <w:sz w:val="24"/>
          <w:szCs w:val="24"/>
        </w:rPr>
        <w:t>Hirohide</w:t>
      </w:r>
      <w:proofErr w:type="spellEnd"/>
      <w:r w:rsidR="00805906" w:rsidRPr="00AE2326">
        <w:rPr>
          <w:rFonts w:ascii="Times New Roman" w:hAnsi="Times New Roman" w:cs="Times New Roman"/>
          <w:bCs/>
          <w:sz w:val="24"/>
          <w:szCs w:val="24"/>
        </w:rPr>
        <w:t xml:space="preserve"> Yokokawa</w:t>
      </w:r>
      <w:bookmarkStart w:id="3" w:name="_Hlk124081976"/>
      <w:r w:rsidR="00805906" w:rsidRPr="00AE2326">
        <w:rPr>
          <w:rFonts w:ascii="Times New Roman" w:hAnsi="Times New Roman" w:cs="Times New Roman"/>
          <w:bCs/>
          <w:sz w:val="24"/>
          <w:szCs w:val="24"/>
        </w:rPr>
        <w:t>,</w:t>
      </w:r>
      <w:bookmarkEnd w:id="3"/>
      <w:r w:rsidR="00805906">
        <w:rPr>
          <w:rFonts w:ascii="Times New Roman" w:hAnsi="Times New Roman" w:cs="Times New Roman"/>
          <w:bCs/>
          <w:sz w:val="24"/>
          <w:szCs w:val="24"/>
        </w:rPr>
        <w:t xml:space="preserve"> </w:t>
      </w:r>
      <w:r w:rsidR="00805906" w:rsidRPr="00AE2326">
        <w:rPr>
          <w:rFonts w:ascii="Times New Roman" w:hAnsi="Times New Roman" w:cs="Times New Roman"/>
          <w:bCs/>
          <w:sz w:val="24"/>
          <w:szCs w:val="24"/>
        </w:rPr>
        <w:t xml:space="preserve">Yoko </w:t>
      </w:r>
      <w:proofErr w:type="spellStart"/>
      <w:r w:rsidR="00805906" w:rsidRPr="00AE2326">
        <w:rPr>
          <w:rFonts w:ascii="Times New Roman" w:hAnsi="Times New Roman" w:cs="Times New Roman"/>
          <w:bCs/>
          <w:sz w:val="24"/>
          <w:szCs w:val="24"/>
        </w:rPr>
        <w:t>Tabe</w:t>
      </w:r>
      <w:bookmarkEnd w:id="2"/>
      <w:proofErr w:type="spellEnd"/>
    </w:p>
    <w:p w14:paraId="62ADA11A" w14:textId="6FC6CBAD" w:rsidR="00CA4ECC" w:rsidRDefault="00CA4ECC" w:rsidP="00081222">
      <w:pPr>
        <w:snapToGrid w:val="0"/>
        <w:spacing w:line="360" w:lineRule="auto"/>
        <w:rPr>
          <w:rFonts w:ascii="Times New Roman" w:hAnsi="Times New Roman" w:cs="Times New Roman"/>
          <w:sz w:val="24"/>
          <w:szCs w:val="24"/>
        </w:rPr>
      </w:pPr>
    </w:p>
    <w:p w14:paraId="0D0BC7AA" w14:textId="336DD720" w:rsidR="00CA4ECC" w:rsidRPr="009A0BCE" w:rsidRDefault="00CA4ECC" w:rsidP="00081222">
      <w:pPr>
        <w:pStyle w:val="a6"/>
        <w:numPr>
          <w:ilvl w:val="0"/>
          <w:numId w:val="4"/>
        </w:numPr>
        <w:snapToGrid w:val="0"/>
        <w:spacing w:line="360" w:lineRule="auto"/>
        <w:ind w:leftChars="0"/>
        <w:rPr>
          <w:rFonts w:ascii="Times New Roman" w:hAnsi="Times New Roman" w:cs="Times New Roman"/>
          <w:b/>
          <w:bCs/>
          <w:sz w:val="24"/>
          <w:szCs w:val="24"/>
        </w:rPr>
      </w:pPr>
      <w:bookmarkStart w:id="4" w:name="_Hlk126085064"/>
      <w:r w:rsidRPr="009A0BCE">
        <w:rPr>
          <w:rFonts w:ascii="Times New Roman" w:hAnsi="Times New Roman" w:cs="Times New Roman"/>
          <w:b/>
          <w:bCs/>
          <w:sz w:val="24"/>
          <w:szCs w:val="24"/>
        </w:rPr>
        <w:t>Description of the hospital’s baseline infection control measures and vaccination</w:t>
      </w:r>
    </w:p>
    <w:p w14:paraId="17F7790F" w14:textId="0584A387" w:rsidR="00CA4ECC" w:rsidRPr="00022D74" w:rsidRDefault="00CA4ECC" w:rsidP="00081222">
      <w:pPr>
        <w:adjustRightInd w:val="0"/>
        <w:snapToGrid w:val="0"/>
        <w:spacing w:line="360" w:lineRule="auto"/>
        <w:rPr>
          <w:rFonts w:ascii="Times New Roman" w:hAnsi="Times New Roman" w:cs="Times New Roman"/>
          <w:sz w:val="24"/>
          <w:szCs w:val="24"/>
        </w:rPr>
      </w:pPr>
      <w:r w:rsidRPr="00022D74">
        <w:rPr>
          <w:rFonts w:ascii="Times New Roman" w:hAnsi="Times New Roman" w:cs="Times New Roman"/>
          <w:sz w:val="24"/>
          <w:szCs w:val="24"/>
        </w:rPr>
        <w:t>Juntendo University Hospital (JUH) is a 1,051-bed academic medical center in Japan. Since the outbreak of the COVID-19 pandemic, strict infection control measures have been implemented. At the hospital, masks are universally required for all HCWs and patients in all facilities including outpatient clinics and wards (when patients’ conditions allow). For HCWs, in addition to universal masking, face shield or eye protection is required when encountering patients; additionally, use of N95 respirators when caring for patients with suspected or confirmed COVID-19 is mandated. Temperature checks are performed daily at the workplace, with COVID-19 symptoms requiring further examination. Dining with more than 3 non-family members outside work hours is discouraged per hospital policy. Close contacts of confirmed cases are PCR-tested and quarantined.</w:t>
      </w:r>
    </w:p>
    <w:p w14:paraId="0A31CF8A" w14:textId="6F9D72B1" w:rsidR="00CA4ECC" w:rsidRDefault="00CA4ECC" w:rsidP="00081222">
      <w:pPr>
        <w:adjustRightInd w:val="0"/>
        <w:snapToGrid w:val="0"/>
        <w:spacing w:line="360" w:lineRule="auto"/>
        <w:ind w:firstLineChars="200" w:firstLine="480"/>
        <w:rPr>
          <w:rFonts w:ascii="Times New Roman" w:eastAsia="游明朝" w:hAnsi="Times New Roman" w:cs="Times New Roman"/>
          <w:sz w:val="24"/>
          <w:szCs w:val="24"/>
        </w:rPr>
      </w:pPr>
      <w:r w:rsidRPr="00022D74">
        <w:rPr>
          <w:rFonts w:ascii="Times New Roman" w:eastAsia="游明朝" w:hAnsi="Times New Roman" w:cs="Times New Roman"/>
          <w:sz w:val="24"/>
          <w:szCs w:val="24"/>
        </w:rPr>
        <w:t xml:space="preserve">On-site employee vaccinations with BNT162b2 began on March 17, 2021; the first batch from March 17 </w:t>
      </w:r>
      <w:r w:rsidRPr="00022D74">
        <w:rPr>
          <w:rFonts w:ascii="Times New Roman" w:hAnsi="Times New Roman" w:cs="Times New Roman"/>
          <w:sz w:val="24"/>
          <w:szCs w:val="24"/>
        </w:rPr>
        <w:t>to April 23 for the first dose, and April 7 to May 19 for the second dose</w:t>
      </w:r>
      <w:r w:rsidRPr="00022D74">
        <w:rPr>
          <w:rFonts w:ascii="Times New Roman" w:eastAsia="游明朝" w:hAnsi="Times New Roman" w:cs="Times New Roman"/>
          <w:sz w:val="24"/>
          <w:szCs w:val="24"/>
        </w:rPr>
        <w:t>. mRNA-1273 vaccines were not available at JUH until September 1. The booster dose mass vaccination was administrated from December 13 to 24, 2021 with two mRNA vaccines (</w:t>
      </w:r>
      <w:bookmarkStart w:id="5" w:name="_Hlk126934249"/>
      <w:r w:rsidRPr="00022D74">
        <w:rPr>
          <w:rFonts w:ascii="Times New Roman" w:eastAsia="游明朝" w:hAnsi="Times New Roman" w:cs="Times New Roman"/>
          <w:sz w:val="24"/>
          <w:szCs w:val="24"/>
        </w:rPr>
        <w:t>BNT162b2 and mRNA-1273</w:t>
      </w:r>
      <w:bookmarkEnd w:id="5"/>
      <w:r w:rsidRPr="00022D74">
        <w:rPr>
          <w:rFonts w:ascii="Times New Roman" w:eastAsia="游明朝" w:hAnsi="Times New Roman" w:cs="Times New Roman"/>
          <w:sz w:val="24"/>
          <w:szCs w:val="24"/>
        </w:rPr>
        <w:t>). While more than 80% of the HCWs received COVID-19 vaccines with our vaccination campaign programs, some chose other locations such as the government-run mass vaccination sites with different schedules. Vaccination date</w:t>
      </w:r>
      <w:r w:rsidR="00210E90">
        <w:rPr>
          <w:rFonts w:ascii="Times New Roman" w:eastAsia="游明朝" w:hAnsi="Times New Roman" w:cs="Times New Roman"/>
          <w:sz w:val="24"/>
          <w:szCs w:val="24"/>
        </w:rPr>
        <w:t>s</w:t>
      </w:r>
      <w:r w:rsidRPr="00022D74">
        <w:rPr>
          <w:rFonts w:ascii="Times New Roman" w:eastAsia="游明朝" w:hAnsi="Times New Roman" w:cs="Times New Roman"/>
          <w:sz w:val="24"/>
          <w:szCs w:val="24"/>
        </w:rPr>
        <w:t xml:space="preserve"> </w:t>
      </w:r>
      <w:r w:rsidRPr="00777E04">
        <w:rPr>
          <w:rFonts w:ascii="Times New Roman" w:eastAsia="游明朝" w:hAnsi="Times New Roman" w:cs="Times New Roman"/>
          <w:sz w:val="24"/>
          <w:szCs w:val="24"/>
        </w:rPr>
        <w:t xml:space="preserve">and </w:t>
      </w:r>
      <w:r w:rsidR="006B11CF">
        <w:rPr>
          <w:rFonts w:ascii="Times New Roman" w:eastAsia="游明朝" w:hAnsi="Times New Roman" w:cs="Times New Roman"/>
          <w:sz w:val="24"/>
          <w:szCs w:val="24"/>
        </w:rPr>
        <w:t xml:space="preserve">the </w:t>
      </w:r>
      <w:r w:rsidRPr="00777E04">
        <w:rPr>
          <w:rFonts w:ascii="Times New Roman" w:eastAsia="游明朝" w:hAnsi="Times New Roman" w:cs="Times New Roman"/>
          <w:sz w:val="24"/>
          <w:szCs w:val="24"/>
        </w:rPr>
        <w:t>type of vaccine</w:t>
      </w:r>
      <w:r w:rsidR="006B11CF">
        <w:rPr>
          <w:rFonts w:ascii="Times New Roman" w:eastAsia="游明朝" w:hAnsi="Times New Roman" w:cs="Times New Roman"/>
          <w:sz w:val="24"/>
          <w:szCs w:val="24"/>
        </w:rPr>
        <w:t>s</w:t>
      </w:r>
      <w:r w:rsidRPr="00777E04">
        <w:rPr>
          <w:rFonts w:ascii="Times New Roman" w:eastAsia="游明朝" w:hAnsi="Times New Roman" w:cs="Times New Roman"/>
          <w:sz w:val="24"/>
          <w:szCs w:val="24"/>
        </w:rPr>
        <w:t xml:space="preserve"> are r</w:t>
      </w:r>
      <w:r w:rsidRPr="00022D74">
        <w:rPr>
          <w:rFonts w:ascii="Times New Roman" w:eastAsia="游明朝" w:hAnsi="Times New Roman" w:cs="Times New Roman"/>
          <w:sz w:val="24"/>
          <w:szCs w:val="24"/>
        </w:rPr>
        <w:t>ecorded.</w:t>
      </w:r>
      <w:bookmarkEnd w:id="4"/>
    </w:p>
    <w:p w14:paraId="1C4693EC" w14:textId="5AA57AAE" w:rsidR="00025C4D" w:rsidRPr="00025C4D" w:rsidRDefault="00025C4D" w:rsidP="00081222">
      <w:pPr>
        <w:adjustRightInd w:val="0"/>
        <w:snapToGrid w:val="0"/>
        <w:spacing w:line="360" w:lineRule="auto"/>
        <w:rPr>
          <w:rFonts w:ascii="Times New Roman" w:hAnsi="Times New Roman" w:cs="Times New Roman"/>
          <w:sz w:val="24"/>
          <w:szCs w:val="24"/>
        </w:rPr>
      </w:pPr>
    </w:p>
    <w:p w14:paraId="19605D06" w14:textId="405C3326" w:rsidR="00025C4D" w:rsidRPr="00025C4D" w:rsidRDefault="00BA248A" w:rsidP="00081222">
      <w:pPr>
        <w:pStyle w:val="a6"/>
        <w:numPr>
          <w:ilvl w:val="0"/>
          <w:numId w:val="4"/>
        </w:numPr>
        <w:adjustRightInd w:val="0"/>
        <w:snapToGrid w:val="0"/>
        <w:spacing w:line="360" w:lineRule="auto"/>
        <w:ind w:leftChars="0"/>
        <w:rPr>
          <w:rFonts w:ascii="Times New Roman" w:hAnsi="Times New Roman" w:cs="Times New Roman"/>
          <w:b/>
          <w:bCs/>
          <w:sz w:val="24"/>
          <w:szCs w:val="24"/>
        </w:rPr>
      </w:pPr>
      <w:r>
        <w:rPr>
          <w:rFonts w:ascii="Times New Roman" w:hAnsi="Times New Roman" w:cs="Times New Roman"/>
          <w:b/>
          <w:bCs/>
          <w:sz w:val="24"/>
          <w:szCs w:val="24"/>
        </w:rPr>
        <w:t xml:space="preserve">Estimated </w:t>
      </w:r>
      <w:r w:rsidR="004F7F5A">
        <w:rPr>
          <w:rFonts w:ascii="Times New Roman" w:hAnsi="Times New Roman" w:cs="Times New Roman" w:hint="eastAsia"/>
          <w:b/>
          <w:bCs/>
          <w:sz w:val="24"/>
          <w:szCs w:val="24"/>
        </w:rPr>
        <w:t>l</w:t>
      </w:r>
      <w:r w:rsidR="004F7F5A">
        <w:rPr>
          <w:rFonts w:ascii="Times New Roman" w:hAnsi="Times New Roman" w:cs="Times New Roman"/>
          <w:b/>
          <w:bCs/>
          <w:sz w:val="24"/>
          <w:szCs w:val="24"/>
        </w:rPr>
        <w:t xml:space="preserve">imited </w:t>
      </w:r>
      <w:r>
        <w:rPr>
          <w:rFonts w:ascii="Times New Roman" w:hAnsi="Times New Roman" w:cs="Times New Roman"/>
          <w:b/>
          <w:bCs/>
          <w:sz w:val="24"/>
          <w:szCs w:val="24"/>
        </w:rPr>
        <w:t>re</w:t>
      </w:r>
      <w:r w:rsidR="00025C4D" w:rsidRPr="00025C4D">
        <w:rPr>
          <w:rFonts w:ascii="Times New Roman" w:hAnsi="Times New Roman" w:cs="Times New Roman"/>
          <w:b/>
          <w:bCs/>
          <w:sz w:val="24"/>
          <w:szCs w:val="24"/>
        </w:rPr>
        <w:t xml:space="preserve">infection </w:t>
      </w:r>
      <w:r>
        <w:rPr>
          <w:rFonts w:ascii="Times New Roman" w:hAnsi="Times New Roman" w:cs="Times New Roman"/>
          <w:b/>
          <w:bCs/>
          <w:sz w:val="24"/>
          <w:szCs w:val="24"/>
        </w:rPr>
        <w:t xml:space="preserve">effects in this longitudinal serological </w:t>
      </w:r>
      <w:proofErr w:type="gramStart"/>
      <w:r>
        <w:rPr>
          <w:rFonts w:ascii="Times New Roman" w:hAnsi="Times New Roman" w:cs="Times New Roman"/>
          <w:b/>
          <w:bCs/>
          <w:sz w:val="24"/>
          <w:szCs w:val="24"/>
        </w:rPr>
        <w:t>study</w:t>
      </w:r>
      <w:proofErr w:type="gramEnd"/>
    </w:p>
    <w:p w14:paraId="0CB686EA" w14:textId="7E5A19D6" w:rsidR="00025C4D" w:rsidRPr="00025C4D" w:rsidRDefault="00025C4D" w:rsidP="00081222">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R</w:t>
      </w:r>
      <w:r w:rsidRPr="00E91CB2">
        <w:rPr>
          <w:rFonts w:ascii="Times New Roman" w:hAnsi="Times New Roman" w:cs="Times New Roman"/>
          <w:sz w:val="24"/>
          <w:szCs w:val="24"/>
        </w:rPr>
        <w:t xml:space="preserve">einfection (including undetected reinfection) is an important factor </w:t>
      </w:r>
      <w:r>
        <w:rPr>
          <w:rFonts w:ascii="Times New Roman" w:hAnsi="Times New Roman" w:cs="Times New Roman"/>
          <w:sz w:val="24"/>
          <w:szCs w:val="24"/>
        </w:rPr>
        <w:t>to consider in</w:t>
      </w:r>
      <w:r w:rsidRPr="00E91CB2">
        <w:rPr>
          <w:rFonts w:ascii="Times New Roman" w:hAnsi="Times New Roman" w:cs="Times New Roman"/>
          <w:sz w:val="24"/>
          <w:szCs w:val="24"/>
        </w:rPr>
        <w:t xml:space="preserve"> longitudinal serological stud</w:t>
      </w:r>
      <w:r>
        <w:rPr>
          <w:rFonts w:ascii="Times New Roman" w:hAnsi="Times New Roman" w:cs="Times New Roman"/>
          <w:sz w:val="24"/>
          <w:szCs w:val="24"/>
        </w:rPr>
        <w:t>ies</w:t>
      </w:r>
      <w:r w:rsidRPr="00E91CB2">
        <w:rPr>
          <w:rFonts w:ascii="Times New Roman" w:hAnsi="Times New Roman" w:cs="Times New Roman"/>
          <w:sz w:val="24"/>
          <w:szCs w:val="24"/>
        </w:rPr>
        <w:t xml:space="preserve">, </w:t>
      </w:r>
      <w:r>
        <w:rPr>
          <w:rFonts w:ascii="Times New Roman" w:hAnsi="Times New Roman" w:cs="Times New Roman"/>
          <w:sz w:val="24"/>
          <w:szCs w:val="24"/>
        </w:rPr>
        <w:t xml:space="preserve">effectively shortening </w:t>
      </w:r>
      <w:r w:rsidRPr="00E91CB2">
        <w:rPr>
          <w:rFonts w:ascii="Times New Roman" w:hAnsi="Times New Roman" w:cs="Times New Roman"/>
          <w:sz w:val="24"/>
          <w:szCs w:val="24"/>
        </w:rPr>
        <w:t xml:space="preserve">the interval between infection and serological testing, </w:t>
      </w:r>
      <w:r>
        <w:rPr>
          <w:rFonts w:ascii="Times New Roman" w:hAnsi="Times New Roman" w:cs="Times New Roman"/>
          <w:sz w:val="24"/>
          <w:szCs w:val="24"/>
        </w:rPr>
        <w:t xml:space="preserve">and </w:t>
      </w:r>
      <w:r w:rsidRPr="00E91CB2">
        <w:rPr>
          <w:rFonts w:ascii="Times New Roman" w:hAnsi="Times New Roman" w:cs="Times New Roman"/>
          <w:sz w:val="24"/>
          <w:szCs w:val="24"/>
        </w:rPr>
        <w:t xml:space="preserve">therefore affecting seropositivity of antibody </w:t>
      </w:r>
      <w:r w:rsidRPr="00025C4D">
        <w:rPr>
          <w:rFonts w:ascii="Times New Roman" w:hAnsi="Times New Roman" w:cs="Times New Roman"/>
          <w:sz w:val="24"/>
          <w:szCs w:val="24"/>
        </w:rPr>
        <w:t>assays</w:t>
      </w:r>
      <w:r w:rsidR="00070824">
        <w:rPr>
          <w:rFonts w:ascii="Times New Roman" w:hAnsi="Times New Roman" w:cs="Times New Roman"/>
          <w:sz w:val="24"/>
          <w:szCs w:val="24"/>
        </w:rPr>
        <w:t xml:space="preserve"> [1,2]</w:t>
      </w:r>
      <w:r w:rsidRPr="00025C4D">
        <w:rPr>
          <w:rFonts w:ascii="Times New Roman" w:hAnsi="Times New Roman" w:cs="Times New Roman"/>
          <w:sz w:val="24"/>
          <w:szCs w:val="24"/>
        </w:rPr>
        <w:t xml:space="preserve">. Because our hospital’s incidence rates remained extremely low (0.34% by mid-July 2020; 1.59% by mid-June 2021) prior to Delta variant spread in Tokyo in early </w:t>
      </w:r>
      <w:proofErr w:type="gramStart"/>
      <w:r w:rsidRPr="00025C4D">
        <w:rPr>
          <w:rFonts w:ascii="Times New Roman" w:hAnsi="Times New Roman" w:cs="Times New Roman"/>
          <w:sz w:val="24"/>
          <w:szCs w:val="24"/>
        </w:rPr>
        <w:t>June,</w:t>
      </w:r>
      <w:proofErr w:type="gramEnd"/>
      <w:r w:rsidRPr="00025C4D">
        <w:rPr>
          <w:rFonts w:ascii="Times New Roman" w:hAnsi="Times New Roman" w:cs="Times New Roman"/>
          <w:sz w:val="24"/>
          <w:szCs w:val="24"/>
        </w:rPr>
        <w:t xml:space="preserve"> 2021, the vast majority of infections among those studied was likely to have occurred during the later Delta variant between June-September 2021 or Omicron variant surges beginning in January 2022</w:t>
      </w:r>
      <w:r w:rsidR="00070824">
        <w:rPr>
          <w:rFonts w:ascii="Times New Roman" w:hAnsi="Times New Roman" w:cs="Times New Roman"/>
          <w:sz w:val="24"/>
          <w:szCs w:val="24"/>
        </w:rPr>
        <w:t xml:space="preserve"> [3</w:t>
      </w:r>
      <w:r w:rsidR="00070824">
        <w:rPr>
          <w:rFonts w:ascii="Times New Roman" w:hAnsi="Times New Roman" w:cs="Times New Roman"/>
          <w:sz w:val="24"/>
          <w:szCs w:val="24"/>
        </w:rPr>
        <w:softHyphen/>
      </w:r>
      <w:r w:rsidR="00070824">
        <w:rPr>
          <w:rFonts w:ascii="Times New Roman" w:hAnsi="Times New Roman" w:cs="Times New Roman"/>
          <w:sz w:val="24"/>
          <w:szCs w:val="24"/>
        </w:rPr>
        <w:noBreakHyphen/>
        <w:t>6]</w:t>
      </w:r>
      <w:r w:rsidRPr="00025C4D">
        <w:rPr>
          <w:rFonts w:ascii="Times New Roman" w:hAnsi="Times New Roman" w:cs="Times New Roman"/>
          <w:sz w:val="24"/>
          <w:szCs w:val="24"/>
        </w:rPr>
        <w:t xml:space="preserve">. The booster vaccination campaign, exclusively using mRNA </w:t>
      </w:r>
      <w:r w:rsidRPr="00025C4D">
        <w:rPr>
          <w:rFonts w:ascii="Times New Roman" w:hAnsi="Times New Roman" w:cs="Times New Roman"/>
          <w:sz w:val="24"/>
          <w:szCs w:val="24"/>
        </w:rPr>
        <w:lastRenderedPageBreak/>
        <w:t>vaccines, for health care workers was initiated in December 2021 at our hospital. Previous studies have demonstrated that protection conferred by infection-acquired immunity remained above 90% in subsequently vaccinated persons</w:t>
      </w:r>
      <w:r w:rsidR="00070824">
        <w:rPr>
          <w:rFonts w:ascii="Times New Roman" w:hAnsi="Times New Roman" w:cs="Times New Roman"/>
          <w:sz w:val="24"/>
          <w:szCs w:val="24"/>
        </w:rPr>
        <w:t xml:space="preserve"> [7,8]</w:t>
      </w:r>
      <w:r w:rsidRPr="00025C4D">
        <w:rPr>
          <w:rFonts w:ascii="Times New Roman" w:hAnsi="Times New Roman" w:cs="Times New Roman"/>
          <w:sz w:val="24"/>
          <w:szCs w:val="24"/>
        </w:rPr>
        <w:t>. Thus, reinfection effects are considered to be limited in this study (1 report of reinfection in this study).</w:t>
      </w:r>
    </w:p>
    <w:p w14:paraId="0DAF599D" w14:textId="1B0DA5D8" w:rsidR="00025C4D" w:rsidRPr="00025C4D" w:rsidRDefault="00025C4D" w:rsidP="00081222">
      <w:pPr>
        <w:adjustRightInd w:val="0"/>
        <w:snapToGrid w:val="0"/>
        <w:spacing w:line="360" w:lineRule="auto"/>
        <w:rPr>
          <w:rFonts w:ascii="Times New Roman" w:hAnsi="Times New Roman" w:cs="Times New Roman"/>
          <w:sz w:val="24"/>
          <w:szCs w:val="24"/>
        </w:rPr>
      </w:pPr>
    </w:p>
    <w:p w14:paraId="759FFFB8" w14:textId="628C7A29" w:rsidR="00025C4D" w:rsidRPr="000C44AD" w:rsidRDefault="00025C4D" w:rsidP="00081222">
      <w:pPr>
        <w:adjustRightInd w:val="0"/>
        <w:snapToGrid w:val="0"/>
        <w:spacing w:line="360" w:lineRule="auto"/>
        <w:rPr>
          <w:rFonts w:ascii="Times New Roman" w:hAnsi="Times New Roman" w:cs="Times New Roman"/>
          <w:b/>
          <w:bCs/>
          <w:sz w:val="24"/>
          <w:szCs w:val="24"/>
        </w:rPr>
      </w:pPr>
      <w:r w:rsidRPr="000C44AD">
        <w:rPr>
          <w:rFonts w:ascii="Times New Roman" w:hAnsi="Times New Roman" w:cs="Times New Roman"/>
          <w:b/>
          <w:bCs/>
          <w:sz w:val="24"/>
          <w:szCs w:val="24"/>
        </w:rPr>
        <w:t>References</w:t>
      </w:r>
    </w:p>
    <w:p w14:paraId="3FD22D97" w14:textId="0A1271A2"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1</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Harley K, </w:t>
      </w:r>
      <w:proofErr w:type="spellStart"/>
      <w:r w:rsidR="00025C4D" w:rsidRPr="00025C4D">
        <w:rPr>
          <w:rFonts w:ascii="Times New Roman" w:hAnsi="Times New Roman" w:cs="Times New Roman"/>
          <w:sz w:val="24"/>
          <w:szCs w:val="24"/>
        </w:rPr>
        <w:t>Gunsolus</w:t>
      </w:r>
      <w:proofErr w:type="spellEnd"/>
      <w:r w:rsidR="00025C4D" w:rsidRPr="00025C4D">
        <w:rPr>
          <w:rFonts w:ascii="Times New Roman" w:hAnsi="Times New Roman" w:cs="Times New Roman"/>
          <w:sz w:val="24"/>
          <w:szCs w:val="24"/>
        </w:rPr>
        <w:t xml:space="preserve"> IL. Comparison of the Clinical Performances of the Abbott Alinity IgG, Abbott Architect IgM, and Roche Elecsys Total SARS-CoV-2 Antibody Assays. J Clin </w:t>
      </w:r>
      <w:proofErr w:type="spellStart"/>
      <w:r w:rsidR="00025C4D" w:rsidRPr="00025C4D">
        <w:rPr>
          <w:rFonts w:ascii="Times New Roman" w:hAnsi="Times New Roman" w:cs="Times New Roman"/>
          <w:sz w:val="24"/>
          <w:szCs w:val="24"/>
        </w:rPr>
        <w:t>Microbiol</w:t>
      </w:r>
      <w:proofErr w:type="spellEnd"/>
      <w:r w:rsidR="00025C4D" w:rsidRPr="00025C4D">
        <w:rPr>
          <w:rFonts w:ascii="Times New Roman" w:hAnsi="Times New Roman" w:cs="Times New Roman"/>
          <w:sz w:val="24"/>
          <w:szCs w:val="24"/>
        </w:rPr>
        <w:t>. 2020;59(1</w:t>
      </w:r>
      <w:proofErr w:type="gramStart"/>
      <w:r w:rsidR="00025C4D" w:rsidRPr="00025C4D">
        <w:rPr>
          <w:rFonts w:ascii="Times New Roman" w:hAnsi="Times New Roman" w:cs="Times New Roman"/>
          <w:sz w:val="24"/>
          <w:szCs w:val="24"/>
        </w:rPr>
        <w:t>):e</w:t>
      </w:r>
      <w:proofErr w:type="gramEnd"/>
      <w:r w:rsidR="00025C4D" w:rsidRPr="00025C4D">
        <w:rPr>
          <w:rFonts w:ascii="Times New Roman" w:hAnsi="Times New Roman" w:cs="Times New Roman"/>
          <w:sz w:val="24"/>
          <w:szCs w:val="24"/>
        </w:rPr>
        <w:t xml:space="preserve">02104-20.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10.1128/JCM.02104-20.</w:t>
      </w:r>
    </w:p>
    <w:p w14:paraId="6ABE4F06" w14:textId="483BA252"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2</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Weidner L, </w:t>
      </w:r>
      <w:proofErr w:type="spellStart"/>
      <w:r w:rsidR="00025C4D" w:rsidRPr="00025C4D">
        <w:rPr>
          <w:rFonts w:ascii="Times New Roman" w:hAnsi="Times New Roman" w:cs="Times New Roman"/>
          <w:sz w:val="24"/>
          <w:szCs w:val="24"/>
        </w:rPr>
        <w:t>Gansdorfer</w:t>
      </w:r>
      <w:proofErr w:type="spellEnd"/>
      <w:r w:rsidR="00025C4D" w:rsidRPr="00025C4D">
        <w:rPr>
          <w:rFonts w:ascii="Times New Roman" w:hAnsi="Times New Roman" w:cs="Times New Roman"/>
          <w:sz w:val="24"/>
          <w:szCs w:val="24"/>
        </w:rPr>
        <w:t xml:space="preserve"> S, </w:t>
      </w:r>
      <w:proofErr w:type="spellStart"/>
      <w:r w:rsidR="00025C4D" w:rsidRPr="00025C4D">
        <w:rPr>
          <w:rFonts w:ascii="Times New Roman" w:hAnsi="Times New Roman" w:cs="Times New Roman"/>
          <w:sz w:val="24"/>
          <w:szCs w:val="24"/>
        </w:rPr>
        <w:t>Unterweger</w:t>
      </w:r>
      <w:proofErr w:type="spellEnd"/>
      <w:r w:rsidR="00025C4D" w:rsidRPr="00025C4D">
        <w:rPr>
          <w:rFonts w:ascii="Times New Roman" w:hAnsi="Times New Roman" w:cs="Times New Roman"/>
          <w:sz w:val="24"/>
          <w:szCs w:val="24"/>
        </w:rPr>
        <w:t xml:space="preserve"> S, et al. Quantification of SARS-CoV-2 antibodies with eight commercially available immunoassays. J Clin </w:t>
      </w:r>
      <w:proofErr w:type="spellStart"/>
      <w:r w:rsidR="00025C4D" w:rsidRPr="00025C4D">
        <w:rPr>
          <w:rFonts w:ascii="Times New Roman" w:hAnsi="Times New Roman" w:cs="Times New Roman"/>
          <w:sz w:val="24"/>
          <w:szCs w:val="24"/>
        </w:rPr>
        <w:t>Virol</w:t>
      </w:r>
      <w:proofErr w:type="spellEnd"/>
      <w:r w:rsidR="00025C4D" w:rsidRPr="00025C4D">
        <w:rPr>
          <w:rFonts w:ascii="Times New Roman" w:hAnsi="Times New Roman" w:cs="Times New Roman"/>
          <w:sz w:val="24"/>
          <w:szCs w:val="24"/>
        </w:rPr>
        <w:t xml:space="preserve">. </w:t>
      </w:r>
      <w:proofErr w:type="gramStart"/>
      <w:r w:rsidR="00025C4D" w:rsidRPr="00025C4D">
        <w:rPr>
          <w:rFonts w:ascii="Times New Roman" w:hAnsi="Times New Roman" w:cs="Times New Roman"/>
          <w:sz w:val="24"/>
          <w:szCs w:val="24"/>
        </w:rPr>
        <w:t>2020;129:104540</w:t>
      </w:r>
      <w:proofErr w:type="gramEnd"/>
      <w:r w:rsidR="00025C4D" w:rsidRPr="00025C4D">
        <w:rPr>
          <w:rFonts w:ascii="Times New Roman" w:hAnsi="Times New Roman" w:cs="Times New Roman"/>
          <w:sz w:val="24"/>
          <w:szCs w:val="24"/>
        </w:rPr>
        <w:t>.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10.1016/j.jcv.2020.104540.</w:t>
      </w:r>
    </w:p>
    <w:p w14:paraId="38E78342" w14:textId="475863FB"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3</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Fukuda H, </w:t>
      </w:r>
      <w:proofErr w:type="spellStart"/>
      <w:r w:rsidR="00025C4D" w:rsidRPr="00025C4D">
        <w:rPr>
          <w:rFonts w:ascii="Times New Roman" w:hAnsi="Times New Roman" w:cs="Times New Roman"/>
          <w:sz w:val="24"/>
          <w:szCs w:val="24"/>
        </w:rPr>
        <w:t>Seyama</w:t>
      </w:r>
      <w:proofErr w:type="spellEnd"/>
      <w:r w:rsidR="00025C4D" w:rsidRPr="00025C4D">
        <w:rPr>
          <w:rFonts w:ascii="Times New Roman" w:hAnsi="Times New Roman" w:cs="Times New Roman"/>
          <w:sz w:val="24"/>
          <w:szCs w:val="24"/>
        </w:rPr>
        <w:t xml:space="preserve"> K, Ito K, et al. SARS-CoV-2 seroprevalence in healthcare workers at a frontline hospital in Tokyo. Sci Rep. 2021;11(1):8380.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10.1038/s41598-021-87688-9.</w:t>
      </w:r>
    </w:p>
    <w:p w14:paraId="24A35A83" w14:textId="1D7B22FE"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4</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proofErr w:type="spellStart"/>
      <w:r w:rsidR="00025C4D" w:rsidRPr="00025C4D">
        <w:rPr>
          <w:rFonts w:ascii="Times New Roman" w:hAnsi="Times New Roman" w:cs="Times New Roman"/>
          <w:sz w:val="24"/>
          <w:szCs w:val="24"/>
        </w:rPr>
        <w:t>Igawa</w:t>
      </w:r>
      <w:proofErr w:type="spellEnd"/>
      <w:r w:rsidR="00025C4D" w:rsidRPr="00025C4D">
        <w:rPr>
          <w:rFonts w:ascii="Times New Roman" w:hAnsi="Times New Roman" w:cs="Times New Roman"/>
          <w:sz w:val="24"/>
          <w:szCs w:val="24"/>
        </w:rPr>
        <w:t xml:space="preserve"> G, Ai T, Yamamoto T, et al. Antibody response and seroprevalence in healthcare workers after the BNT162b2 vaccination in a University Hospital at Tokyo. Sci Rep. 2022;12(1):8707.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10.1038/s41598-022-12809-x.</w:t>
      </w:r>
    </w:p>
    <w:p w14:paraId="29D41DC5" w14:textId="712062BF"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5</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Yan Y, Naito T, </w:t>
      </w:r>
      <w:proofErr w:type="spellStart"/>
      <w:r w:rsidR="00025C4D" w:rsidRPr="00025C4D">
        <w:rPr>
          <w:rFonts w:ascii="Times New Roman" w:hAnsi="Times New Roman" w:cs="Times New Roman"/>
          <w:sz w:val="24"/>
          <w:szCs w:val="24"/>
        </w:rPr>
        <w:t>Tabe</w:t>
      </w:r>
      <w:proofErr w:type="spellEnd"/>
      <w:r w:rsidR="00025C4D" w:rsidRPr="00025C4D">
        <w:rPr>
          <w:rFonts w:ascii="Times New Roman" w:hAnsi="Times New Roman" w:cs="Times New Roman"/>
          <w:sz w:val="24"/>
          <w:szCs w:val="24"/>
        </w:rPr>
        <w:t xml:space="preserve"> Y, et al. Increased delta variant SARS-CoV-2 infections in a highly vaccinated medical center in Japan. Vaccine. 2022;40(23):3103-3108.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10.1016/j.vaccine.2022.04.029.</w:t>
      </w:r>
    </w:p>
    <w:p w14:paraId="4986E1A9" w14:textId="7F302CC6"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6</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Okumura N, Tsuzuki S, Saito S, et al. The first eleven cases of SARS-CoV-2 Omicron variant infection in Japan: A focus on viral dynamics. </w:t>
      </w:r>
      <w:hyperlink r:id="rId8" w:history="1">
        <w:r w:rsidR="00025C4D" w:rsidRPr="00025C4D">
          <w:rPr>
            <w:rFonts w:ascii="Times New Roman" w:hAnsi="Times New Roman" w:cs="Times New Roman"/>
            <w:sz w:val="24"/>
            <w:szCs w:val="24"/>
          </w:rPr>
          <w:t>Glob Health Med.</w:t>
        </w:r>
      </w:hyperlink>
      <w:r w:rsidR="00025C4D" w:rsidRPr="00025C4D">
        <w:rPr>
          <w:rFonts w:ascii="Times New Roman" w:hAnsi="Times New Roman" w:cs="Times New Roman"/>
          <w:sz w:val="24"/>
          <w:szCs w:val="24"/>
        </w:rPr>
        <w:t> 2022; 4(2): 133–136.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w:t>
      </w:r>
      <w:hyperlink r:id="rId9" w:tgtFrame="_blank" w:history="1">
        <w:r w:rsidR="00025C4D" w:rsidRPr="00025C4D">
          <w:rPr>
            <w:rFonts w:ascii="Times New Roman" w:hAnsi="Times New Roman" w:cs="Times New Roman"/>
            <w:sz w:val="24"/>
            <w:szCs w:val="24"/>
          </w:rPr>
          <w:t>10.35772/ghm.2021.01124</w:t>
        </w:r>
      </w:hyperlink>
    </w:p>
    <w:p w14:paraId="211AE85E" w14:textId="0D584C69" w:rsidR="00025C4D" w:rsidRPr="00025C4D" w:rsidRDefault="00070824" w:rsidP="00081222">
      <w:pPr>
        <w:snapToGrid w:val="0"/>
        <w:spacing w:line="360" w:lineRule="auto"/>
        <w:rPr>
          <w:rFonts w:ascii="Times New Roman"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7</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r w:rsidR="00025C4D" w:rsidRPr="00025C4D">
        <w:rPr>
          <w:rFonts w:ascii="Times New Roman" w:hAnsi="Times New Roman" w:cs="Times New Roman"/>
          <w:sz w:val="24"/>
          <w:szCs w:val="24"/>
        </w:rPr>
        <w:t xml:space="preserve">Hall V, Foulkes S, Insalata F, et al. Protection against SARS-CoV-2 after Covid-19 Vaccination and Previous Infection. N Engl J Med. 2022;386(13):1207-1220.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10.1056/NEJMoa2118691.</w:t>
      </w:r>
    </w:p>
    <w:p w14:paraId="6AAB1B58" w14:textId="0CE3D31B" w:rsidR="00025C4D" w:rsidRPr="00025C4D" w:rsidRDefault="00070824" w:rsidP="00AA5F79">
      <w:pPr>
        <w:snapToGrid w:val="0"/>
        <w:spacing w:line="360" w:lineRule="auto"/>
        <w:rPr>
          <w:rFonts w:ascii="Times New Roman" w:eastAsia="游明朝" w:hAnsi="Times New Roman" w:cs="Times New Roman"/>
          <w:sz w:val="24"/>
          <w:szCs w:val="24"/>
        </w:rPr>
      </w:pPr>
      <w:r>
        <w:rPr>
          <w:rFonts w:ascii="Times New Roman" w:hAnsi="Times New Roman" w:cs="Times New Roman"/>
          <w:sz w:val="24"/>
          <w:szCs w:val="24"/>
        </w:rPr>
        <w:t>[</w:t>
      </w:r>
      <w:r w:rsidR="00025C4D" w:rsidRPr="00025C4D">
        <w:rPr>
          <w:rFonts w:ascii="Times New Roman" w:hAnsi="Times New Roman" w:cs="Times New Roman"/>
          <w:sz w:val="24"/>
          <w:szCs w:val="24"/>
        </w:rPr>
        <w:t>8</w:t>
      </w:r>
      <w:r>
        <w:rPr>
          <w:rFonts w:ascii="Times New Roman" w:hAnsi="Times New Roman" w:cs="Times New Roman"/>
          <w:sz w:val="24"/>
          <w:szCs w:val="24"/>
        </w:rPr>
        <w:t>]</w:t>
      </w:r>
      <w:r w:rsidR="00025C4D" w:rsidRPr="00025C4D">
        <w:rPr>
          <w:rFonts w:ascii="Times New Roman" w:hAnsi="Times New Roman" w:cs="Times New Roman"/>
          <w:sz w:val="24"/>
          <w:szCs w:val="24"/>
        </w:rPr>
        <w:t>.</w:t>
      </w:r>
      <w:r w:rsidR="000C44AD">
        <w:rPr>
          <w:rFonts w:ascii="Times New Roman" w:hAnsi="Times New Roman" w:cs="Times New Roman"/>
          <w:sz w:val="24"/>
          <w:szCs w:val="24"/>
        </w:rPr>
        <w:t xml:space="preserve">  </w:t>
      </w:r>
      <w:proofErr w:type="spellStart"/>
      <w:r w:rsidR="00025C4D" w:rsidRPr="00025C4D">
        <w:rPr>
          <w:rFonts w:ascii="Times New Roman" w:hAnsi="Times New Roman" w:cs="Times New Roman"/>
          <w:sz w:val="24"/>
          <w:szCs w:val="24"/>
        </w:rPr>
        <w:t>Matuchansky</w:t>
      </w:r>
      <w:proofErr w:type="spellEnd"/>
      <w:r w:rsidR="00025C4D" w:rsidRPr="00025C4D">
        <w:rPr>
          <w:rFonts w:ascii="Times New Roman" w:hAnsi="Times New Roman" w:cs="Times New Roman"/>
          <w:sz w:val="24"/>
          <w:szCs w:val="24"/>
        </w:rPr>
        <w:t xml:space="preserve"> C. Protection against SARS-CoV-2 after Vaccination and Previous Infection. N Engl J Med. 2022;386(26):2534. </w:t>
      </w:r>
      <w:proofErr w:type="spellStart"/>
      <w:r w:rsidR="00025C4D" w:rsidRPr="00025C4D">
        <w:rPr>
          <w:rFonts w:ascii="Times New Roman" w:hAnsi="Times New Roman" w:cs="Times New Roman"/>
          <w:sz w:val="24"/>
          <w:szCs w:val="24"/>
        </w:rPr>
        <w:t>doi</w:t>
      </w:r>
      <w:proofErr w:type="spellEnd"/>
      <w:r w:rsidR="00025C4D" w:rsidRPr="00025C4D">
        <w:rPr>
          <w:rFonts w:ascii="Times New Roman" w:hAnsi="Times New Roman" w:cs="Times New Roman"/>
          <w:sz w:val="24"/>
          <w:szCs w:val="24"/>
        </w:rPr>
        <w:t>: 10.1056/NEJMc2205618.</w:t>
      </w:r>
    </w:p>
    <w:sectPr w:rsidR="00025C4D" w:rsidRPr="00025C4D" w:rsidSect="0001231F">
      <w:footerReference w:type="default" r:id="rId10"/>
      <w:pgSz w:w="11906" w:h="16838"/>
      <w:pgMar w:top="1247"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D3A9D" w14:textId="77777777" w:rsidR="00461497" w:rsidRDefault="00461497" w:rsidP="00F409A3">
      <w:r>
        <w:separator/>
      </w:r>
    </w:p>
  </w:endnote>
  <w:endnote w:type="continuationSeparator" w:id="0">
    <w:p w14:paraId="4F7CE2D4" w14:textId="77777777" w:rsidR="00461497" w:rsidRDefault="00461497" w:rsidP="00F4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923374"/>
      <w:docPartObj>
        <w:docPartGallery w:val="Page Numbers (Bottom of Page)"/>
        <w:docPartUnique/>
      </w:docPartObj>
    </w:sdtPr>
    <w:sdtEndPr/>
    <w:sdtContent>
      <w:p w14:paraId="0F68AC2A" w14:textId="5BA5EA33" w:rsidR="00F409A3" w:rsidRDefault="00F409A3">
        <w:pPr>
          <w:pStyle w:val="a9"/>
          <w:jc w:val="right"/>
        </w:pPr>
        <w:r>
          <w:fldChar w:fldCharType="begin"/>
        </w:r>
        <w:r>
          <w:instrText>PAGE   \* MERGEFORMAT</w:instrText>
        </w:r>
        <w:r>
          <w:fldChar w:fldCharType="separate"/>
        </w:r>
        <w:r>
          <w:rPr>
            <w:lang w:val="ja-JP"/>
          </w:rPr>
          <w:t>2</w:t>
        </w:r>
        <w:r>
          <w:fldChar w:fldCharType="end"/>
        </w:r>
      </w:p>
    </w:sdtContent>
  </w:sdt>
  <w:p w14:paraId="7A2C57F2" w14:textId="77777777" w:rsidR="00F409A3" w:rsidRDefault="00F409A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C394F" w14:textId="77777777" w:rsidR="00461497" w:rsidRDefault="00461497" w:rsidP="00F409A3">
      <w:r>
        <w:separator/>
      </w:r>
    </w:p>
  </w:footnote>
  <w:footnote w:type="continuationSeparator" w:id="0">
    <w:p w14:paraId="6DBBB778" w14:textId="77777777" w:rsidR="00461497" w:rsidRDefault="00461497" w:rsidP="00F40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E4414"/>
    <w:multiLevelType w:val="hybridMultilevel"/>
    <w:tmpl w:val="509E19BC"/>
    <w:lvl w:ilvl="0" w:tplc="84366F68">
      <w:start w:val="1"/>
      <w:numFmt w:val="decimal"/>
      <w:lvlText w:val="%1."/>
      <w:lvlJc w:val="left"/>
      <w:pPr>
        <w:ind w:left="360" w:hanging="360"/>
      </w:pPr>
      <w:rPr>
        <w:rFonts w:hint="default"/>
        <w: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A87139"/>
    <w:multiLevelType w:val="hybridMultilevel"/>
    <w:tmpl w:val="F80A55B6"/>
    <w:lvl w:ilvl="0" w:tplc="B3CAD4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1F07C8"/>
    <w:multiLevelType w:val="hybridMultilevel"/>
    <w:tmpl w:val="C004D47C"/>
    <w:lvl w:ilvl="0" w:tplc="C6EA83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502E94"/>
    <w:multiLevelType w:val="hybridMultilevel"/>
    <w:tmpl w:val="C40A250A"/>
    <w:lvl w:ilvl="0" w:tplc="614047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2870209">
    <w:abstractNumId w:val="2"/>
  </w:num>
  <w:num w:numId="2" w16cid:durableId="1066997713">
    <w:abstractNumId w:val="1"/>
  </w:num>
  <w:num w:numId="3" w16cid:durableId="1855726025">
    <w:abstractNumId w:val="0"/>
  </w:num>
  <w:num w:numId="4" w16cid:durableId="2086301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CC"/>
    <w:rsid w:val="0001231F"/>
    <w:rsid w:val="00025C4D"/>
    <w:rsid w:val="00070016"/>
    <w:rsid w:val="00070824"/>
    <w:rsid w:val="000748DF"/>
    <w:rsid w:val="00081222"/>
    <w:rsid w:val="000C44AD"/>
    <w:rsid w:val="00177B13"/>
    <w:rsid w:val="00210E90"/>
    <w:rsid w:val="00317077"/>
    <w:rsid w:val="00325309"/>
    <w:rsid w:val="00353B58"/>
    <w:rsid w:val="003D7632"/>
    <w:rsid w:val="00461497"/>
    <w:rsid w:val="004862D5"/>
    <w:rsid w:val="004F7F5A"/>
    <w:rsid w:val="00520750"/>
    <w:rsid w:val="006B11CF"/>
    <w:rsid w:val="007A36CC"/>
    <w:rsid w:val="00805906"/>
    <w:rsid w:val="008A05F1"/>
    <w:rsid w:val="00945E63"/>
    <w:rsid w:val="00983281"/>
    <w:rsid w:val="009A0BCE"/>
    <w:rsid w:val="009C671C"/>
    <w:rsid w:val="00A37F22"/>
    <w:rsid w:val="00AA5F79"/>
    <w:rsid w:val="00AE5C4B"/>
    <w:rsid w:val="00B048D8"/>
    <w:rsid w:val="00BA248A"/>
    <w:rsid w:val="00BA34A4"/>
    <w:rsid w:val="00BE7981"/>
    <w:rsid w:val="00C26376"/>
    <w:rsid w:val="00C55687"/>
    <w:rsid w:val="00CA4ECC"/>
    <w:rsid w:val="00D145AA"/>
    <w:rsid w:val="00D90B7A"/>
    <w:rsid w:val="00DC5EBA"/>
    <w:rsid w:val="00E46A29"/>
    <w:rsid w:val="00E70656"/>
    <w:rsid w:val="00F409A3"/>
    <w:rsid w:val="00F60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3731E"/>
  <w15:chartTrackingRefBased/>
  <w15:docId w15:val="{D0AF81BE-DA45-448A-A1F6-1070721A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4ECC"/>
    <w:rPr>
      <w:sz w:val="18"/>
      <w:szCs w:val="18"/>
    </w:rPr>
  </w:style>
  <w:style w:type="paragraph" w:styleId="a4">
    <w:name w:val="annotation text"/>
    <w:basedOn w:val="a"/>
    <w:link w:val="a5"/>
    <w:uiPriority w:val="99"/>
    <w:unhideWhenUsed/>
    <w:rsid w:val="00CA4ECC"/>
    <w:pPr>
      <w:jc w:val="left"/>
    </w:pPr>
  </w:style>
  <w:style w:type="character" w:customStyle="1" w:styleId="a5">
    <w:name w:val="コメント文字列 (文字)"/>
    <w:basedOn w:val="a0"/>
    <w:link w:val="a4"/>
    <w:uiPriority w:val="99"/>
    <w:rsid w:val="00CA4ECC"/>
  </w:style>
  <w:style w:type="paragraph" w:styleId="a6">
    <w:name w:val="List Paragraph"/>
    <w:basedOn w:val="a"/>
    <w:uiPriority w:val="34"/>
    <w:qFormat/>
    <w:rsid w:val="00CA4ECC"/>
    <w:pPr>
      <w:ind w:leftChars="400" w:left="840"/>
    </w:pPr>
  </w:style>
  <w:style w:type="paragraph" w:styleId="a7">
    <w:name w:val="header"/>
    <w:basedOn w:val="a"/>
    <w:link w:val="a8"/>
    <w:uiPriority w:val="99"/>
    <w:unhideWhenUsed/>
    <w:rsid w:val="00F409A3"/>
    <w:pPr>
      <w:tabs>
        <w:tab w:val="center" w:pos="4252"/>
        <w:tab w:val="right" w:pos="8504"/>
      </w:tabs>
      <w:snapToGrid w:val="0"/>
    </w:pPr>
  </w:style>
  <w:style w:type="character" w:customStyle="1" w:styleId="a8">
    <w:name w:val="ヘッダー (文字)"/>
    <w:basedOn w:val="a0"/>
    <w:link w:val="a7"/>
    <w:uiPriority w:val="99"/>
    <w:rsid w:val="00F409A3"/>
  </w:style>
  <w:style w:type="paragraph" w:styleId="a9">
    <w:name w:val="footer"/>
    <w:basedOn w:val="a"/>
    <w:link w:val="aa"/>
    <w:uiPriority w:val="99"/>
    <w:unhideWhenUsed/>
    <w:rsid w:val="00F409A3"/>
    <w:pPr>
      <w:tabs>
        <w:tab w:val="center" w:pos="4252"/>
        <w:tab w:val="right" w:pos="8504"/>
      </w:tabs>
      <w:snapToGrid w:val="0"/>
    </w:pPr>
  </w:style>
  <w:style w:type="character" w:customStyle="1" w:styleId="aa">
    <w:name w:val="フッター (文字)"/>
    <w:basedOn w:val="a0"/>
    <w:link w:val="a9"/>
    <w:uiPriority w:val="99"/>
    <w:rsid w:val="00F409A3"/>
  </w:style>
  <w:style w:type="character" w:styleId="ab">
    <w:name w:val="line number"/>
    <w:basedOn w:val="a0"/>
    <w:uiPriority w:val="99"/>
    <w:semiHidden/>
    <w:unhideWhenUsed/>
    <w:rsid w:val="00AA5F79"/>
  </w:style>
  <w:style w:type="paragraph" w:styleId="ac">
    <w:name w:val="Revision"/>
    <w:hidden/>
    <w:uiPriority w:val="99"/>
    <w:semiHidden/>
    <w:rsid w:val="00D14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5083">
      <w:bodyDiv w:val="1"/>
      <w:marLeft w:val="0"/>
      <w:marRight w:val="0"/>
      <w:marTop w:val="0"/>
      <w:marBottom w:val="0"/>
      <w:divBdr>
        <w:top w:val="none" w:sz="0" w:space="0" w:color="auto"/>
        <w:left w:val="none" w:sz="0" w:space="0" w:color="auto"/>
        <w:bottom w:val="none" w:sz="0" w:space="0" w:color="auto"/>
        <w:right w:val="none" w:sz="0" w:space="0" w:color="auto"/>
      </w:divBdr>
    </w:div>
    <w:div w:id="42815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90664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5772%2Fghm.2021.01124"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75C25-1467-4B42-95E0-70626025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706</Words>
  <Characters>4025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Yan</dc:creator>
  <cp:keywords/>
  <dc:description/>
  <cp:lastModifiedBy>Yan Yan</cp:lastModifiedBy>
  <cp:revision>5</cp:revision>
  <cp:lastPrinted>2023-05-03T05:40:00Z</cp:lastPrinted>
  <dcterms:created xsi:type="dcterms:W3CDTF">2023-04-25T07:42:00Z</dcterms:created>
  <dcterms:modified xsi:type="dcterms:W3CDTF">2023-05-03T05:42:00Z</dcterms:modified>
</cp:coreProperties>
</file>