
<file path=[Content_Types].xml><?xml version="1.0" encoding="utf-8"?>
<Types xmlns="http://schemas.openxmlformats.org/package/2006/content-types">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b/>
          <w:bCs/>
        </w:rPr>
      </w:pPr>
      <w:r>
        <w:rPr>
          <w:b/>
          <w:bCs/>
        </w:rPr>
        <w:t xml:space="preserve">Fecal microbiota transplantation </w:t>
      </w:r>
      <w:r>
        <w:rPr>
          <w:rFonts w:hint="eastAsia"/>
          <w:b/>
          <w:bCs/>
        </w:rPr>
        <w:t>for</w:t>
      </w:r>
      <w:r>
        <w:rPr>
          <w:b/>
          <w:bCs/>
        </w:rPr>
        <w:t xml:space="preserve"> Parkinson's patients with constipation: A pilot clinical trial</w:t>
      </w:r>
    </w:p>
    <w:p>
      <w:pPr>
        <w:spacing w:line="360" w:lineRule="auto"/>
        <w:rPr>
          <w:rFonts w:eastAsiaTheme="minorEastAsia"/>
          <w:b/>
          <w:iCs/>
          <w:sz w:val="21"/>
          <w:szCs w:val="21"/>
          <w:vertAlign w:val="superscript"/>
          <w:lang w:eastAsia="zh-CN"/>
        </w:rPr>
      </w:pPr>
      <w:r>
        <w:rPr>
          <w:rFonts w:hint="eastAsia"/>
          <w:b/>
          <w:iCs/>
          <w:szCs w:val="21"/>
          <w:lang w:eastAsia="zh-CN"/>
        </w:rPr>
        <w:t>Zhibing Qiu</w:t>
      </w:r>
      <w:r>
        <w:rPr>
          <w:rFonts w:hint="eastAsia" w:eastAsiaTheme="minorEastAsia"/>
          <w:b/>
          <w:iCs/>
          <w:sz w:val="21"/>
          <w:szCs w:val="21"/>
          <w:vertAlign w:val="superscript"/>
          <w:lang w:eastAsia="zh-CN"/>
        </w:rPr>
        <w:t>1</w:t>
      </w:r>
      <w:r>
        <w:rPr>
          <w:rFonts w:hint="eastAsia" w:eastAsia="宋体"/>
          <w:sz w:val="22"/>
          <w:vertAlign w:val="superscript"/>
          <w:lang w:eastAsia="zh-CN"/>
        </w:rPr>
        <w:t>#</w:t>
      </w:r>
      <w:r>
        <w:rPr>
          <w:rFonts w:hint="eastAsia"/>
          <w:b/>
          <w:iCs/>
          <w:szCs w:val="21"/>
          <w:lang w:eastAsia="zh-CN"/>
        </w:rPr>
        <w:t>, Huilu Zhang</w:t>
      </w:r>
      <w:r>
        <w:rPr>
          <w:rFonts w:hint="eastAsia" w:eastAsiaTheme="minorEastAsia"/>
          <w:b/>
          <w:iCs/>
          <w:sz w:val="21"/>
          <w:szCs w:val="21"/>
          <w:vertAlign w:val="superscript"/>
          <w:lang w:eastAsia="zh-CN"/>
        </w:rPr>
        <w:t>1</w:t>
      </w:r>
      <w:r>
        <w:rPr>
          <w:rFonts w:hint="eastAsia" w:eastAsia="宋体"/>
          <w:sz w:val="22"/>
          <w:vertAlign w:val="superscript"/>
          <w:lang w:eastAsia="zh-CN"/>
        </w:rPr>
        <w:t>#</w:t>
      </w:r>
      <w:r>
        <w:rPr>
          <w:rFonts w:hint="eastAsia"/>
          <w:b/>
          <w:iCs/>
          <w:szCs w:val="21"/>
          <w:lang w:eastAsia="zh-CN"/>
        </w:rPr>
        <w:t>, Cong Shen</w:t>
      </w:r>
      <w:r>
        <w:rPr>
          <w:rFonts w:hint="eastAsia" w:eastAsiaTheme="minorEastAsia"/>
          <w:b/>
          <w:iCs/>
          <w:sz w:val="21"/>
          <w:szCs w:val="21"/>
          <w:vertAlign w:val="superscript"/>
          <w:lang w:eastAsia="zh-CN"/>
        </w:rPr>
        <w:t>2</w:t>
      </w:r>
      <w:r>
        <w:rPr>
          <w:rFonts w:hint="eastAsia" w:eastAsia="宋体"/>
          <w:sz w:val="22"/>
          <w:vertAlign w:val="superscript"/>
          <w:lang w:eastAsia="zh-CN"/>
        </w:rPr>
        <w:t>#</w:t>
      </w:r>
      <w:r>
        <w:rPr>
          <w:rFonts w:hint="eastAsia"/>
          <w:b/>
          <w:iCs/>
          <w:szCs w:val="21"/>
          <w:lang w:eastAsia="zh-CN"/>
        </w:rPr>
        <w:t>，Jie Liu</w:t>
      </w:r>
      <w:r>
        <w:rPr>
          <w:rFonts w:hint="eastAsia" w:eastAsiaTheme="minorEastAsia"/>
          <w:b/>
          <w:iCs/>
          <w:sz w:val="21"/>
          <w:szCs w:val="21"/>
          <w:vertAlign w:val="superscript"/>
          <w:lang w:eastAsia="zh-CN"/>
        </w:rPr>
        <w:t>1</w:t>
      </w:r>
      <w:r>
        <w:rPr>
          <w:rFonts w:hint="eastAsia"/>
          <w:b/>
          <w:iCs/>
          <w:szCs w:val="21"/>
          <w:lang w:eastAsia="zh-CN"/>
        </w:rPr>
        <w:t>, Jian Wang</w:t>
      </w:r>
      <w:r>
        <w:rPr>
          <w:rFonts w:hint="eastAsia" w:eastAsiaTheme="minorEastAsia"/>
          <w:b/>
          <w:iCs/>
          <w:sz w:val="21"/>
          <w:szCs w:val="21"/>
          <w:vertAlign w:val="superscript"/>
          <w:lang w:eastAsia="zh-CN"/>
        </w:rPr>
        <w:t>2</w:t>
      </w:r>
      <w:r>
        <w:rPr>
          <w:rFonts w:hint="eastAsia"/>
          <w:b/>
          <w:iCs/>
          <w:sz w:val="21"/>
          <w:szCs w:val="21"/>
          <w:vertAlign w:val="superscript"/>
          <w:lang w:eastAsia="zh-CN"/>
        </w:rPr>
        <w:t>*</w:t>
      </w:r>
      <w:r>
        <w:rPr>
          <w:rFonts w:hint="eastAsia"/>
          <w:b/>
          <w:iCs/>
          <w:szCs w:val="21"/>
          <w:lang w:eastAsia="zh-CN"/>
        </w:rPr>
        <w:t>, Jun Zhang</w:t>
      </w:r>
      <w:r>
        <w:rPr>
          <w:rFonts w:hint="eastAsia" w:eastAsiaTheme="minorEastAsia"/>
          <w:b/>
          <w:iCs/>
          <w:sz w:val="21"/>
          <w:szCs w:val="21"/>
          <w:vertAlign w:val="superscript"/>
          <w:lang w:eastAsia="zh-CN"/>
        </w:rPr>
        <w:t>1</w:t>
      </w:r>
      <w:r>
        <w:rPr>
          <w:rFonts w:hint="eastAsia"/>
          <w:b/>
          <w:iCs/>
          <w:sz w:val="21"/>
          <w:szCs w:val="21"/>
          <w:vertAlign w:val="superscript"/>
          <w:lang w:eastAsia="zh-CN"/>
        </w:rPr>
        <w:t>*</w:t>
      </w:r>
    </w:p>
    <w:p>
      <w:pPr>
        <w:numPr>
          <w:ilvl w:val="0"/>
          <w:numId w:val="1"/>
        </w:numPr>
        <w:rPr>
          <w:rFonts w:eastAsia="宋体"/>
          <w:sz w:val="22"/>
        </w:rPr>
      </w:pPr>
      <w:r>
        <w:rPr>
          <w:rFonts w:eastAsia="宋体"/>
          <w:sz w:val="22"/>
        </w:rPr>
        <w:t>Department of Digestive Diseases of Huashan Hospital, Fudan University, Shanghai 200040, P.R. China.</w:t>
      </w:r>
    </w:p>
    <w:p>
      <w:pPr>
        <w:numPr>
          <w:ilvl w:val="0"/>
          <w:numId w:val="1"/>
        </w:numPr>
        <w:rPr>
          <w:rFonts w:eastAsia="宋体"/>
          <w:sz w:val="22"/>
        </w:rPr>
      </w:pPr>
      <w:r>
        <w:rPr>
          <w:rFonts w:hint="eastAsia" w:eastAsia="宋体"/>
          <w:sz w:val="22"/>
        </w:rPr>
        <w:t>Department of Neurology and National Research Center for Aging and Medicine &amp; National Center for Neurological Disorders, State Key Laboratory of Medical Neurobiology, Huashan Hospital, Fudan University, Shanghai, China</w:t>
      </w:r>
    </w:p>
    <w:p>
      <w:pPr>
        <w:numPr>
          <w:ilvl w:val="0"/>
          <w:numId w:val="1"/>
        </w:numPr>
        <w:rPr>
          <w:rFonts w:eastAsia="宋体"/>
          <w:sz w:val="22"/>
          <w:lang w:eastAsia="zh-CN"/>
        </w:rPr>
      </w:pPr>
      <w:r>
        <w:rPr>
          <w:rFonts w:eastAsia="宋体"/>
          <w:sz w:val="22"/>
          <w:lang w:eastAsia="zh-CN"/>
        </w:rPr>
        <w:t xml:space="preserve">* Corresponding author. </w:t>
      </w:r>
      <w:r>
        <w:rPr>
          <w:rFonts w:hint="eastAsia" w:eastAsia="宋体"/>
          <w:sz w:val="22"/>
          <w:lang w:eastAsia="zh-CN"/>
        </w:rPr>
        <w:t xml:space="preserve"> </w:t>
      </w:r>
      <w:r>
        <w:rPr>
          <w:rFonts w:eastAsia="宋体"/>
          <w:sz w:val="22"/>
          <w:lang w:eastAsia="zh-CN"/>
        </w:rPr>
        <w:t xml:space="preserve">E-mail addresses:  </w:t>
      </w:r>
      <w:r>
        <w:rPr>
          <w:rFonts w:hint="eastAsia" w:eastAsia="宋体"/>
          <w:sz w:val="22"/>
          <w:lang w:val="en-US" w:eastAsia="zh-CN"/>
        </w:rPr>
        <w:fldChar w:fldCharType="begin"/>
      </w:r>
      <w:r>
        <w:rPr>
          <w:rFonts w:hint="eastAsia" w:eastAsia="宋体"/>
          <w:sz w:val="22"/>
          <w:lang w:val="en-US" w:eastAsia="zh-CN"/>
        </w:rPr>
        <w:instrText xml:space="preserve"> HYPERLINK "mailto:archteed@163.com" </w:instrText>
      </w:r>
      <w:r>
        <w:rPr>
          <w:rFonts w:hint="eastAsia" w:eastAsia="宋体"/>
          <w:sz w:val="22"/>
          <w:lang w:val="en-US" w:eastAsia="zh-CN"/>
        </w:rPr>
        <w:fldChar w:fldCharType="separate"/>
      </w:r>
      <w:r>
        <w:rPr>
          <w:rStyle w:val="5"/>
          <w:rFonts w:hint="eastAsia" w:eastAsia="宋体"/>
          <w:sz w:val="22"/>
          <w:lang w:val="en-US" w:eastAsia="zh-CN"/>
        </w:rPr>
        <w:t>archteed@163.com</w:t>
      </w:r>
      <w:r>
        <w:rPr>
          <w:rFonts w:hint="eastAsia" w:eastAsia="宋体"/>
          <w:sz w:val="22"/>
          <w:lang w:val="en-US" w:eastAsia="zh-CN"/>
        </w:rPr>
        <w:fldChar w:fldCharType="end"/>
      </w:r>
      <w:r>
        <w:rPr>
          <w:rFonts w:hint="eastAsia" w:eastAsia="宋体"/>
          <w:sz w:val="22"/>
          <w:lang w:val="en-US" w:eastAsia="zh-CN"/>
        </w:rPr>
        <w:t xml:space="preserve"> (Jun Zhang), </w:t>
      </w:r>
      <w:r>
        <w:rPr>
          <w:rFonts w:hint="eastAsia" w:eastAsia="宋体"/>
          <w:sz w:val="22"/>
          <w:lang w:val="en-US" w:eastAsia="zh-CN"/>
        </w:rPr>
        <w:fldChar w:fldCharType="begin"/>
      </w:r>
      <w:r>
        <w:rPr>
          <w:rFonts w:hint="eastAsia" w:eastAsia="宋体"/>
          <w:sz w:val="22"/>
          <w:lang w:val="en-US" w:eastAsia="zh-CN"/>
        </w:rPr>
        <w:instrText xml:space="preserve"> HYPERLINK "mailto:wangjian_hs@fudan.edu.cn(Jian" </w:instrText>
      </w:r>
      <w:r>
        <w:rPr>
          <w:rFonts w:hint="eastAsia" w:eastAsia="宋体"/>
          <w:sz w:val="22"/>
          <w:lang w:val="en-US" w:eastAsia="zh-CN"/>
        </w:rPr>
        <w:fldChar w:fldCharType="separate"/>
      </w:r>
      <w:r>
        <w:rPr>
          <w:rStyle w:val="5"/>
          <w:rFonts w:hint="eastAsia" w:eastAsia="宋体"/>
          <w:sz w:val="22"/>
          <w:lang w:val="en-US" w:eastAsia="zh-CN"/>
        </w:rPr>
        <w:t>wangjian_hs@fudan.edu.cn (Jian</w:t>
      </w:r>
      <w:r>
        <w:rPr>
          <w:rFonts w:hint="eastAsia" w:eastAsia="宋体"/>
          <w:sz w:val="22"/>
          <w:lang w:val="en-US" w:eastAsia="zh-CN"/>
        </w:rPr>
        <w:fldChar w:fldCharType="end"/>
      </w:r>
      <w:r>
        <w:rPr>
          <w:rFonts w:hint="eastAsia" w:eastAsia="宋体"/>
          <w:sz w:val="22"/>
          <w:lang w:val="en-US" w:eastAsia="zh-CN"/>
        </w:rPr>
        <w:t xml:space="preserve"> Wang)</w:t>
      </w:r>
    </w:p>
    <w:p>
      <w:pPr>
        <w:numPr>
          <w:ilvl w:val="0"/>
          <w:numId w:val="1"/>
        </w:numPr>
        <w:rPr>
          <w:rFonts w:eastAsia="宋体"/>
          <w:sz w:val="22"/>
          <w:lang w:eastAsia="zh-CN"/>
        </w:rPr>
      </w:pPr>
      <w:r>
        <w:rPr>
          <w:rFonts w:hint="eastAsia" w:eastAsia="宋体"/>
          <w:sz w:val="22"/>
          <w:lang w:eastAsia="zh-CN"/>
        </w:rPr>
        <w:t xml:space="preserve"># </w:t>
      </w:r>
      <w:r>
        <w:rPr>
          <w:rFonts w:eastAsia="宋体"/>
          <w:sz w:val="22"/>
          <w:lang w:eastAsia="zh-CN"/>
        </w:rPr>
        <w:t>These authors have contributed equally to this work.</w:t>
      </w:r>
    </w:p>
    <w:p>
      <w:pPr>
        <w:spacing w:line="360" w:lineRule="auto"/>
        <w:rPr>
          <w:b/>
          <w:bCs/>
        </w:rPr>
      </w:pPr>
    </w:p>
    <w:p>
      <w:pPr>
        <w:spacing w:line="360" w:lineRule="auto"/>
        <w:rPr>
          <w:b/>
          <w:bCs/>
        </w:rPr>
      </w:pPr>
    </w:p>
    <w:p>
      <w:pPr>
        <w:spacing w:line="360" w:lineRule="auto"/>
        <w:rPr>
          <w:b/>
          <w:bCs/>
        </w:rPr>
      </w:pPr>
    </w:p>
    <w:p>
      <w:pPr>
        <w:spacing w:line="360" w:lineRule="auto"/>
        <w:rPr>
          <w:b/>
          <w:bCs/>
        </w:rPr>
      </w:pPr>
    </w:p>
    <w:p>
      <w:pPr>
        <w:spacing w:line="360" w:lineRule="auto"/>
        <w:rPr>
          <w:b/>
          <w:bCs/>
        </w:rPr>
      </w:pPr>
    </w:p>
    <w:p>
      <w:pPr>
        <w:spacing w:line="360" w:lineRule="auto"/>
        <w:rPr>
          <w:b/>
          <w:bCs/>
        </w:rPr>
      </w:pPr>
    </w:p>
    <w:p>
      <w:pPr>
        <w:spacing w:line="360" w:lineRule="auto"/>
        <w:rPr>
          <w:b/>
          <w:bCs/>
        </w:rPr>
      </w:pPr>
    </w:p>
    <w:p>
      <w:pPr>
        <w:spacing w:line="360" w:lineRule="auto"/>
        <w:rPr>
          <w:b/>
          <w:bCs/>
        </w:rPr>
      </w:pPr>
    </w:p>
    <w:p>
      <w:pPr>
        <w:spacing w:line="360" w:lineRule="auto"/>
        <w:rPr>
          <w:b/>
          <w:bCs/>
        </w:rPr>
      </w:pPr>
    </w:p>
    <w:p>
      <w:pPr>
        <w:spacing w:line="360" w:lineRule="auto"/>
        <w:rPr>
          <w:b/>
          <w:bCs/>
        </w:rPr>
      </w:pPr>
    </w:p>
    <w:p>
      <w:pPr>
        <w:spacing w:line="360" w:lineRule="auto"/>
        <w:rPr>
          <w:b/>
          <w:bCs/>
        </w:rPr>
      </w:pPr>
    </w:p>
    <w:p>
      <w:pPr>
        <w:spacing w:line="360" w:lineRule="auto"/>
        <w:rPr>
          <w:b/>
          <w:bCs/>
        </w:rPr>
      </w:pPr>
    </w:p>
    <w:p>
      <w:pPr>
        <w:spacing w:line="360" w:lineRule="auto"/>
        <w:rPr>
          <w:b/>
          <w:bCs/>
        </w:rPr>
      </w:pPr>
    </w:p>
    <w:p>
      <w:pPr>
        <w:spacing w:line="360" w:lineRule="auto"/>
        <w:rPr>
          <w:b/>
          <w:bCs/>
        </w:rPr>
      </w:pPr>
    </w:p>
    <w:p>
      <w:pPr>
        <w:spacing w:line="360" w:lineRule="auto"/>
        <w:rPr>
          <w:b/>
          <w:bCs/>
        </w:rPr>
      </w:pPr>
    </w:p>
    <w:p>
      <w:pPr>
        <w:spacing w:line="360" w:lineRule="auto"/>
        <w:rPr>
          <w:b/>
          <w:bCs/>
        </w:rPr>
      </w:pPr>
    </w:p>
    <w:p>
      <w:pPr>
        <w:spacing w:line="360" w:lineRule="auto"/>
        <w:rPr>
          <w:b/>
          <w:bCs/>
        </w:rPr>
      </w:pPr>
    </w:p>
    <w:p>
      <w:pPr>
        <w:spacing w:line="360" w:lineRule="auto"/>
        <w:rPr>
          <w:b/>
          <w:bCs/>
        </w:rPr>
      </w:pPr>
    </w:p>
    <w:p>
      <w:pPr>
        <w:spacing w:line="360" w:lineRule="auto"/>
        <w:rPr>
          <w:b/>
          <w:bCs/>
        </w:rPr>
      </w:pPr>
    </w:p>
    <w:p>
      <w:pPr>
        <w:spacing w:line="360" w:lineRule="auto"/>
        <w:rPr>
          <w:b/>
          <w:bCs/>
        </w:rPr>
      </w:pPr>
    </w:p>
    <w:p>
      <w:pPr>
        <w:spacing w:line="360" w:lineRule="auto"/>
        <w:rPr>
          <w:b/>
          <w:bCs/>
        </w:rPr>
      </w:pPr>
    </w:p>
    <w:p>
      <w:pPr>
        <w:spacing w:line="360" w:lineRule="auto"/>
        <w:rPr>
          <w:b/>
          <w:bCs/>
          <w:lang w:val="en-US" w:eastAsia="zh-CN"/>
        </w:rPr>
      </w:pPr>
      <w:r>
        <w:rPr>
          <w:b/>
          <w:bCs/>
          <w:lang w:val="en-US" w:eastAsia="zh-CN"/>
        </w:rPr>
        <w:t>Material and methods</w:t>
      </w:r>
    </w:p>
    <w:p>
      <w:pPr>
        <w:pStyle w:val="2"/>
        <w:shd w:val="clear" w:color="auto" w:fill="FFFFFF"/>
        <w:spacing w:before="0" w:beforeAutospacing="0" w:after="315" w:afterAutospacing="0"/>
        <w:rPr>
          <w:b/>
          <w:bCs/>
        </w:rPr>
      </w:pPr>
      <w:r>
        <w:rPr>
          <w:b/>
          <w:bCs/>
        </w:rPr>
        <w:t>Macrogenomic analysis of fecal bacteria before and after FMT</w:t>
      </w:r>
    </w:p>
    <w:p>
      <w:pPr>
        <w:widowControl w:val="0"/>
        <w:snapToGrid w:val="0"/>
        <w:spacing w:line="360" w:lineRule="auto"/>
        <w:ind w:firstLine="470" w:firstLineChars="196"/>
        <w:jc w:val="both"/>
        <w:rPr>
          <w:rFonts w:eastAsiaTheme="minorEastAsia"/>
          <w:bCs/>
          <w:iCs/>
          <w:kern w:val="2"/>
          <w:lang w:eastAsia="zh-CN"/>
        </w:rPr>
      </w:pPr>
      <w:r>
        <w:rPr>
          <w:rFonts w:eastAsiaTheme="minorEastAsia"/>
          <w:bCs/>
          <w:iCs/>
          <w:kern w:val="2"/>
          <w:lang w:eastAsia="zh-CN"/>
        </w:rPr>
        <w:t>We employed the QIAamp Fast DNA Stool Mini Kit (Qiagen, Germany) to extract fecal bacterial DNA from each sample through a more advanced protocol. Subsequently, we constructed DNA libraries with approximately 500 bp insert sizes for each sample, following the Illumina TruSeq DNA Sample Prep v2 Guide (Illumina, Inc., San Diego, CA, USA).Subjecting all samples to 150 bp paired-end sequencing on an Illumina X-ten platform (San Diego, CA, USA) enabled the alignment of clean reads to the NCBI database (National Center for Biological Information, http://www.).nih.gov) for the detection of known bacteria, fungi, viruses and archaea by SOAPaligner 2.21.Classifying the aligned reads as Kindom, Phylum, Class, Order, Family, Genus, Species, BLAST (Version 2.2.28+) was used to generate taxonomic relative abundance profiles at various levels.Subsequently, the KEGG (Kyoto Encyclopedia of Genes and Genomes)/ EggNOG (evolutionary genealogy of genes) database was used to annotate non-redundant genes.When the protein sequence assembled was comparable (score &gt;60 and E value &lt;1e-5) to the protein sequence in the database, it was deemed to have the same function. We accumulate the relative abundance of all orthologous genes to determine the relative abundance of each KO/NOG.</w:t>
      </w:r>
    </w:p>
    <w:p>
      <w:pPr>
        <w:pStyle w:val="2"/>
        <w:shd w:val="clear" w:color="auto" w:fill="FFFFFF"/>
        <w:spacing w:before="0" w:beforeAutospacing="0" w:after="315" w:afterAutospacing="0"/>
        <w:rPr>
          <w:b/>
          <w:bCs/>
        </w:rPr>
      </w:pPr>
    </w:p>
    <w:p>
      <w:pPr>
        <w:pStyle w:val="2"/>
        <w:shd w:val="clear" w:color="auto" w:fill="FFFFFF"/>
        <w:spacing w:before="0" w:beforeAutospacing="0" w:after="315" w:afterAutospacing="0"/>
        <w:rPr>
          <w:b/>
          <w:bCs/>
        </w:rPr>
      </w:pPr>
      <w:r>
        <w:rPr>
          <w:b/>
          <w:bCs/>
        </w:rPr>
        <w:t>Analysis of fecal and serum metabolites before and after FMT</w:t>
      </w:r>
    </w:p>
    <w:p>
      <w:pPr>
        <w:widowControl w:val="0"/>
        <w:snapToGrid w:val="0"/>
        <w:spacing w:line="360" w:lineRule="auto"/>
        <w:ind w:firstLine="470" w:firstLineChars="196"/>
        <w:jc w:val="both"/>
        <w:rPr>
          <w:rFonts w:eastAsiaTheme="minorEastAsia"/>
          <w:bCs/>
          <w:iCs/>
          <w:kern w:val="2"/>
          <w:lang w:eastAsia="zh-CN"/>
        </w:rPr>
      </w:pPr>
      <w:r>
        <w:rPr>
          <w:rFonts w:eastAsiaTheme="minorEastAsia"/>
          <w:bCs/>
          <w:iCs/>
          <w:kern w:val="2"/>
          <w:lang w:eastAsia="zh-CN"/>
        </w:rPr>
        <w:t>SCIEX Triple TOF 5600+, nexera UHPLC lc-30a was employed to analyze metabolites in feces and serum samples, with LC MS (AB) employed. The chromatographic column was acquired via UPLC HSS T3 (2.1*100mm 1.8μ m).The positive ion detection mode is denoted by POS, which entails the quality analyzer only scanning the positive charged ions and filtering out the negative charged ions in order to acquire the data of the positive charged ions; conversely, the negative ion detection mode is denoted by neg, which involves the quality analyzer only scanning the negative charged ions and filtering out the positive charged ions in order to acquire the information of the negative charged ions.After sample pretreatment Analysis, abfconverter.4.0 is employed to perform LC/MS.0 software to convert into ABF format file, and then carry out peak extraction, peak comparison and peak filtering in ms-dial, supplement missing peaks, and carry out substance identification. The data is standardized into excel two-dimensional data matrix, including retention time, mass charge ratio and observation volume (sample), identified substances, peak strength and other information.Simca-p 14.0 software (umetrics AB, Umea, Sweden) is employed to analyze the modified data matrix for multivariate statistical analysis.</w:t>
      </w:r>
    </w:p>
    <w:p>
      <w:pPr>
        <w:spacing w:before="240" w:after="240"/>
        <w:rPr>
          <w:b/>
          <w:bCs/>
        </w:rPr>
      </w:pPr>
      <w:r>
        <w:rPr>
          <w:b/>
          <w:bCs/>
        </w:rPr>
        <w:t>Statistical analysis</w:t>
      </w:r>
    </w:p>
    <w:p>
      <w:pPr>
        <w:widowControl w:val="0"/>
        <w:snapToGrid w:val="0"/>
        <w:spacing w:line="360" w:lineRule="auto"/>
        <w:ind w:firstLine="470" w:firstLineChars="196"/>
        <w:jc w:val="both"/>
        <w:rPr>
          <w:rFonts w:eastAsiaTheme="minorEastAsia"/>
          <w:bCs/>
          <w:iCs/>
          <w:kern w:val="2"/>
          <w:lang w:eastAsia="zh-CN"/>
        </w:rPr>
      </w:pPr>
      <w:r>
        <w:rPr>
          <w:rFonts w:eastAsiaTheme="minorEastAsia"/>
          <w:bCs/>
          <w:iCs/>
          <w:kern w:val="2"/>
          <w:lang w:eastAsia="zh-CN"/>
        </w:rPr>
        <w:t>The VIP value of the opls-da model (threshold &gt;1) is combined with the t-test p value (P &lt;0.05) for metabolomic analysis. To qualitative analyze differential metabolites, the local mass spectrometry database and the online database (metlin) are searched, contrasting the mass charge ratio m / Z of mass spectrometry or the precise molecular mass mass mass.Employing Prism v8.2.1 (GraphPad Software, Inc.), a Student's t test of paired two-tailed design was utilized to differentiate between the groups, with P values of less than 0.05 being deemed statistically significant. The correlation between various species and metabolites was ascertained by utilizing species level distinct species and metabolites supplied, and the correlation was established by R (v3.5).test). When p &lt;0.05,"+" is used to mark the significance, and when p &lt;0.01,"*" is used to mark the significance.The correlation between blue and red is negative, while the deeper the hue, the more powerful the relationship.</w:t>
      </w:r>
    </w:p>
    <w:p>
      <w:pPr>
        <w:spacing w:line="360" w:lineRule="auto"/>
        <w:rPr>
          <w:b/>
          <w:bCs/>
          <w:lang w:val="en-US" w:eastAsia="zh-CN"/>
        </w:rPr>
      </w:pPr>
    </w:p>
    <w:p>
      <w:pPr>
        <w:spacing w:line="360" w:lineRule="auto"/>
        <w:rPr>
          <w:b/>
          <w:bCs/>
          <w:lang w:val="en-US" w:eastAsia="zh-CN"/>
        </w:rPr>
      </w:pPr>
    </w:p>
    <w:p>
      <w:pPr>
        <w:spacing w:line="360" w:lineRule="auto"/>
        <w:rPr>
          <w:b/>
          <w:bCs/>
          <w:lang w:val="en-US" w:eastAsia="zh-CN"/>
        </w:rPr>
      </w:pPr>
    </w:p>
    <w:p>
      <w:pPr>
        <w:spacing w:line="360" w:lineRule="auto"/>
        <w:rPr>
          <w:b/>
          <w:bCs/>
          <w:lang w:val="en-US" w:eastAsia="zh-CN"/>
        </w:rPr>
      </w:pPr>
    </w:p>
    <w:p>
      <w:pPr>
        <w:spacing w:line="360" w:lineRule="auto"/>
        <w:rPr>
          <w:b/>
          <w:bCs/>
          <w:lang w:val="en-US" w:eastAsia="zh-CN"/>
        </w:rPr>
      </w:pPr>
    </w:p>
    <w:p>
      <w:pPr>
        <w:spacing w:line="360" w:lineRule="auto"/>
        <w:rPr>
          <w:b/>
          <w:bCs/>
          <w:lang w:val="en-US" w:eastAsia="zh-CN"/>
        </w:rPr>
      </w:pPr>
    </w:p>
    <w:p>
      <w:pPr>
        <w:spacing w:line="360" w:lineRule="auto"/>
        <w:rPr>
          <w:b/>
          <w:bCs/>
          <w:lang w:val="en-US" w:eastAsia="zh-CN"/>
        </w:rPr>
      </w:pPr>
    </w:p>
    <w:p>
      <w:pPr>
        <w:spacing w:line="360" w:lineRule="auto"/>
        <w:rPr>
          <w:b/>
          <w:bCs/>
          <w:lang w:val="en-US" w:eastAsia="zh-CN"/>
        </w:rPr>
      </w:pPr>
    </w:p>
    <w:p>
      <w:pPr>
        <w:spacing w:line="360" w:lineRule="auto"/>
        <w:rPr>
          <w:b/>
          <w:bCs/>
          <w:lang w:val="en-US" w:eastAsia="zh-CN"/>
        </w:rPr>
      </w:pPr>
    </w:p>
    <w:p>
      <w:pPr>
        <w:spacing w:line="360" w:lineRule="auto"/>
        <w:rPr>
          <w:b/>
          <w:bCs/>
          <w:lang w:val="en-US" w:eastAsia="zh-CN"/>
        </w:rPr>
      </w:pPr>
    </w:p>
    <w:p>
      <w:pPr>
        <w:spacing w:line="360" w:lineRule="auto"/>
        <w:rPr>
          <w:b/>
          <w:bCs/>
          <w:lang w:val="en-US" w:eastAsia="zh-CN"/>
        </w:rPr>
      </w:pPr>
    </w:p>
    <w:p>
      <w:pPr>
        <w:spacing w:line="360" w:lineRule="auto"/>
        <w:rPr>
          <w:b/>
          <w:bCs/>
          <w:lang w:val="en-US" w:eastAsia="zh-CN"/>
        </w:rPr>
      </w:pPr>
    </w:p>
    <w:p>
      <w:pPr>
        <w:spacing w:line="360" w:lineRule="auto"/>
        <w:rPr>
          <w:b/>
          <w:bCs/>
          <w:lang w:val="en-US" w:eastAsia="zh-CN"/>
        </w:rPr>
      </w:pPr>
    </w:p>
    <w:p>
      <w:pPr>
        <w:spacing w:line="360" w:lineRule="auto"/>
        <w:rPr>
          <w:b/>
          <w:bCs/>
        </w:rPr>
      </w:pPr>
      <w:r>
        <w:rPr>
          <w:b/>
          <w:bCs/>
        </w:rPr>
        <w:t>Figure S1 FMT significantly improved constipation and neurological symptoms in Parkinson's patients</w:t>
      </w:r>
    </w:p>
    <w:p>
      <w:pPr>
        <w:spacing w:line="360" w:lineRule="auto"/>
        <w:rPr>
          <w:rFonts w:eastAsia="宋体"/>
          <w:b/>
          <w:bCs/>
          <w:lang w:eastAsia="zh-CN"/>
        </w:rPr>
      </w:pPr>
      <w:r>
        <w:rPr>
          <w:rFonts w:eastAsia="宋体"/>
          <w:b/>
          <w:bCs/>
          <w:lang w:eastAsia="zh-CN"/>
        </w:rPr>
        <w:drawing>
          <wp:inline distT="0" distB="0" distL="114300" distR="114300">
            <wp:extent cx="5269230" cy="6727825"/>
            <wp:effectExtent l="0" t="0" r="1270" b="3175"/>
            <wp:docPr id="1" name="图片 1" descr="Figure 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igure S1"/>
                    <pic:cNvPicPr>
                      <a:picLocks noChangeAspect="1"/>
                    </pic:cNvPicPr>
                  </pic:nvPicPr>
                  <pic:blipFill>
                    <a:blip r:embed="rId4"/>
                    <a:stretch>
                      <a:fillRect/>
                    </a:stretch>
                  </pic:blipFill>
                  <pic:spPr>
                    <a:xfrm>
                      <a:off x="0" y="0"/>
                      <a:ext cx="5269230" cy="6727825"/>
                    </a:xfrm>
                    <a:prstGeom prst="rect">
                      <a:avLst/>
                    </a:prstGeom>
                  </pic:spPr>
                </pic:pic>
              </a:graphicData>
            </a:graphic>
          </wp:inline>
        </w:drawing>
      </w:r>
    </w:p>
    <w:p>
      <w:pPr>
        <w:numPr>
          <w:ilvl w:val="0"/>
          <w:numId w:val="2"/>
        </w:numPr>
        <w:spacing w:line="360" w:lineRule="auto"/>
      </w:pPr>
      <w:r>
        <w:t xml:space="preserve">Changes </w:t>
      </w:r>
      <w:r>
        <w:rPr>
          <w:rFonts w:eastAsia="等线"/>
        </w:rPr>
        <w:t>in</w:t>
      </w:r>
      <w:r>
        <w:t xml:space="preserve"> bacterial genus abundance at different time points before and after fecal bacteria transplantation;</w:t>
      </w:r>
    </w:p>
    <w:p>
      <w:pPr>
        <w:numPr>
          <w:ilvl w:val="0"/>
          <w:numId w:val="2"/>
        </w:numPr>
        <w:spacing w:line="360" w:lineRule="auto"/>
        <w:ind w:left="0" w:leftChars="0" w:firstLine="0" w:firstLineChars="0"/>
      </w:pPr>
      <w:r>
        <w:t xml:space="preserve">The changes </w:t>
      </w:r>
      <w:r>
        <w:rPr>
          <w:rFonts w:eastAsia="等线"/>
        </w:rPr>
        <w:t>in</w:t>
      </w:r>
      <w:r>
        <w:t xml:space="preserve"> genera and strains at the </w:t>
      </w:r>
      <w:r>
        <w:rPr>
          <w:rFonts w:eastAsia="等线"/>
        </w:rPr>
        <w:t>2nd</w:t>
      </w:r>
      <w:r>
        <w:t xml:space="preserve"> and 6th </w:t>
      </w:r>
      <w:r>
        <w:rPr>
          <w:rFonts w:eastAsia="等线"/>
        </w:rPr>
        <w:t>weeks</w:t>
      </w:r>
      <w:r>
        <w:t xml:space="preserve"> after and before FMT.</w:t>
      </w:r>
    </w:p>
    <w:p>
      <w:pPr>
        <w:spacing w:line="360" w:lineRule="auto"/>
        <w:rPr>
          <w:b/>
          <w:bCs/>
        </w:rPr>
      </w:pPr>
    </w:p>
    <w:p>
      <w:pPr>
        <w:spacing w:line="360" w:lineRule="auto"/>
        <w:rPr>
          <w:b/>
          <w:bCs/>
        </w:rPr>
      </w:pPr>
    </w:p>
    <w:p>
      <w:pPr>
        <w:spacing w:line="360" w:lineRule="auto"/>
        <w:rPr>
          <w:b/>
          <w:bCs/>
        </w:rPr>
      </w:pPr>
      <w:r>
        <w:rPr>
          <w:b/>
          <w:bCs/>
        </w:rPr>
        <w:t>Figure S2 Functional genomics found that fecal bacteria transplantation mainly affected the metabolic pathway of flora.</w:t>
      </w:r>
    </w:p>
    <w:p>
      <w:pPr>
        <w:spacing w:line="360" w:lineRule="auto"/>
        <w:rPr>
          <w:rFonts w:eastAsia="宋体"/>
          <w:b/>
          <w:bCs/>
          <w:lang w:eastAsia="zh-CN"/>
        </w:rPr>
      </w:pPr>
      <w:r>
        <w:rPr>
          <w:rFonts w:eastAsia="宋体"/>
          <w:b/>
          <w:bCs/>
          <w:lang w:eastAsia="zh-CN"/>
        </w:rPr>
        <w:drawing>
          <wp:inline distT="0" distB="0" distL="114300" distR="114300">
            <wp:extent cx="5269865" cy="6606540"/>
            <wp:effectExtent l="0" t="0" r="635" b="10160"/>
            <wp:docPr id="2" name="图片 2" descr="Figure 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igure S2"/>
                    <pic:cNvPicPr>
                      <a:picLocks noChangeAspect="1"/>
                    </pic:cNvPicPr>
                  </pic:nvPicPr>
                  <pic:blipFill>
                    <a:blip r:embed="rId5"/>
                    <a:stretch>
                      <a:fillRect/>
                    </a:stretch>
                  </pic:blipFill>
                  <pic:spPr>
                    <a:xfrm>
                      <a:off x="0" y="0"/>
                      <a:ext cx="5269865" cy="6606540"/>
                    </a:xfrm>
                    <a:prstGeom prst="rect">
                      <a:avLst/>
                    </a:prstGeom>
                  </pic:spPr>
                </pic:pic>
              </a:graphicData>
            </a:graphic>
          </wp:inline>
        </w:drawing>
      </w:r>
    </w:p>
    <w:p>
      <w:pPr>
        <w:numPr>
          <w:numId w:val="0"/>
        </w:numPr>
        <w:spacing w:line="360" w:lineRule="auto"/>
      </w:pPr>
      <w:r>
        <w:rPr>
          <w:rFonts w:hint="eastAsia" w:eastAsia="宋体"/>
          <w:lang w:val="en-US" w:eastAsia="zh-CN"/>
        </w:rPr>
        <w:t>(a-b</w:t>
      </w:r>
      <w:bookmarkStart w:id="2" w:name="_GoBack"/>
      <w:bookmarkEnd w:id="2"/>
      <w:r>
        <w:t xml:space="preserve">) Functional genomics analysis of gene structure changes </w:t>
      </w:r>
      <w:r>
        <w:rPr>
          <w:rFonts w:eastAsia="等线"/>
        </w:rPr>
        <w:t>in</w:t>
      </w:r>
      <w:r>
        <w:t xml:space="preserve"> flora after FMT.</w:t>
      </w:r>
      <w:r>
        <w:rPr>
          <w:rFonts w:eastAsia="等线"/>
        </w:rPr>
        <w:t xml:space="preserve"> </w:t>
      </w:r>
      <w:r>
        <w:rPr>
          <w:rFonts w:eastAsia="宋体"/>
        </w:rPr>
        <w:t>Using BLAST (Version 2.2.28+), the nonredundant genes were annotated against the KEGG (Kyoto Encyclopedia of Genes and Genomes)/EggNOG (evolutionary genealogy of genes) database. When the assembled protein sequence was similar (score≥60 and E value &lt; 1e–5) to a protein sequence in the database, the assembled protein was considered to play the same role as the protein in the database.</w:t>
      </w:r>
    </w:p>
    <w:p>
      <w:pPr>
        <w:spacing w:line="360" w:lineRule="auto"/>
        <w:rPr>
          <w:b/>
          <w:bCs/>
        </w:rPr>
      </w:pPr>
      <w:r>
        <w:rPr>
          <w:b/>
          <w:bCs/>
        </w:rPr>
        <w:t xml:space="preserve">Figure S3 Metabonomic analysis showed that the changes </w:t>
      </w:r>
      <w:r>
        <w:rPr>
          <w:rFonts w:eastAsia="等线"/>
          <w:b/>
          <w:bCs/>
        </w:rPr>
        <w:t>in</w:t>
      </w:r>
      <w:r>
        <w:rPr>
          <w:b/>
          <w:bCs/>
        </w:rPr>
        <w:t xml:space="preserve"> differential metabolites decreased with the extension of time in feces. </w:t>
      </w:r>
      <w:bookmarkStart w:id="0" w:name="_Hlk87783890"/>
    </w:p>
    <w:p>
      <w:pPr>
        <w:spacing w:line="360" w:lineRule="auto"/>
        <w:rPr>
          <w:rFonts w:eastAsia="宋体"/>
          <w:b/>
          <w:bCs/>
          <w:lang w:eastAsia="zh-CN"/>
        </w:rPr>
      </w:pPr>
      <w:r>
        <w:rPr>
          <w:rFonts w:eastAsia="宋体"/>
          <w:b/>
          <w:bCs/>
          <w:lang w:eastAsia="zh-CN"/>
        </w:rPr>
        <w:drawing>
          <wp:inline distT="0" distB="0" distL="114300" distR="114300">
            <wp:extent cx="5272405" cy="3077210"/>
            <wp:effectExtent l="0" t="0" r="10795" b="8890"/>
            <wp:docPr id="3" name="图片 3" descr="Figure 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igure S3"/>
                    <pic:cNvPicPr>
                      <a:picLocks noChangeAspect="1"/>
                    </pic:cNvPicPr>
                  </pic:nvPicPr>
                  <pic:blipFill>
                    <a:blip r:embed="rId6"/>
                    <a:stretch>
                      <a:fillRect/>
                    </a:stretch>
                  </pic:blipFill>
                  <pic:spPr>
                    <a:xfrm>
                      <a:off x="0" y="0"/>
                      <a:ext cx="5272405" cy="3077210"/>
                    </a:xfrm>
                    <a:prstGeom prst="rect">
                      <a:avLst/>
                    </a:prstGeom>
                  </pic:spPr>
                </pic:pic>
              </a:graphicData>
            </a:graphic>
          </wp:inline>
        </w:drawing>
      </w:r>
    </w:p>
    <w:p>
      <w:pPr>
        <w:spacing w:line="360" w:lineRule="auto"/>
      </w:pPr>
      <w:r>
        <w:t xml:space="preserve">Metabolite analysis was performed in Prism v8.2.1 (GraphPad Software, Inc.) </w:t>
      </w:r>
      <w:r>
        <w:rPr>
          <w:rFonts w:eastAsia="宋体"/>
        </w:rPr>
        <w:t xml:space="preserve">Paired two-tailed Student's t test </w:t>
      </w:r>
      <w:r>
        <w:t>was used to determine differences between groups. P values of &lt;0.05 were considered statistically significant.</w:t>
      </w:r>
      <w:bookmarkEnd w:id="0"/>
    </w:p>
    <w:p>
      <w:pPr>
        <w:spacing w:line="360" w:lineRule="auto"/>
        <w:rPr>
          <w:b/>
          <w:bCs/>
        </w:rPr>
      </w:pPr>
      <w:r>
        <w:rPr>
          <w:b/>
          <w:bCs/>
        </w:rPr>
        <w:t xml:space="preserve">Figure S4 Metabonomic analysis showed that the changes </w:t>
      </w:r>
      <w:r>
        <w:rPr>
          <w:rFonts w:eastAsia="等线"/>
          <w:b/>
          <w:bCs/>
        </w:rPr>
        <w:t>in</w:t>
      </w:r>
      <w:r>
        <w:rPr>
          <w:b/>
          <w:bCs/>
        </w:rPr>
        <w:t xml:space="preserve"> differential metabolites decreased with the extension of time in serum.</w:t>
      </w:r>
    </w:p>
    <w:p>
      <w:pPr>
        <w:spacing w:line="360" w:lineRule="auto"/>
        <w:rPr>
          <w:rFonts w:eastAsia="宋体"/>
          <w:b/>
          <w:bCs/>
          <w:lang w:eastAsia="zh-CN"/>
        </w:rPr>
      </w:pPr>
      <w:r>
        <w:rPr>
          <w:rFonts w:eastAsia="宋体"/>
          <w:b/>
          <w:bCs/>
          <w:lang w:eastAsia="zh-CN"/>
        </w:rPr>
        <w:drawing>
          <wp:inline distT="0" distB="0" distL="114300" distR="114300">
            <wp:extent cx="5269230" cy="2827655"/>
            <wp:effectExtent l="0" t="0" r="1270" b="4445"/>
            <wp:docPr id="4" name="图片 4" descr="Figure 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Figure S4"/>
                    <pic:cNvPicPr>
                      <a:picLocks noChangeAspect="1"/>
                    </pic:cNvPicPr>
                  </pic:nvPicPr>
                  <pic:blipFill>
                    <a:blip r:embed="rId7"/>
                    <a:stretch>
                      <a:fillRect/>
                    </a:stretch>
                  </pic:blipFill>
                  <pic:spPr>
                    <a:xfrm>
                      <a:off x="0" y="0"/>
                      <a:ext cx="5269230" cy="2827655"/>
                    </a:xfrm>
                    <a:prstGeom prst="rect">
                      <a:avLst/>
                    </a:prstGeom>
                  </pic:spPr>
                </pic:pic>
              </a:graphicData>
            </a:graphic>
          </wp:inline>
        </w:drawing>
      </w:r>
    </w:p>
    <w:p>
      <w:pPr>
        <w:spacing w:line="360" w:lineRule="auto"/>
        <w:rPr>
          <w:rFonts w:eastAsia="等线"/>
        </w:rPr>
      </w:pPr>
      <w:bookmarkStart w:id="1" w:name="_Hlk87782762"/>
      <w:r>
        <w:t xml:space="preserve">Metabolite analysis was performed in Prism v8.2.1 (GraphPad Software, Inc.) </w:t>
      </w:r>
      <w:r>
        <w:rPr>
          <w:rFonts w:eastAsia="宋体"/>
        </w:rPr>
        <w:t xml:space="preserve">Paired two-tailed Student's t test </w:t>
      </w:r>
      <w:r>
        <w:t>was used to determine differences between groups. P values of &lt;0.05 were considered statistically significant.</w:t>
      </w:r>
    </w:p>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F9680A"/>
    <w:multiLevelType w:val="singleLevel"/>
    <w:tmpl w:val="99F9680A"/>
    <w:lvl w:ilvl="0" w:tentative="0">
      <w:start w:val="1"/>
      <w:numFmt w:val="lowerLetter"/>
      <w:suff w:val="space"/>
      <w:lvlText w:val="(%1)"/>
      <w:lvlJc w:val="left"/>
    </w:lvl>
  </w:abstractNum>
  <w:abstractNum w:abstractNumId="1">
    <w:nsid w:val="1004A7B2"/>
    <w:multiLevelType w:val="singleLevel"/>
    <w:tmpl w:val="1004A7B2"/>
    <w:lvl w:ilvl="0" w:tentative="0">
      <w:start w:val="1"/>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E0MGMyMGNkZmVlZDNhMWZlZjJkOTg1YzZjMjZmZjgifQ=="/>
  </w:docVars>
  <w:rsids>
    <w:rsidRoot w:val="00000000"/>
    <w:rsid w:val="0C364022"/>
    <w:rsid w:val="0FD854E5"/>
    <w:rsid w:val="17E401A0"/>
    <w:rsid w:val="21134B3E"/>
    <w:rsid w:val="3095731D"/>
    <w:rsid w:val="31C61758"/>
    <w:rsid w:val="67627252"/>
    <w:rsid w:val="6A31115D"/>
    <w:rsid w:val="6CAB51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en-US"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pPr>
  </w:style>
  <w:style w:type="character" w:styleId="5">
    <w:name w:val="Hyperlink"/>
    <w:basedOn w:val="4"/>
    <w:unhideWhenUsed/>
    <w:qFormat/>
    <w:uiPriority w:val="99"/>
    <w:rPr>
      <w:color w:val="0563C1" w:themeColor="hyperlink"/>
      <w:u w:val="single"/>
      <w14:textFill>
        <w14:solidFill>
          <w14:schemeClr w14:val="hlink"/>
        </w14:solidFill>
      </w14:textFill>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4.tiff"/><Relationship Id="rId6" Type="http://schemas.openxmlformats.org/officeDocument/2006/relationships/image" Target="media/image3.tiff"/><Relationship Id="rId5" Type="http://schemas.openxmlformats.org/officeDocument/2006/relationships/image" Target="media/image2.tiff"/><Relationship Id="rId4" Type="http://schemas.openxmlformats.org/officeDocument/2006/relationships/image" Target="media/image1.tif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866</Words>
  <Characters>5106</Characters>
  <Lines>0</Lines>
  <Paragraphs>0</Paragraphs>
  <TotalTime>1</TotalTime>
  <ScaleCrop>false</ScaleCrop>
  <LinksUpToDate>false</LinksUpToDate>
  <CharactersWithSpaces>5951</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86137</dc:creator>
  <cp:lastModifiedBy>阿lu Dr.</cp:lastModifiedBy>
  <dcterms:modified xsi:type="dcterms:W3CDTF">2023-05-05T09:11:01Z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CFF52030446B43BE9063C438F46131F3_12</vt:lpwstr>
  </property>
</Properties>
</file>