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22C" w:rsidRPr="008C2C9D" w:rsidRDefault="00E8322C" w:rsidP="00E8322C">
      <w:pPr>
        <w:spacing w:line="360" w:lineRule="auto"/>
        <w:rPr>
          <w:rFonts w:ascii="Calibri" w:eastAsia="Calibri" w:hAnsi="Calibri" w:cs="Calibri"/>
          <w:b/>
          <w:bCs/>
          <w:color w:val="000000" w:themeColor="text1"/>
          <w:lang w:val="en-GB"/>
        </w:rPr>
      </w:pPr>
      <w:r w:rsidRPr="008C2C9D">
        <w:rPr>
          <w:rFonts w:ascii="Calibri" w:eastAsia="Calibri" w:hAnsi="Calibri" w:cs="Calibri"/>
          <w:b/>
          <w:bCs/>
          <w:color w:val="000000" w:themeColor="text1"/>
          <w:lang w:val="en-GB"/>
        </w:rPr>
        <w:t xml:space="preserve">Supplementary 4:  Sensitivity analysis </w:t>
      </w:r>
    </w:p>
    <w:p w:rsidR="00E8322C" w:rsidRDefault="00E8322C" w:rsidP="00E8322C">
      <w:pPr>
        <w:spacing w:line="360" w:lineRule="auto"/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GB"/>
        </w:rPr>
      </w:pPr>
      <w:r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GB"/>
        </w:rPr>
        <w:t>Cross tabulation of LCA-class and high-cost user above 99</w:t>
      </w:r>
      <w:r w:rsidRPr="009743B0">
        <w:rPr>
          <w:rFonts w:ascii="Calibri" w:eastAsia="Calibri" w:hAnsi="Calibri" w:cs="Calibri"/>
          <w:b/>
          <w:bCs/>
          <w:color w:val="000000" w:themeColor="text1"/>
          <w:sz w:val="20"/>
          <w:szCs w:val="20"/>
          <w:vertAlign w:val="superscript"/>
          <w:lang w:val="en-GB"/>
        </w:rPr>
        <w:t>th</w:t>
      </w:r>
      <w:r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GB"/>
        </w:rPr>
        <w:t xml:space="preserve"> percentile and 90</w:t>
      </w:r>
      <w:r w:rsidRPr="002F2CEC">
        <w:rPr>
          <w:rFonts w:ascii="Calibri" w:eastAsia="Calibri" w:hAnsi="Calibri" w:cs="Calibri"/>
          <w:b/>
          <w:bCs/>
          <w:color w:val="000000" w:themeColor="text1"/>
          <w:sz w:val="20"/>
          <w:szCs w:val="20"/>
          <w:vertAlign w:val="superscript"/>
          <w:lang w:val="en-GB"/>
        </w:rPr>
        <w:t>th</w:t>
      </w:r>
      <w:r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GB"/>
        </w:rPr>
        <w:t xml:space="preserve"> percentile year 1-5, 99</w:t>
      </w:r>
      <w:r w:rsidRPr="0021230A">
        <w:rPr>
          <w:rFonts w:ascii="Calibri" w:eastAsia="Calibri" w:hAnsi="Calibri" w:cs="Calibri"/>
          <w:b/>
          <w:bCs/>
          <w:color w:val="000000" w:themeColor="text1"/>
          <w:sz w:val="20"/>
          <w:szCs w:val="20"/>
          <w:vertAlign w:val="superscript"/>
          <w:lang w:val="en-GB"/>
        </w:rPr>
        <w:t>th</w:t>
      </w:r>
      <w:r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GB"/>
        </w:rPr>
        <w:t>, 95</w:t>
      </w:r>
      <w:r w:rsidRPr="0021230A">
        <w:rPr>
          <w:rFonts w:ascii="Calibri" w:eastAsia="Calibri" w:hAnsi="Calibri" w:cs="Calibri"/>
          <w:b/>
          <w:bCs/>
          <w:color w:val="000000" w:themeColor="text1"/>
          <w:sz w:val="20"/>
          <w:szCs w:val="20"/>
          <w:vertAlign w:val="superscript"/>
          <w:lang w:val="en-GB"/>
        </w:rPr>
        <w:t>th</w:t>
      </w:r>
      <w:r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GB"/>
        </w:rPr>
        <w:t xml:space="preserve"> and 90</w:t>
      </w:r>
      <w:r w:rsidRPr="0021230A">
        <w:rPr>
          <w:rFonts w:ascii="Calibri" w:eastAsia="Calibri" w:hAnsi="Calibri" w:cs="Calibri"/>
          <w:b/>
          <w:bCs/>
          <w:color w:val="000000" w:themeColor="text1"/>
          <w:sz w:val="20"/>
          <w:szCs w:val="20"/>
          <w:vertAlign w:val="superscript"/>
          <w:lang w:val="en-GB"/>
        </w:rPr>
        <w:t>th</w:t>
      </w:r>
      <w:r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GB"/>
        </w:rPr>
        <w:t xml:space="preserve"> percentile year 2-5 and no cost users after year 2</w:t>
      </w:r>
    </w:p>
    <w:p w:rsidR="00E8322C" w:rsidRDefault="00E8322C" w:rsidP="00E8322C">
      <w:pPr>
        <w:spacing w:line="360" w:lineRule="auto"/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GB"/>
        </w:rPr>
      </w:pPr>
    </w:p>
    <w:tbl>
      <w:tblPr>
        <w:tblStyle w:val="TableGrid"/>
        <w:tblpPr w:leftFromText="141" w:rightFromText="141" w:vertAnchor="page" w:horzAnchor="margin" w:tblpY="2497"/>
        <w:tblW w:w="0" w:type="auto"/>
        <w:tblLook w:val="06A0" w:firstRow="1" w:lastRow="0" w:firstColumn="1" w:lastColumn="0" w:noHBand="1" w:noVBand="1"/>
      </w:tblPr>
      <w:tblGrid>
        <w:gridCol w:w="2554"/>
        <w:gridCol w:w="664"/>
        <w:gridCol w:w="1122"/>
        <w:gridCol w:w="950"/>
        <w:gridCol w:w="1150"/>
        <w:gridCol w:w="1941"/>
        <w:gridCol w:w="2280"/>
        <w:gridCol w:w="1508"/>
        <w:gridCol w:w="1825"/>
      </w:tblGrid>
      <w:tr w:rsidR="00E8322C" w:rsidRPr="00C2033A" w:rsidTr="00F54075">
        <w:trPr>
          <w:trHeight w:val="300"/>
        </w:trPr>
        <w:tc>
          <w:tcPr>
            <w:tcW w:w="0" w:type="auto"/>
          </w:tcPr>
          <w:p w:rsidR="00E8322C" w:rsidRPr="00F8101F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Class number and name</w:t>
            </w:r>
          </w:p>
        </w:tc>
        <w:tc>
          <w:tcPr>
            <w:tcW w:w="0" w:type="auto"/>
          </w:tcPr>
          <w:p w:rsidR="00E8322C" w:rsidRPr="00F8101F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All</w:t>
            </w:r>
          </w:p>
        </w:tc>
        <w:tc>
          <w:tcPr>
            <w:tcW w:w="0" w:type="auto"/>
          </w:tcPr>
          <w:p w:rsidR="00E8322C" w:rsidRPr="00F8101F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1: Low use, GP only</w:t>
            </w:r>
          </w:p>
        </w:tc>
        <w:tc>
          <w:tcPr>
            <w:tcW w:w="0" w:type="auto"/>
          </w:tcPr>
          <w:p w:rsidR="00E8322C" w:rsidRPr="00F8101F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2: High use GP</w:t>
            </w:r>
          </w:p>
        </w:tc>
        <w:tc>
          <w:tcPr>
            <w:tcW w:w="0" w:type="auto"/>
          </w:tcPr>
          <w:p w:rsidR="00E8322C" w:rsidRPr="00F8101F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3: GP and hospital</w:t>
            </w:r>
          </w:p>
        </w:tc>
        <w:tc>
          <w:tcPr>
            <w:tcW w:w="0" w:type="auto"/>
          </w:tcPr>
          <w:p w:rsidR="00E8322C" w:rsidRPr="00F8101F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4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 xml:space="preserve">: GP and physiotherapy, 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low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 xml:space="preserve"> use</w:t>
            </w:r>
          </w:p>
        </w:tc>
        <w:tc>
          <w:tcPr>
            <w:tcW w:w="0" w:type="auto"/>
          </w:tcPr>
          <w:p w:rsidR="00E8322C" w:rsidRPr="00F8101F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5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 xml:space="preserve">: 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GP, hospital and physiotherapy, high use</w:t>
            </w:r>
          </w:p>
        </w:tc>
        <w:tc>
          <w:tcPr>
            <w:tcW w:w="0" w:type="auto"/>
          </w:tcPr>
          <w:p w:rsidR="00E8322C" w:rsidRPr="00F8101F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6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: Low use chiropractor</w:t>
            </w:r>
          </w:p>
        </w:tc>
        <w:tc>
          <w:tcPr>
            <w:tcW w:w="0" w:type="auto"/>
          </w:tcPr>
          <w:p w:rsidR="00E8322C" w:rsidRPr="00F8101F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7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: GP and chiropractor, high use</w:t>
            </w:r>
          </w:p>
        </w:tc>
      </w:tr>
      <w:tr w:rsidR="00E8322C" w:rsidRPr="00F8101F" w:rsidTr="00F54075">
        <w:trPr>
          <w:trHeight w:val="300"/>
        </w:trPr>
        <w:tc>
          <w:tcPr>
            <w:tcW w:w="0" w:type="auto"/>
          </w:tcPr>
          <w:p w:rsidR="00E8322C" w:rsidRPr="00F8101F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 w:rsidRPr="00927044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 xml:space="preserve">High-cost 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user</w:t>
            </w:r>
            <w:r w:rsidRPr="00927044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 xml:space="preserve"> year 1-5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 xml:space="preserve"> (Above 99</w:t>
            </w:r>
            <w:r w:rsidRPr="005C1422">
              <w:rPr>
                <w:rFonts w:ascii="Calibri" w:eastAsia="Calibri" w:hAnsi="Calibri" w:cs="Calibri"/>
                <w:color w:val="000000" w:themeColor="text1"/>
                <w:sz w:val="18"/>
                <w:szCs w:val="18"/>
                <w:vertAlign w:val="superscript"/>
                <w:lang w:val="en-GB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 xml:space="preserve"> percentile, </w:t>
            </w:r>
            <w:r w:rsidRPr="00BC3394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12 603</w:t>
            </w:r>
            <w:r w:rsidRPr="00BC3394">
              <w:rPr>
                <w:rFonts w:ascii="Calibri" w:eastAsia="Calibri" w:hAnsi="Calibri" w:cs="Calibri"/>
                <w:sz w:val="18"/>
                <w:szCs w:val="18"/>
                <w:lang w:val="en-GB"/>
              </w:rPr>
              <w:t>€</w:t>
            </w:r>
            <w:r w:rsidRPr="00BC3394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)</w:t>
            </w:r>
          </w:p>
        </w:tc>
        <w:tc>
          <w:tcPr>
            <w:tcW w:w="0" w:type="auto"/>
          </w:tcPr>
          <w:p w:rsidR="00E8322C" w:rsidRPr="00F8101F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1%</w:t>
            </w:r>
          </w:p>
        </w:tc>
        <w:tc>
          <w:tcPr>
            <w:tcW w:w="0" w:type="auto"/>
          </w:tcPr>
          <w:p w:rsidR="00E8322C" w:rsidRPr="00F8101F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0.2%</w:t>
            </w:r>
          </w:p>
        </w:tc>
        <w:tc>
          <w:tcPr>
            <w:tcW w:w="0" w:type="auto"/>
          </w:tcPr>
          <w:p w:rsidR="00E8322C" w:rsidRPr="00F8101F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1.9%</w:t>
            </w:r>
          </w:p>
        </w:tc>
        <w:tc>
          <w:tcPr>
            <w:tcW w:w="0" w:type="auto"/>
          </w:tcPr>
          <w:p w:rsidR="00E8322C" w:rsidRPr="00F8101F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9.0%</w:t>
            </w:r>
          </w:p>
        </w:tc>
        <w:tc>
          <w:tcPr>
            <w:tcW w:w="0" w:type="auto"/>
          </w:tcPr>
          <w:p w:rsidR="00E8322C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1.7%</w:t>
            </w:r>
          </w:p>
        </w:tc>
        <w:tc>
          <w:tcPr>
            <w:tcW w:w="0" w:type="auto"/>
          </w:tcPr>
          <w:p w:rsidR="00E8322C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10.7%</w:t>
            </w:r>
          </w:p>
        </w:tc>
        <w:tc>
          <w:tcPr>
            <w:tcW w:w="0" w:type="auto"/>
          </w:tcPr>
          <w:p w:rsidR="00E8322C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 xml:space="preserve">0.1% </w:t>
            </w:r>
            <w:r w:rsidRPr="00DC629E">
              <w:rPr>
                <w:rFonts w:ascii="Calibri" w:eastAsia="Calibri" w:hAnsi="Calibri" w:cs="Calibri"/>
                <w:color w:val="000000" w:themeColor="text1"/>
                <w:sz w:val="20"/>
                <w:szCs w:val="20"/>
                <w:vertAlign w:val="superscript"/>
                <w:lang w:val="en-GB"/>
              </w:rPr>
              <w:t xml:space="preserve"> 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</w:tcPr>
          <w:p w:rsidR="00E8322C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 xml:space="preserve">0.5% </w:t>
            </w:r>
            <w:r w:rsidRPr="00DC629E">
              <w:rPr>
                <w:rFonts w:ascii="Calibri" w:eastAsia="Calibri" w:hAnsi="Calibri" w:cs="Calibri"/>
                <w:color w:val="000000" w:themeColor="text1"/>
                <w:sz w:val="20"/>
                <w:szCs w:val="20"/>
                <w:vertAlign w:val="superscript"/>
                <w:lang w:val="en-GB"/>
              </w:rPr>
              <w:t xml:space="preserve"> 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E8322C" w:rsidRPr="00F8101F" w:rsidTr="00F54075">
        <w:trPr>
          <w:trHeight w:val="300"/>
        </w:trPr>
        <w:tc>
          <w:tcPr>
            <w:tcW w:w="0" w:type="auto"/>
          </w:tcPr>
          <w:p w:rsidR="00E8322C" w:rsidRPr="00F8101F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 w:rsidRPr="00927044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 xml:space="preserve">High-cost 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user</w:t>
            </w:r>
            <w:r w:rsidRPr="00927044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 xml:space="preserve"> year 1-5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 xml:space="preserve"> (Above 90</w:t>
            </w:r>
            <w:r w:rsidRPr="005C1422">
              <w:rPr>
                <w:rFonts w:ascii="Calibri" w:eastAsia="Calibri" w:hAnsi="Calibri" w:cs="Calibri"/>
                <w:color w:val="000000" w:themeColor="text1"/>
                <w:sz w:val="18"/>
                <w:szCs w:val="18"/>
                <w:vertAlign w:val="superscript"/>
                <w:lang w:val="en-GB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 xml:space="preserve"> percentile, 1 728</w:t>
            </w:r>
            <w:r w:rsidRPr="00BC3394">
              <w:rPr>
                <w:rFonts w:ascii="Calibri" w:eastAsia="Calibri" w:hAnsi="Calibri" w:cs="Calibri"/>
                <w:sz w:val="18"/>
                <w:szCs w:val="18"/>
                <w:lang w:val="en-GB"/>
              </w:rPr>
              <w:t>€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 xml:space="preserve"> )</w:t>
            </w:r>
          </w:p>
        </w:tc>
        <w:tc>
          <w:tcPr>
            <w:tcW w:w="0" w:type="auto"/>
          </w:tcPr>
          <w:p w:rsidR="00E8322C" w:rsidRPr="00F8101F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10%</w:t>
            </w:r>
          </w:p>
        </w:tc>
        <w:tc>
          <w:tcPr>
            <w:tcW w:w="0" w:type="auto"/>
          </w:tcPr>
          <w:p w:rsidR="00E8322C" w:rsidRPr="00F8101F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5.9%</w:t>
            </w:r>
          </w:p>
        </w:tc>
        <w:tc>
          <w:tcPr>
            <w:tcW w:w="0" w:type="auto"/>
          </w:tcPr>
          <w:p w:rsidR="00E8322C" w:rsidRPr="00F8101F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24.3%</w:t>
            </w:r>
          </w:p>
        </w:tc>
        <w:tc>
          <w:tcPr>
            <w:tcW w:w="0" w:type="auto"/>
          </w:tcPr>
          <w:p w:rsidR="00E8322C" w:rsidRPr="00F8101F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43.0%</w:t>
            </w:r>
          </w:p>
        </w:tc>
        <w:tc>
          <w:tcPr>
            <w:tcW w:w="0" w:type="auto"/>
          </w:tcPr>
          <w:p w:rsidR="00E8322C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15.9%</w:t>
            </w:r>
          </w:p>
        </w:tc>
        <w:tc>
          <w:tcPr>
            <w:tcW w:w="0" w:type="auto"/>
          </w:tcPr>
          <w:p w:rsidR="00E8322C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49.3%</w:t>
            </w:r>
          </w:p>
        </w:tc>
        <w:tc>
          <w:tcPr>
            <w:tcW w:w="0" w:type="auto"/>
          </w:tcPr>
          <w:p w:rsidR="00E8322C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 xml:space="preserve">5.8% </w:t>
            </w:r>
            <w:r w:rsidRPr="00DC629E">
              <w:rPr>
                <w:rFonts w:ascii="Calibri" w:eastAsia="Calibri" w:hAnsi="Calibri" w:cs="Calibri"/>
                <w:color w:val="000000" w:themeColor="text1"/>
                <w:sz w:val="20"/>
                <w:szCs w:val="20"/>
                <w:vertAlign w:val="superscript"/>
                <w:lang w:val="en-GB"/>
              </w:rPr>
              <w:t xml:space="preserve"> 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</w:tcPr>
          <w:p w:rsidR="00E8322C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 xml:space="preserve">10.1% </w:t>
            </w:r>
            <w:r w:rsidRPr="00DC629E">
              <w:rPr>
                <w:rFonts w:ascii="Calibri" w:eastAsia="Calibri" w:hAnsi="Calibri" w:cs="Calibri"/>
                <w:color w:val="000000" w:themeColor="text1"/>
                <w:sz w:val="20"/>
                <w:szCs w:val="20"/>
                <w:vertAlign w:val="superscript"/>
                <w:lang w:val="en-GB"/>
              </w:rPr>
              <w:t xml:space="preserve"> 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E8322C" w:rsidRPr="00BC3394" w:rsidTr="00F54075">
        <w:trPr>
          <w:trHeight w:val="300"/>
        </w:trPr>
        <w:tc>
          <w:tcPr>
            <w:tcW w:w="0" w:type="auto"/>
          </w:tcPr>
          <w:p w:rsidR="00E8322C" w:rsidRPr="00927044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927044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 xml:space="preserve">High-cost 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user</w:t>
            </w:r>
            <w:r w:rsidRPr="00927044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 xml:space="preserve"> year 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2</w:t>
            </w:r>
            <w:r w:rsidRPr="00927044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-5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 xml:space="preserve"> (Above 99</w:t>
            </w:r>
            <w:r w:rsidRPr="005C1422">
              <w:rPr>
                <w:rFonts w:ascii="Calibri" w:eastAsia="Calibri" w:hAnsi="Calibri" w:cs="Calibri"/>
                <w:color w:val="000000" w:themeColor="text1"/>
                <w:sz w:val="18"/>
                <w:szCs w:val="18"/>
                <w:vertAlign w:val="superscript"/>
                <w:lang w:val="en-GB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 xml:space="preserve"> percentile 10 657</w:t>
            </w:r>
            <w:r w:rsidRPr="00BC3394">
              <w:rPr>
                <w:rFonts w:ascii="Calibri" w:eastAsia="Calibri" w:hAnsi="Calibri" w:cs="Calibri"/>
                <w:sz w:val="18"/>
                <w:szCs w:val="18"/>
                <w:lang w:val="en-GB"/>
              </w:rPr>
              <w:t>€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)</w:t>
            </w:r>
          </w:p>
        </w:tc>
        <w:tc>
          <w:tcPr>
            <w:tcW w:w="0" w:type="auto"/>
          </w:tcPr>
          <w:p w:rsidR="00E8322C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1%</w:t>
            </w:r>
          </w:p>
        </w:tc>
        <w:tc>
          <w:tcPr>
            <w:tcW w:w="0" w:type="auto"/>
          </w:tcPr>
          <w:p w:rsidR="00E8322C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0.7%</w:t>
            </w:r>
          </w:p>
        </w:tc>
        <w:tc>
          <w:tcPr>
            <w:tcW w:w="0" w:type="auto"/>
          </w:tcPr>
          <w:p w:rsidR="00E8322C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2.1%</w:t>
            </w:r>
          </w:p>
        </w:tc>
        <w:tc>
          <w:tcPr>
            <w:tcW w:w="0" w:type="auto"/>
          </w:tcPr>
          <w:p w:rsidR="00E8322C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2.4%</w:t>
            </w:r>
          </w:p>
        </w:tc>
        <w:tc>
          <w:tcPr>
            <w:tcW w:w="0" w:type="auto"/>
          </w:tcPr>
          <w:p w:rsidR="00E8322C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1.6%</w:t>
            </w:r>
          </w:p>
        </w:tc>
        <w:tc>
          <w:tcPr>
            <w:tcW w:w="0" w:type="auto"/>
          </w:tcPr>
          <w:p w:rsidR="00E8322C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4.7%</w:t>
            </w:r>
          </w:p>
        </w:tc>
        <w:tc>
          <w:tcPr>
            <w:tcW w:w="0" w:type="auto"/>
          </w:tcPr>
          <w:p w:rsidR="00E8322C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 xml:space="preserve">0.6% </w:t>
            </w:r>
            <w:r w:rsidRPr="00DC629E">
              <w:rPr>
                <w:rFonts w:ascii="Calibri" w:eastAsia="Calibri" w:hAnsi="Calibri" w:cs="Calibri"/>
                <w:color w:val="000000" w:themeColor="text1"/>
                <w:sz w:val="20"/>
                <w:szCs w:val="20"/>
                <w:vertAlign w:val="superscript"/>
                <w:lang w:val="en-GB"/>
              </w:rPr>
              <w:t xml:space="preserve"> 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</w:tcPr>
          <w:p w:rsidR="00E8322C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 xml:space="preserve">1.0% </w:t>
            </w:r>
            <w:r w:rsidRPr="00DC629E">
              <w:rPr>
                <w:rFonts w:ascii="Calibri" w:eastAsia="Calibri" w:hAnsi="Calibri" w:cs="Calibri"/>
                <w:color w:val="000000" w:themeColor="text1"/>
                <w:sz w:val="20"/>
                <w:szCs w:val="20"/>
                <w:vertAlign w:val="superscript"/>
                <w:lang w:val="en-GB"/>
              </w:rPr>
              <w:t xml:space="preserve"> 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E8322C" w:rsidRPr="00BC3394" w:rsidTr="00F54075">
        <w:trPr>
          <w:trHeight w:val="300"/>
        </w:trPr>
        <w:tc>
          <w:tcPr>
            <w:tcW w:w="0" w:type="auto"/>
          </w:tcPr>
          <w:p w:rsidR="00E8322C" w:rsidRPr="00927044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927044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 xml:space="preserve">High-cost 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user year 2</w:t>
            </w:r>
            <w:r w:rsidRPr="00927044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-5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 xml:space="preserve"> (Above 95</w:t>
            </w:r>
            <w:r w:rsidRPr="005C1422">
              <w:rPr>
                <w:rFonts w:ascii="Calibri" w:eastAsia="Calibri" w:hAnsi="Calibri" w:cs="Calibri"/>
                <w:color w:val="000000" w:themeColor="text1"/>
                <w:sz w:val="18"/>
                <w:szCs w:val="18"/>
                <w:vertAlign w:val="superscript"/>
                <w:lang w:val="en-GB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 xml:space="preserve"> percentile, 2 559</w:t>
            </w:r>
            <w:r w:rsidRPr="00BC3394">
              <w:rPr>
                <w:rFonts w:ascii="Calibri" w:eastAsia="Calibri" w:hAnsi="Calibri" w:cs="Calibri"/>
                <w:sz w:val="18"/>
                <w:szCs w:val="18"/>
                <w:lang w:val="en-GB"/>
              </w:rPr>
              <w:t>€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)</w:t>
            </w:r>
          </w:p>
        </w:tc>
        <w:tc>
          <w:tcPr>
            <w:tcW w:w="0" w:type="auto"/>
          </w:tcPr>
          <w:p w:rsidR="00E8322C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5%</w:t>
            </w:r>
          </w:p>
        </w:tc>
        <w:tc>
          <w:tcPr>
            <w:tcW w:w="0" w:type="auto"/>
          </w:tcPr>
          <w:p w:rsidR="00E8322C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3.9%</w:t>
            </w:r>
          </w:p>
        </w:tc>
        <w:tc>
          <w:tcPr>
            <w:tcW w:w="0" w:type="auto"/>
          </w:tcPr>
          <w:p w:rsidR="00E8322C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10.1%</w:t>
            </w:r>
          </w:p>
        </w:tc>
        <w:tc>
          <w:tcPr>
            <w:tcW w:w="0" w:type="auto"/>
          </w:tcPr>
          <w:p w:rsidR="00E8322C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11.0%</w:t>
            </w:r>
          </w:p>
        </w:tc>
        <w:tc>
          <w:tcPr>
            <w:tcW w:w="0" w:type="auto"/>
          </w:tcPr>
          <w:p w:rsidR="00E8322C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7.0%</w:t>
            </w:r>
          </w:p>
        </w:tc>
        <w:tc>
          <w:tcPr>
            <w:tcW w:w="0" w:type="auto"/>
          </w:tcPr>
          <w:p w:rsidR="00E8322C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16.1%</w:t>
            </w:r>
          </w:p>
        </w:tc>
        <w:tc>
          <w:tcPr>
            <w:tcW w:w="0" w:type="auto"/>
          </w:tcPr>
          <w:p w:rsidR="00E8322C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 xml:space="preserve">3.9% </w:t>
            </w:r>
            <w:r w:rsidRPr="00DC629E">
              <w:rPr>
                <w:rFonts w:ascii="Calibri" w:eastAsia="Calibri" w:hAnsi="Calibri" w:cs="Calibri"/>
                <w:color w:val="000000" w:themeColor="text1"/>
                <w:sz w:val="20"/>
                <w:szCs w:val="20"/>
                <w:vertAlign w:val="superscript"/>
                <w:lang w:val="en-GB"/>
              </w:rPr>
              <w:t xml:space="preserve"> 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</w:tcPr>
          <w:p w:rsidR="00E8322C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 xml:space="preserve">5.7% </w:t>
            </w:r>
            <w:r w:rsidRPr="00DC629E">
              <w:rPr>
                <w:rFonts w:ascii="Calibri" w:eastAsia="Calibri" w:hAnsi="Calibri" w:cs="Calibri"/>
                <w:color w:val="000000" w:themeColor="text1"/>
                <w:sz w:val="20"/>
                <w:szCs w:val="20"/>
                <w:vertAlign w:val="superscript"/>
                <w:lang w:val="en-GB"/>
              </w:rPr>
              <w:t xml:space="preserve"> 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E8322C" w:rsidRPr="00BC3394" w:rsidTr="00F54075">
        <w:trPr>
          <w:trHeight w:val="300"/>
        </w:trPr>
        <w:tc>
          <w:tcPr>
            <w:tcW w:w="0" w:type="auto"/>
          </w:tcPr>
          <w:p w:rsidR="00E8322C" w:rsidRPr="00927044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927044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 xml:space="preserve">High-cost 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user year 2</w:t>
            </w:r>
            <w:r w:rsidRPr="00927044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-5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 xml:space="preserve"> (Above 90</w:t>
            </w:r>
            <w:r w:rsidRPr="005C1422">
              <w:rPr>
                <w:rFonts w:ascii="Calibri" w:eastAsia="Calibri" w:hAnsi="Calibri" w:cs="Calibri"/>
                <w:color w:val="000000" w:themeColor="text1"/>
                <w:sz w:val="18"/>
                <w:szCs w:val="18"/>
                <w:vertAlign w:val="superscript"/>
                <w:lang w:val="en-GB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 xml:space="preserve"> percentile, 883</w:t>
            </w:r>
            <w:r w:rsidRPr="00BC3394">
              <w:rPr>
                <w:rFonts w:ascii="Calibri" w:eastAsia="Calibri" w:hAnsi="Calibri" w:cs="Calibri"/>
                <w:sz w:val="18"/>
                <w:szCs w:val="18"/>
                <w:lang w:val="en-GB"/>
              </w:rPr>
              <w:t>€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)</w:t>
            </w:r>
          </w:p>
        </w:tc>
        <w:tc>
          <w:tcPr>
            <w:tcW w:w="0" w:type="auto"/>
          </w:tcPr>
          <w:p w:rsidR="00E8322C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10%</w:t>
            </w:r>
          </w:p>
        </w:tc>
        <w:tc>
          <w:tcPr>
            <w:tcW w:w="0" w:type="auto"/>
          </w:tcPr>
          <w:p w:rsidR="00E8322C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7.9%</w:t>
            </w:r>
          </w:p>
        </w:tc>
        <w:tc>
          <w:tcPr>
            <w:tcW w:w="0" w:type="auto"/>
          </w:tcPr>
          <w:p w:rsidR="00E8322C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23.1%</w:t>
            </w:r>
          </w:p>
        </w:tc>
        <w:tc>
          <w:tcPr>
            <w:tcW w:w="0" w:type="auto"/>
          </w:tcPr>
          <w:p w:rsidR="00E8322C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19.1%</w:t>
            </w:r>
          </w:p>
        </w:tc>
        <w:tc>
          <w:tcPr>
            <w:tcW w:w="0" w:type="auto"/>
          </w:tcPr>
          <w:p w:rsidR="00E8322C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14.2%</w:t>
            </w:r>
          </w:p>
        </w:tc>
        <w:tc>
          <w:tcPr>
            <w:tcW w:w="0" w:type="auto"/>
          </w:tcPr>
          <w:p w:rsidR="00E8322C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31.2%</w:t>
            </w:r>
          </w:p>
        </w:tc>
        <w:tc>
          <w:tcPr>
            <w:tcW w:w="0" w:type="auto"/>
          </w:tcPr>
          <w:p w:rsidR="00E8322C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 xml:space="preserve">7.7% </w:t>
            </w:r>
            <w:r w:rsidRPr="00DC629E">
              <w:rPr>
                <w:rFonts w:ascii="Calibri" w:eastAsia="Calibri" w:hAnsi="Calibri" w:cs="Calibri"/>
                <w:color w:val="000000" w:themeColor="text1"/>
                <w:sz w:val="20"/>
                <w:szCs w:val="20"/>
                <w:vertAlign w:val="superscript"/>
                <w:lang w:val="en-GB"/>
              </w:rPr>
              <w:t xml:space="preserve"> 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</w:tcPr>
          <w:p w:rsidR="00E8322C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 xml:space="preserve">11.5% </w:t>
            </w:r>
            <w:r w:rsidRPr="00DC629E">
              <w:rPr>
                <w:rFonts w:ascii="Calibri" w:eastAsia="Calibri" w:hAnsi="Calibri" w:cs="Calibri"/>
                <w:color w:val="000000" w:themeColor="text1"/>
                <w:sz w:val="20"/>
                <w:szCs w:val="20"/>
                <w:vertAlign w:val="superscript"/>
                <w:lang w:val="en-GB"/>
              </w:rPr>
              <w:t xml:space="preserve"> 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E8322C" w:rsidRPr="00F8101F" w:rsidTr="00F54075">
        <w:trPr>
          <w:trHeight w:val="300"/>
        </w:trPr>
        <w:tc>
          <w:tcPr>
            <w:tcW w:w="0" w:type="auto"/>
          </w:tcPr>
          <w:p w:rsidR="00E8322C" w:rsidRPr="00F8101F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No MSD-related health care costs year 3-5</w:t>
            </w:r>
          </w:p>
        </w:tc>
        <w:tc>
          <w:tcPr>
            <w:tcW w:w="0" w:type="auto"/>
          </w:tcPr>
          <w:p w:rsidR="00E8322C" w:rsidRPr="00F8101F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33.1%</w:t>
            </w:r>
          </w:p>
        </w:tc>
        <w:tc>
          <w:tcPr>
            <w:tcW w:w="0" w:type="auto"/>
          </w:tcPr>
          <w:p w:rsidR="00E8322C" w:rsidRPr="00F8101F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36.7%</w:t>
            </w:r>
          </w:p>
        </w:tc>
        <w:tc>
          <w:tcPr>
            <w:tcW w:w="0" w:type="auto"/>
          </w:tcPr>
          <w:p w:rsidR="00E8322C" w:rsidRPr="00F8101F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21.4%</w:t>
            </w:r>
          </w:p>
        </w:tc>
        <w:tc>
          <w:tcPr>
            <w:tcW w:w="0" w:type="auto"/>
          </w:tcPr>
          <w:p w:rsidR="00E8322C" w:rsidRPr="00F8101F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30.1%</w:t>
            </w:r>
          </w:p>
        </w:tc>
        <w:tc>
          <w:tcPr>
            <w:tcW w:w="0" w:type="auto"/>
          </w:tcPr>
          <w:p w:rsidR="00E8322C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27.7%</w:t>
            </w:r>
          </w:p>
        </w:tc>
        <w:tc>
          <w:tcPr>
            <w:tcW w:w="0" w:type="auto"/>
          </w:tcPr>
          <w:p w:rsidR="00E8322C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20.4%</w:t>
            </w:r>
          </w:p>
        </w:tc>
        <w:tc>
          <w:tcPr>
            <w:tcW w:w="0" w:type="auto"/>
          </w:tcPr>
          <w:p w:rsidR="00E8322C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26.6%</w:t>
            </w:r>
          </w:p>
        </w:tc>
        <w:tc>
          <w:tcPr>
            <w:tcW w:w="0" w:type="auto"/>
          </w:tcPr>
          <w:p w:rsidR="00E8322C" w:rsidRDefault="00E8322C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17.7%</w:t>
            </w:r>
          </w:p>
        </w:tc>
      </w:tr>
    </w:tbl>
    <w:p w:rsidR="00E8322C" w:rsidRDefault="00E8322C" w:rsidP="00E8322C">
      <w:pPr>
        <w:spacing w:line="360" w:lineRule="auto"/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GB"/>
        </w:rPr>
      </w:pPr>
      <w:proofErr w:type="gramStart"/>
      <w:r>
        <w:rPr>
          <w:rFonts w:ascii="Calibri" w:eastAsia="Calibri" w:hAnsi="Calibri" w:cs="Calibri"/>
          <w:color w:val="000000" w:themeColor="text1"/>
          <w:sz w:val="20"/>
          <w:szCs w:val="20"/>
          <w:vertAlign w:val="superscript"/>
          <w:lang w:val="en-GB"/>
        </w:rPr>
        <w:t>a</w:t>
      </w:r>
      <w:proofErr w:type="gramEnd"/>
      <w:r>
        <w:rPr>
          <w:rFonts w:ascii="Calibri" w:eastAsia="Calibri" w:hAnsi="Calibri" w:cs="Calibri"/>
          <w:color w:val="000000" w:themeColor="text1"/>
          <w:sz w:val="20"/>
          <w:szCs w:val="20"/>
          <w:vertAlign w:val="superscript"/>
          <w:lang w:val="en-GB"/>
        </w:rPr>
        <w:t xml:space="preserve"> </w:t>
      </w:r>
      <w:r>
        <w:rPr>
          <w:rFonts w:ascii="Calibri" w:eastAsia="Calibri" w:hAnsi="Calibri" w:cs="Calibri"/>
          <w:color w:val="000000" w:themeColor="text1"/>
          <w:sz w:val="20"/>
          <w:szCs w:val="20"/>
          <w:lang w:val="en-GB"/>
        </w:rPr>
        <w:t>Chiropractor consultations are financed differently to other services with much lower fee-for-service refund from HELFO, making it difficult to compare expenses with the other classes. See more in text under Methods – Design and setting.</w:t>
      </w:r>
    </w:p>
    <w:p w:rsidR="00E8322C" w:rsidRDefault="00E8322C" w:rsidP="00E8322C">
      <w:pPr>
        <w:spacing w:line="360" w:lineRule="auto"/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GB"/>
        </w:rPr>
      </w:pPr>
    </w:p>
    <w:p w:rsidR="000326F9" w:rsidRDefault="00E8322C">
      <w:bookmarkStart w:id="0" w:name="_GoBack"/>
      <w:bookmarkEnd w:id="0"/>
    </w:p>
    <w:sectPr w:rsidR="000326F9" w:rsidSect="00E8322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22C"/>
    <w:rsid w:val="00972672"/>
    <w:rsid w:val="00E8322C"/>
    <w:rsid w:val="00F7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4DF384-5C4B-4710-8F48-18779914A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2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32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Olav Amundsen</dc:creator>
  <cp:keywords/>
  <dc:description/>
  <cp:lastModifiedBy>Olav Amundsen</cp:lastModifiedBy>
  <cp:revision>1</cp:revision>
  <dcterms:created xsi:type="dcterms:W3CDTF">2023-05-03T10:06:00Z</dcterms:created>
  <dcterms:modified xsi:type="dcterms:W3CDTF">2023-05-03T10:06:00Z</dcterms:modified>
</cp:coreProperties>
</file>