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3" w:name="_GoBack"/>
      <w:bookmarkStart w:id="0" w:name="_Appendices"/>
      <w:r>
        <w:rPr>
          <w:rFonts w:hint="default" w:ascii="Times New Roman" w:hAnsi="Times New Roman" w:cs="Times New Roman"/>
          <w:color w:val="auto"/>
          <w:sz w:val="24"/>
          <w:szCs w:val="24"/>
        </w:rPr>
        <w:t>Appendices</w:t>
      </w:r>
      <w:bookmarkEnd w:id="0"/>
    </w:p>
    <w:bookmarkEnd w:id="3"/>
    <w:p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hint="eastAsia" w:ascii="Times New Roman" w:hAnsi="Times New Roman" w:cs="Times New Roman"/>
          <w:b/>
          <w:sz w:val="22"/>
          <w:szCs w:val="22"/>
        </w:rPr>
        <w:t>T</w:t>
      </w:r>
      <w:r>
        <w:rPr>
          <w:rFonts w:ascii="Times New Roman" w:hAnsi="Times New Roman" w:cs="Times New Roman"/>
          <w:b/>
          <w:sz w:val="22"/>
          <w:szCs w:val="22"/>
        </w:rPr>
        <w:t>able</w:t>
      </w:r>
      <w:r>
        <w:rPr>
          <w:rFonts w:hint="eastAsia" w:ascii="Times New Roman" w:hAnsi="Times New Roman" w:cs="Times New Roman"/>
          <w:b/>
          <w:sz w:val="22"/>
          <w:szCs w:val="22"/>
        </w:rPr>
        <w:t xml:space="preserve"> S</w:t>
      </w:r>
      <w:r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hint="eastAsia" w:ascii="Times New Roman" w:hAnsi="Times New Roman" w:cs="Times New Roman"/>
          <w:b/>
          <w:sz w:val="22"/>
          <w:szCs w:val="22"/>
        </w:rPr>
        <w:t xml:space="preserve">: </w:t>
      </w:r>
      <w:r>
        <w:rPr>
          <w:rFonts w:ascii="Times New Roman" w:hAnsi="Times New Roman" w:cs="Times New Roman"/>
          <w:bCs/>
          <w:sz w:val="22"/>
          <w:szCs w:val="22"/>
        </w:rPr>
        <w:t>Inclusion and Exclusion criteria</w:t>
      </w:r>
    </w:p>
    <w:tbl>
      <w:tblPr>
        <w:tblStyle w:val="4"/>
        <w:tblW w:w="86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Inclusion and Exclusion criteria</w:t>
            </w:r>
            <w:r>
              <w:rPr>
                <w:rFonts w:cs="Times New Roman"/>
                <w:b/>
                <w:bCs/>
                <w:sz w:val="22"/>
                <w:szCs w:val="22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Inclusion criteria</w:t>
            </w:r>
            <w:r>
              <w:rPr>
                <w:rFonts w:cs="Times New Roman"/>
                <w:b/>
                <w:bCs/>
                <w:sz w:val="22"/>
                <w:szCs w:val="22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a) The population who have been detected serum selenium content, thyroid peroxidase antibody (TPO-Ab), thyrotropin (TSH), thyroxine (T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and triiodothyronine (T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 at baseline survey.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b) Population with complete information on covariates such as educational level, marriage, occupation, smoking status, alcohol consumption, eating habits and so on.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c) Those who have self-reported or diagnosed with thyroid-related disease or been in the subclinical stage at baseline.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d)Those who participate in the follow-up survey voluntarily and have signed the informed consent.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e)The participants who can cooperate in completing the questionnaire, physical and blood examinations.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f) Those who have not moved out of the local area in the past 6 years or out for less than 1 year.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Exclusion criteria: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a) Patients with autoimmune diseases (such as Systemic Lupus Erythematosus, type 1 diabetes, etc.), women with abnormal thyroid function during pregnancy, those with renal insufficiency, liver insufficiency, severe systemic diseases or chronic wasting diseases.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b)Those who have taken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-containing drugs or contrast agents within the past 6 months;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c)Women under the age of 18 or pregnant.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 research protocol was approved by the Medical Ethics Committee of Xi’an Jiaotong University. The ethical approval file number was 2019-874. All participants provided written informed consent before participating in the study.</w:t>
            </w:r>
          </w:p>
        </w:tc>
      </w:tr>
    </w:tbl>
    <w:p>
      <w:pPr>
        <w:spacing w:line="480" w:lineRule="auto"/>
        <w:rPr>
          <w:sz w:val="22"/>
          <w:szCs w:val="22"/>
        </w:rPr>
      </w:pPr>
      <w:r>
        <w:rPr>
          <w:rFonts w:hint="eastAsia" w:ascii="Times New Roman" w:hAnsi="Times New Roman" w:cs="Times New Roman"/>
          <w:b/>
          <w:sz w:val="22"/>
          <w:szCs w:val="22"/>
        </w:rPr>
        <w:t>T</w:t>
      </w:r>
      <w:r>
        <w:rPr>
          <w:rFonts w:ascii="Times New Roman" w:hAnsi="Times New Roman" w:cs="Times New Roman"/>
          <w:b/>
          <w:sz w:val="22"/>
          <w:szCs w:val="22"/>
        </w:rPr>
        <w:t>able</w:t>
      </w:r>
      <w:r>
        <w:rPr>
          <w:rFonts w:hint="eastAsia" w:ascii="Times New Roman" w:hAnsi="Times New Roman" w:cs="Times New Roman"/>
          <w:b/>
          <w:sz w:val="22"/>
          <w:szCs w:val="22"/>
        </w:rPr>
        <w:t xml:space="preserve"> S2: </w:t>
      </w:r>
      <w:r>
        <w:rPr>
          <w:rFonts w:ascii="Times New Roman" w:hAnsi="Times New Roman" w:cs="Times New Roman"/>
          <w:sz w:val="22"/>
          <w:szCs w:val="22"/>
        </w:rPr>
        <w:t>Comparison of the change of thyroid function in different investigating time by county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998"/>
        <w:gridCol w:w="912"/>
        <w:gridCol w:w="619"/>
        <w:gridCol w:w="759"/>
        <w:gridCol w:w="561"/>
        <w:gridCol w:w="728"/>
        <w:gridCol w:w="808"/>
        <w:gridCol w:w="955"/>
        <w:gridCol w:w="8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County</w:t>
            </w:r>
          </w:p>
        </w:tc>
        <w:tc>
          <w:tcPr>
            <w:tcW w:w="1120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Index</w:t>
            </w:r>
          </w:p>
        </w:tc>
        <w:tc>
          <w:tcPr>
            <w:tcW w:w="808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Baseline</w:t>
            </w:r>
          </w:p>
        </w:tc>
        <w:tc>
          <w:tcPr>
            <w:tcW w:w="756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Follow-up</w:t>
            </w:r>
          </w:p>
        </w:tc>
        <w:tc>
          <w:tcPr>
            <w:tcW w:w="474" w:type="pct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Symbol" w:hAnsi="Symbol"/>
                <w:sz w:val="20"/>
                <w:szCs w:val="20"/>
              </w:rPr>
              <w:t>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0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Z</w:t>
            </w:r>
          </w:p>
        </w:tc>
        <w:tc>
          <w:tcPr>
            <w:tcW w:w="503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6" w:type="pct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1120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</w:t>
            </w:r>
          </w:p>
        </w:tc>
        <w:tc>
          <w:tcPr>
            <w:tcW w:w="44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%</w:t>
            </w:r>
          </w:p>
        </w:tc>
        <w:tc>
          <w:tcPr>
            <w:tcW w:w="32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</w:t>
            </w:r>
          </w:p>
        </w:tc>
        <w:tc>
          <w:tcPr>
            <w:tcW w:w="4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%</w:t>
            </w:r>
          </w:p>
        </w:tc>
        <w:tc>
          <w:tcPr>
            <w:tcW w:w="474" w:type="pct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i/>
                <w:i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Se-adequate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TPO-Ab</w:t>
            </w:r>
          </w:p>
        </w:tc>
        <w:tc>
          <w:tcPr>
            <w:tcW w:w="53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371</w:t>
            </w:r>
          </w:p>
        </w:tc>
        <w:tc>
          <w:tcPr>
            <w:tcW w:w="44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67.6</w:t>
            </w:r>
          </w:p>
        </w:tc>
        <w:tc>
          <w:tcPr>
            <w:tcW w:w="32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401</w:t>
            </w:r>
          </w:p>
        </w:tc>
        <w:tc>
          <w:tcPr>
            <w:tcW w:w="427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73.2</w:t>
            </w:r>
          </w:p>
        </w:tc>
        <w:tc>
          <w:tcPr>
            <w:tcW w:w="47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5.5</w:t>
            </w:r>
          </w:p>
        </w:tc>
        <w:tc>
          <w:tcPr>
            <w:tcW w:w="560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-3.444</w:t>
            </w:r>
          </w:p>
        </w:tc>
        <w:tc>
          <w:tcPr>
            <w:tcW w:w="50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178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32.4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147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26.8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TSH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-3.800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347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63.2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330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60.2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3.2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174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31.7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37.6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116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21.1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-8.223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76.3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494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90.1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13.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2.6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-2.650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8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92.3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5.1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Se-deficient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TPO-Ab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440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68.6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479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75.3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6.7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-3.697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31.4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157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24.7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TSH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2.0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1.4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-7.019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232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36.2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365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57.3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21.1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396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61.8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263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41.3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115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-3.660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487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76.0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574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0.1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14.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39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6.1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2.4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spacing w:line="480" w:lineRule="auto"/>
              <w:jc w:val="right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eastAsia="等线" w:cs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Low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8.6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-3.093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Normal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538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83.9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582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1.4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85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等线"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sz w:val="22"/>
                <w:szCs w:val="22"/>
              </w:rPr>
              <w:t>High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48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7.5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43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等线" w:cs="Times New Roman"/>
                <w:sz w:val="22"/>
                <w:szCs w:val="22"/>
              </w:rPr>
              <w:t>6.8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center"/>
              <w:textAlignment w:val="center"/>
              <w:rPr>
                <w:rFonts w:ascii="等线" w:hAnsi="等线" w:eastAsia="等线" w:cs="Times New Roman"/>
                <w:strike/>
                <w:color w:val="0000FF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　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line="480" w:lineRule="auto"/>
              <w:jc w:val="center"/>
              <w:textAlignment w:val="center"/>
              <w:rPr>
                <w:rFonts w:ascii="Times New Roman" w:hAnsi="Times New Roman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　</w:t>
            </w:r>
          </w:p>
        </w:tc>
      </w:tr>
    </w:tbl>
    <w:p>
      <w:pPr>
        <w:spacing w:line="480" w:lineRule="auto"/>
        <w:rPr>
          <w:sz w:val="22"/>
          <w:szCs w:val="22"/>
        </w:rPr>
      </w:pPr>
    </w:p>
    <w:p>
      <w:pPr>
        <w:spacing w:line="480" w:lineRule="auto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b/>
          <w:sz w:val="22"/>
          <w:szCs w:val="22"/>
        </w:rPr>
        <w:t>S3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</w:rPr>
        <w:t>:</w:t>
      </w:r>
      <w:r>
        <w:rPr>
          <w:rFonts w:hint="eastAsia"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Diagnostic criteria for thyroid diseases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7"/>
        <w:gridCol w:w="57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Thyroid condition</w:t>
            </w:r>
          </w:p>
        </w:tc>
        <w:tc>
          <w:tcPr>
            <w:tcW w:w="336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Diagnostic Criteria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63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Subclinical hypothyroidism </w:t>
            </w:r>
          </w:p>
        </w:tc>
        <w:tc>
          <w:tcPr>
            <w:tcW w:w="336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TSH &gt; 5.0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μ</w:t>
            </w:r>
            <w:r>
              <w:rPr>
                <w:rFonts w:ascii="Times New Roman" w:hAnsi="Times New Roman" w:cs="Times New Roman"/>
                <w:szCs w:val="22"/>
              </w:rPr>
              <w:t>IU/mL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and 13.5μg/dL ≥ 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≥ 4.2μg/dL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Overt hypothyroidism</w:t>
            </w:r>
          </w:p>
        </w:tc>
        <w:tc>
          <w:tcPr>
            <w:tcW w:w="3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TSH &gt; 5.0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μ</w:t>
            </w:r>
            <w:r>
              <w:rPr>
                <w:rFonts w:ascii="Times New Roman" w:hAnsi="Times New Roman" w:cs="Times New Roman"/>
                <w:szCs w:val="22"/>
              </w:rPr>
              <w:t>IU/mL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and 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&lt; 4.2μg/dL, or history of overt hypothyroidism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Subclinical hyperthyroidism</w:t>
            </w:r>
          </w:p>
        </w:tc>
        <w:tc>
          <w:tcPr>
            <w:tcW w:w="3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TSH &lt; 0.25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μ</w:t>
            </w:r>
            <w:r>
              <w:rPr>
                <w:rFonts w:ascii="Times New Roman" w:hAnsi="Times New Roman" w:cs="Times New Roman"/>
                <w:szCs w:val="22"/>
              </w:rPr>
              <w:t>IU/mL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13.5μg/dL ≥ T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≥ 4.2μg/dL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Hashimoto thyroiditis (HT)</w:t>
            </w:r>
          </w:p>
        </w:tc>
        <w:tc>
          <w:tcPr>
            <w:tcW w:w="3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TPOAb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positive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Normal thyroid function, clinical or subclinical hypothyroidism.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Diffuse enlargement of the thyroid gland by ultrasound.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 Echogenicity within the thyroid gland by ultrasound.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1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Graves’ disease (GD)</w:t>
            </w:r>
          </w:p>
        </w:tc>
        <w:tc>
          <w:tcPr>
            <w:tcW w:w="336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Obvious signs and symptoms of hyperthyroidism.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Diffuse enlargement of the thyroid gland detected by ultrasound or palpation.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Decreased TSH and elevated T4.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 Ocular proptosis and other infiltrative eye signs.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 Anterior tibial fluid edema.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6. TPOAb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positive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or TRAb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&gt; 2IU/L.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(1-3 are diagnostic prerequisites, 4~6 are auxiliary conditions.)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63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Single TPO-Ab positive</w:t>
            </w:r>
          </w:p>
        </w:tc>
        <w:tc>
          <w:tcPr>
            <w:tcW w:w="33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Only TPOAb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positive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</w:tbl>
    <w:p>
      <w:pPr>
        <w:spacing w:after="163" w:afterLines="50"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a </w:t>
      </w:r>
      <w:r>
        <w:rPr>
          <w:rFonts w:ascii="Times New Roman" w:hAnsi="Times New Roman" w:cs="Times New Roman"/>
          <w:color w:val="000000"/>
          <w:sz w:val="22"/>
          <w:szCs w:val="22"/>
        </w:rPr>
        <w:t>TRAb: thyrotropin (TSH) receptor antibodies.</w:t>
      </w:r>
    </w:p>
    <w:p>
      <w:pPr>
        <w:spacing w:after="163" w:afterLines="50" w:line="480" w:lineRule="auto"/>
        <w:rPr>
          <w:rFonts w:ascii="Times New Roman" w:hAnsi="Times New Roman" w:cs="Times New Roman"/>
          <w:color w:val="000000"/>
          <w:sz w:val="22"/>
          <w:szCs w:val="22"/>
        </w:rPr>
        <w:sectPr>
          <w:footerReference r:id="rId3" w:type="default"/>
          <w:pgSz w:w="11906" w:h="16838"/>
          <w:pgMar w:top="1276" w:right="1800" w:bottom="1440" w:left="1800" w:header="851" w:footer="992" w:gutter="0"/>
          <w:lnNumType w:countBy="1" w:restart="continuous"/>
          <w:pgNumType w:fmt="decimal"/>
          <w:cols w:space="425" w:num="1"/>
          <w:docGrid w:type="lines" w:linePitch="326" w:charSpace="0"/>
        </w:sectPr>
      </w:pPr>
    </w:p>
    <w:p>
      <w:pPr>
        <w:spacing w:after="163" w:afterLines="50" w:line="480" w:lineRule="auto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drawing>
          <wp:inline distT="0" distB="0" distL="114300" distR="114300">
            <wp:extent cx="2846070" cy="4037330"/>
            <wp:effectExtent l="0" t="0" r="1905" b="1270"/>
            <wp:docPr id="7" name="图片 7" descr="8a02ab066838acfaa9e6257839252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a02ab066838acfaa9e6257839252f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3" w:afterLines="5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</w:rPr>
        <w:t xml:space="preserve">Figure </w:t>
      </w:r>
      <w:r>
        <w:rPr>
          <w:rFonts w:hint="eastAsia" w:ascii="Times New Roman" w:hAnsi="Times New Roman" w:cs="Times New Roman"/>
          <w:b/>
          <w:sz w:val="22"/>
          <w:szCs w:val="22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</w:rPr>
        <w:t xml:space="preserve">1: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Alterations in serum Se during the six years observation period in the two areas with different Se status or recovery status. A) Change of serum selenium in whole subjects </w:t>
      </w:r>
      <w:bookmarkStart w:id="1" w:name="OLE_LINK1"/>
      <w:r>
        <w:rPr>
          <w:rFonts w:ascii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 xml:space="preserve">Se-adequate: </w:t>
      </w:r>
      <w:r>
        <w:rPr>
          <w:rFonts w:ascii="Times New Roman" w:hAnsi="Times New Roman" w:cs="Times New Roman"/>
          <w:color w:val="000000"/>
          <w:sz w:val="22"/>
          <w:szCs w:val="22"/>
        </w:rPr>
        <w:t>Z=-1.512, P=0.131; Se-deficient: Z=-1.636, P=0.102)</w:t>
      </w:r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 xml:space="preserve">. B) Change of serum </w:t>
      </w:r>
      <w:r>
        <w:rPr>
          <w:rFonts w:ascii="Times New Roman" w:hAnsi="Times New Roman" w:cs="Times New Roman"/>
          <w:sz w:val="22"/>
          <w:szCs w:val="22"/>
        </w:rPr>
        <w:t>Se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in (sub-)clinical </w:t>
      </w:r>
      <w:bookmarkStart w:id="2" w:name="OLE_LINK2"/>
      <w:r>
        <w:rPr>
          <w:rFonts w:ascii="Times New Roman" w:hAnsi="Times New Roman" w:cs="Times New Roman"/>
          <w:color w:val="000000"/>
          <w:sz w:val="22"/>
          <w:szCs w:val="22"/>
        </w:rPr>
        <w:t>hypothyroidism</w:t>
      </w:r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 xml:space="preserve"> (Recovery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Z=-0.748, P=0.455; Non-Recovery: Z=-1.025, P=0.305).  </w:t>
      </w: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/>
    <w:sectPr>
      <w:pgSz w:w="11906" w:h="16838"/>
      <w:pgMar w:top="1276" w:right="1800" w:bottom="1440" w:left="1800" w:header="851" w:footer="992" w:gutter="0"/>
      <w:pgNumType w:fmt="decimal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Y2NiZjUzNzk0NzcwNzI2MjliMjFhZDZjZDMzM2IifQ=="/>
  </w:docVars>
  <w:rsids>
    <w:rsidRoot w:val="60E32855"/>
    <w:rsid w:val="60E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autoSpaceDE w:val="0"/>
      <w:autoSpaceDN w:val="0"/>
      <w:adjustRightInd w:val="0"/>
      <w:spacing w:before="120" w:after="120" w:line="415" w:lineRule="auto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Courier New" w:hAnsi="Courier New" w:cs="Courier New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2023-05-09T08:04:00Z</dcterms:created>
  <dc:creator>悠扬</dc:creator>
  <cp:lastModifiedBy>悠扬</cp:lastModifiedBy>
  <dcterms:modified xsi:type="dcterms:W3CDTF">2023-05-09T08:05:16Z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93ECFFD07DC14EA4A52E266CA580D3B6_11</vt:lpwstr>
  </property>
</Properties>
</file>