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F15A" w14:textId="77777777" w:rsidR="00EE16A7" w:rsidRDefault="00EE16A7" w:rsidP="00EE16A7">
      <w:pPr>
        <w:rPr>
          <w:rFonts w:ascii="Arial" w:eastAsia="Arial" w:hAnsi="Arial" w:cs="Arial"/>
        </w:rPr>
      </w:pPr>
      <w:r w:rsidRPr="006D0936">
        <w:rPr>
          <w:rFonts w:ascii="Arial" w:eastAsia="Arial" w:hAnsi="Arial" w:cs="Arial"/>
          <w:b/>
          <w:bCs/>
        </w:rPr>
        <w:t>Supplementary Table 2</w:t>
      </w:r>
      <w:r>
        <w:rPr>
          <w:rFonts w:ascii="Arial" w:eastAsia="Arial" w:hAnsi="Arial" w:cs="Arial"/>
        </w:rPr>
        <w:t xml:space="preserve"> Key resources used for the development of the Global Patient Experience Data Navigator</w:t>
      </w:r>
    </w:p>
    <w:tbl>
      <w:tblPr>
        <w:tblW w:w="10605"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6810"/>
      </w:tblGrid>
      <w:tr w:rsidR="00EE16A7" w14:paraId="00810495" w14:textId="77777777" w:rsidTr="00D010B8">
        <w:trPr>
          <w:trHeight w:val="412"/>
        </w:trPr>
        <w:tc>
          <w:tcPr>
            <w:tcW w:w="3795" w:type="dxa"/>
          </w:tcPr>
          <w:p w14:paraId="2697FC1D" w14:textId="77777777" w:rsidR="00EE16A7" w:rsidRDefault="00EE16A7" w:rsidP="00D010B8">
            <w:pPr>
              <w:spacing w:line="360" w:lineRule="auto"/>
              <w:rPr>
                <w:rFonts w:ascii="Arial" w:eastAsia="Arial" w:hAnsi="Arial" w:cs="Arial"/>
                <w:b/>
              </w:rPr>
            </w:pPr>
            <w:r>
              <w:rPr>
                <w:rFonts w:ascii="Arial" w:eastAsia="Arial" w:hAnsi="Arial" w:cs="Arial"/>
                <w:b/>
              </w:rPr>
              <w:t>Resource</w:t>
            </w:r>
          </w:p>
        </w:tc>
        <w:tc>
          <w:tcPr>
            <w:tcW w:w="6810" w:type="dxa"/>
          </w:tcPr>
          <w:p w14:paraId="2FAFA606" w14:textId="77777777" w:rsidR="00EE16A7" w:rsidRDefault="00EE16A7" w:rsidP="00D010B8">
            <w:pPr>
              <w:spacing w:line="360" w:lineRule="auto"/>
              <w:rPr>
                <w:rFonts w:ascii="Arial" w:eastAsia="Arial" w:hAnsi="Arial" w:cs="Arial"/>
                <w:b/>
              </w:rPr>
            </w:pPr>
            <w:r>
              <w:rPr>
                <w:rFonts w:ascii="Arial" w:eastAsia="Arial" w:hAnsi="Arial" w:cs="Arial"/>
                <w:b/>
              </w:rPr>
              <w:t>Which section of the Navigator this helped to develop and how</w:t>
            </w:r>
          </w:p>
        </w:tc>
      </w:tr>
      <w:tr w:rsidR="00EE16A7" w14:paraId="265DC8AB" w14:textId="77777777" w:rsidTr="00D010B8">
        <w:trPr>
          <w:trHeight w:val="2250"/>
        </w:trPr>
        <w:tc>
          <w:tcPr>
            <w:tcW w:w="3795" w:type="dxa"/>
          </w:tcPr>
          <w:p w14:paraId="709977C8" w14:textId="77777777" w:rsidR="00EE16A7" w:rsidRDefault="00EE16A7" w:rsidP="00D010B8">
            <w:pPr>
              <w:spacing w:line="360" w:lineRule="auto"/>
              <w:rPr>
                <w:rFonts w:ascii="Arial" w:eastAsia="Arial" w:hAnsi="Arial" w:cs="Arial"/>
              </w:rPr>
            </w:pPr>
            <w:r>
              <w:rPr>
                <w:rFonts w:ascii="Arial" w:eastAsia="Arial" w:hAnsi="Arial" w:cs="Arial"/>
              </w:rPr>
              <w:t xml:space="preserve">(1) FDA Guidance: Patient-Focused Drug Development: Methods to Identify What Is Important to Patients Guidance for Industry, Food and Drug Administration Staff, and Other Stakeholders; February 2022. </w:t>
            </w:r>
            <w:hyperlink r:id="rId4" w:history="1">
              <w:r w:rsidRPr="00DA3FED">
                <w:rPr>
                  <w:rStyle w:val="Hyperlink"/>
                  <w:rFonts w:ascii="Arial" w:eastAsia="Arial" w:hAnsi="Arial" w:cs="Arial"/>
                </w:rPr>
                <w:t>https://www.fda.gov/media/131230/download</w:t>
              </w:r>
            </w:hyperlink>
            <w:r>
              <w:rPr>
                <w:rFonts w:ascii="Arial" w:eastAsia="Arial" w:hAnsi="Arial" w:cs="Arial"/>
                <w:color w:val="000000"/>
              </w:rPr>
              <w:t>. Accessed April 14, 2023</w:t>
            </w:r>
          </w:p>
          <w:p w14:paraId="4A952194" w14:textId="77777777" w:rsidR="00EE16A7" w:rsidRDefault="00EE16A7" w:rsidP="00D010B8">
            <w:pPr>
              <w:spacing w:line="360" w:lineRule="auto"/>
              <w:rPr>
                <w:rFonts w:ascii="Arial" w:eastAsia="Arial" w:hAnsi="Arial" w:cs="Arial"/>
              </w:rPr>
            </w:pPr>
          </w:p>
          <w:p w14:paraId="5635FBC3" w14:textId="77777777" w:rsidR="00EE16A7" w:rsidRDefault="00EE16A7" w:rsidP="00D010B8">
            <w:pPr>
              <w:spacing w:line="360" w:lineRule="auto"/>
              <w:rPr>
                <w:rFonts w:ascii="Arial" w:eastAsia="Arial" w:hAnsi="Arial" w:cs="Arial"/>
              </w:rPr>
            </w:pPr>
            <w:r>
              <w:rPr>
                <w:rFonts w:ascii="Arial" w:eastAsia="Arial" w:hAnsi="Arial" w:cs="Arial"/>
              </w:rPr>
              <w:t xml:space="preserve">(2) FDA government website slide deck: </w:t>
            </w:r>
            <w:r w:rsidRPr="001456F8">
              <w:rPr>
                <w:rFonts w:ascii="Arial" w:eastAsia="Arial" w:hAnsi="Arial" w:cs="Arial"/>
              </w:rPr>
              <w:t>COLLE</w:t>
            </w:r>
            <w:r>
              <w:rPr>
                <w:rFonts w:ascii="Arial" w:eastAsia="Arial" w:hAnsi="Arial" w:cs="Arial"/>
              </w:rPr>
              <w:t xml:space="preserve">CTING PATIENT EXPERIENCE DATA: HOW YOU CAN BEST HELP FDA? 2022. </w:t>
            </w:r>
            <w:hyperlink r:id="rId5" w:history="1">
              <w:r w:rsidRPr="00DA3FED">
                <w:rPr>
                  <w:rStyle w:val="Hyperlink"/>
                  <w:rFonts w:ascii="Arial" w:eastAsia="Arial" w:hAnsi="Arial" w:cs="Arial"/>
                </w:rPr>
                <w:t>https://www.fda.gov/media/112163/download</w:t>
              </w:r>
            </w:hyperlink>
            <w:r>
              <w:rPr>
                <w:rFonts w:ascii="Arial" w:eastAsia="Arial" w:hAnsi="Arial" w:cs="Arial"/>
              </w:rPr>
              <w:t>. Accessed April 14, 2023</w:t>
            </w:r>
          </w:p>
          <w:p w14:paraId="70084F3D" w14:textId="77777777" w:rsidR="00EE16A7" w:rsidRDefault="00EE16A7" w:rsidP="00D010B8">
            <w:pPr>
              <w:spacing w:line="360" w:lineRule="auto"/>
              <w:rPr>
                <w:rFonts w:ascii="Arial" w:eastAsia="Arial" w:hAnsi="Arial" w:cs="Arial"/>
              </w:rPr>
            </w:pPr>
          </w:p>
          <w:p w14:paraId="09D4CA7A" w14:textId="77777777" w:rsidR="00EE16A7" w:rsidRDefault="00EE16A7" w:rsidP="00D010B8">
            <w:pPr>
              <w:spacing w:line="360" w:lineRule="auto"/>
              <w:rPr>
                <w:rFonts w:ascii="Arial" w:eastAsia="Arial" w:hAnsi="Arial" w:cs="Arial"/>
              </w:rPr>
            </w:pPr>
            <w:r>
              <w:rPr>
                <w:rFonts w:ascii="Arial" w:eastAsia="Arial" w:hAnsi="Arial" w:cs="Arial"/>
              </w:rPr>
              <w:t xml:space="preserve">(3) Chiara Lauren Whichello. PhD Thesis: </w:t>
            </w:r>
            <w:r w:rsidRPr="006D0936">
              <w:rPr>
                <w:rFonts w:ascii="Arial" w:eastAsia="Arial" w:hAnsi="Arial" w:cs="Arial"/>
                <w:i/>
                <w:iCs/>
              </w:rPr>
              <w:t xml:space="preserve">Patient Preferences </w:t>
            </w:r>
            <w:r w:rsidRPr="000360AF">
              <w:rPr>
                <w:rFonts w:ascii="Arial" w:eastAsia="Arial" w:hAnsi="Arial" w:cs="Arial"/>
                <w:i/>
                <w:iCs/>
              </w:rPr>
              <w:t>T</w:t>
            </w:r>
            <w:r w:rsidRPr="006D0936">
              <w:rPr>
                <w:rFonts w:ascii="Arial" w:eastAsia="Arial" w:hAnsi="Arial" w:cs="Arial"/>
                <w:i/>
                <w:iCs/>
              </w:rPr>
              <w:t>hroughout the Medical Product Lifecycle</w:t>
            </w:r>
            <w:r w:rsidRPr="000360AF">
              <w:rPr>
                <w:rFonts w:ascii="Arial" w:eastAsia="Arial" w:hAnsi="Arial" w:cs="Arial"/>
                <w:i/>
                <w:iCs/>
              </w:rPr>
              <w:t>.</w:t>
            </w:r>
            <w:r w:rsidRPr="006D0936">
              <w:rPr>
                <w:rFonts w:ascii="Arial" w:eastAsia="Arial" w:hAnsi="Arial" w:cs="Arial"/>
                <w:i/>
                <w:iCs/>
              </w:rPr>
              <w:t xml:space="preserve"> </w:t>
            </w:r>
            <w:r>
              <w:rPr>
                <w:rFonts w:ascii="Arial" w:eastAsia="Arial" w:hAnsi="Arial" w:cs="Arial"/>
              </w:rPr>
              <w:t>Erasmus University of Rotterdam, 2020.</w:t>
            </w:r>
          </w:p>
          <w:p w14:paraId="436872C7" w14:textId="77777777" w:rsidR="00EE16A7" w:rsidRDefault="00EE16A7" w:rsidP="00D010B8">
            <w:pPr>
              <w:spacing w:line="360" w:lineRule="auto"/>
              <w:rPr>
                <w:rFonts w:ascii="Arial" w:eastAsia="Arial" w:hAnsi="Arial" w:cs="Arial"/>
              </w:rPr>
            </w:pPr>
          </w:p>
        </w:tc>
        <w:tc>
          <w:tcPr>
            <w:tcW w:w="6810" w:type="dxa"/>
          </w:tcPr>
          <w:p w14:paraId="19080893" w14:textId="77777777" w:rsidR="00EE16A7" w:rsidRDefault="00EE16A7" w:rsidP="00D010B8">
            <w:pPr>
              <w:spacing w:line="360" w:lineRule="auto"/>
              <w:rPr>
                <w:rFonts w:ascii="Arial" w:eastAsia="Arial" w:hAnsi="Arial" w:cs="Arial"/>
              </w:rPr>
            </w:pPr>
            <w:r>
              <w:rPr>
                <w:rFonts w:ascii="Arial" w:eastAsia="Arial" w:hAnsi="Arial" w:cs="Arial"/>
              </w:rPr>
              <w:t xml:space="preserve">These sources all supported the development of the first two sections of the Navigator, which examine approaches to identify the outcomes that matter most to patients and families and tools for measuring these </w:t>
            </w:r>
            <w:proofErr w:type="gramStart"/>
            <w:r>
              <w:rPr>
                <w:rFonts w:ascii="Arial" w:eastAsia="Arial" w:hAnsi="Arial" w:cs="Arial"/>
              </w:rPr>
              <w:t>outcomes</w:t>
            </w:r>
            <w:proofErr w:type="gramEnd"/>
            <w:r>
              <w:rPr>
                <w:rFonts w:ascii="Arial" w:eastAsia="Arial" w:hAnsi="Arial" w:cs="Arial"/>
              </w:rPr>
              <w:t xml:space="preserve"> </w:t>
            </w:r>
          </w:p>
          <w:p w14:paraId="643D9F6E" w14:textId="77777777" w:rsidR="00EE16A7" w:rsidRDefault="00EE16A7" w:rsidP="00D010B8">
            <w:pPr>
              <w:spacing w:line="360" w:lineRule="auto"/>
              <w:rPr>
                <w:rFonts w:ascii="Arial" w:eastAsia="Arial" w:hAnsi="Arial" w:cs="Arial"/>
              </w:rPr>
            </w:pPr>
          </w:p>
          <w:p w14:paraId="2B1A295C" w14:textId="77777777" w:rsidR="00EE16A7" w:rsidRDefault="00EE16A7" w:rsidP="00D010B8">
            <w:pPr>
              <w:spacing w:line="360" w:lineRule="auto"/>
              <w:rPr>
                <w:rFonts w:ascii="Arial" w:eastAsia="Arial" w:hAnsi="Arial" w:cs="Arial"/>
              </w:rPr>
            </w:pPr>
            <w:r>
              <w:rPr>
                <w:rFonts w:ascii="Arial" w:eastAsia="Arial" w:hAnsi="Arial" w:cs="Arial"/>
              </w:rPr>
              <w:t xml:space="preserve">The evaluation of most appropriate tools using these sources; also supported the heat map development for the first two </w:t>
            </w:r>
            <w:proofErr w:type="gramStart"/>
            <w:r>
              <w:rPr>
                <w:rFonts w:ascii="Arial" w:eastAsia="Arial" w:hAnsi="Arial" w:cs="Arial"/>
              </w:rPr>
              <w:t>sections</w:t>
            </w:r>
            <w:proofErr w:type="gramEnd"/>
          </w:p>
          <w:p w14:paraId="25B18591" w14:textId="77777777" w:rsidR="00EE16A7" w:rsidRDefault="00EE16A7" w:rsidP="00D010B8">
            <w:pPr>
              <w:spacing w:line="360" w:lineRule="auto"/>
              <w:rPr>
                <w:rFonts w:ascii="Arial" w:eastAsia="Arial" w:hAnsi="Arial" w:cs="Arial"/>
              </w:rPr>
            </w:pPr>
            <w:r>
              <w:rPr>
                <w:rFonts w:ascii="Arial" w:eastAsia="Arial" w:hAnsi="Arial" w:cs="Arial"/>
              </w:rPr>
              <w:br/>
              <w:t>Definitions contained within source 2, the FDA 2022 report, were used to help develop the glossary</w:t>
            </w:r>
          </w:p>
        </w:tc>
      </w:tr>
      <w:tr w:rsidR="00EE16A7" w14:paraId="254CA6BA" w14:textId="77777777" w:rsidTr="00D010B8">
        <w:trPr>
          <w:trHeight w:val="1100"/>
        </w:trPr>
        <w:tc>
          <w:tcPr>
            <w:tcW w:w="3795" w:type="dxa"/>
          </w:tcPr>
          <w:p w14:paraId="76E81C6A" w14:textId="77777777" w:rsidR="00EE16A7" w:rsidRDefault="00EE16A7" w:rsidP="00D010B8">
            <w:pPr>
              <w:spacing w:line="360" w:lineRule="auto"/>
              <w:rPr>
                <w:rFonts w:ascii="Arial" w:eastAsia="Arial" w:hAnsi="Arial" w:cs="Arial"/>
              </w:rPr>
            </w:pPr>
            <w:r>
              <w:rPr>
                <w:rFonts w:ascii="Arial" w:eastAsia="Arial" w:hAnsi="Arial" w:cs="Arial"/>
              </w:rPr>
              <w:t xml:space="preserve">(4) Annabel de Maria, </w:t>
            </w:r>
            <w:proofErr w:type="spellStart"/>
            <w:r>
              <w:rPr>
                <w:rFonts w:ascii="Arial" w:eastAsia="Arial" w:hAnsi="Arial" w:cs="Arial"/>
              </w:rPr>
              <w:t>Nerea</w:t>
            </w:r>
            <w:proofErr w:type="spellEnd"/>
            <w:r>
              <w:rPr>
                <w:rFonts w:ascii="Arial" w:eastAsia="Arial" w:hAnsi="Arial" w:cs="Arial"/>
              </w:rPr>
              <w:t xml:space="preserve"> </w:t>
            </w:r>
            <w:proofErr w:type="spellStart"/>
            <w:r>
              <w:rPr>
                <w:rFonts w:ascii="Arial" w:eastAsia="Arial" w:hAnsi="Arial" w:cs="Arial"/>
              </w:rPr>
              <w:t>Blanqué</w:t>
            </w:r>
            <w:proofErr w:type="spellEnd"/>
            <w:r>
              <w:rPr>
                <w:rFonts w:ascii="Arial" w:eastAsia="Arial" w:hAnsi="Arial" w:cs="Arial"/>
              </w:rPr>
              <w:t xml:space="preserve"> (</w:t>
            </w:r>
            <w:proofErr w:type="spellStart"/>
            <w:r>
              <w:rPr>
                <w:rFonts w:ascii="Arial" w:eastAsia="Arial" w:hAnsi="Arial" w:cs="Arial"/>
              </w:rPr>
              <w:t>Alira</w:t>
            </w:r>
            <w:proofErr w:type="spellEnd"/>
            <w:r>
              <w:rPr>
                <w:rFonts w:ascii="Arial" w:eastAsia="Arial" w:hAnsi="Arial" w:cs="Arial"/>
              </w:rPr>
              <w:t xml:space="preserve"> Health website). </w:t>
            </w:r>
            <w:r w:rsidRPr="006D0936">
              <w:rPr>
                <w:rFonts w:ascii="Arial" w:eastAsia="Arial" w:hAnsi="Arial" w:cs="Arial"/>
                <w:i/>
                <w:iCs/>
              </w:rPr>
              <w:t>Level of Patient Involvement in Health Technology Assessment (HTA) Agencies: A Systematic Literature Review</w:t>
            </w:r>
            <w:r>
              <w:rPr>
                <w:rFonts w:ascii="Arial" w:eastAsia="Arial" w:hAnsi="Arial" w:cs="Arial"/>
                <w:i/>
                <w:iCs/>
              </w:rPr>
              <w:t xml:space="preserve"> by </w:t>
            </w:r>
            <w:proofErr w:type="spellStart"/>
            <w:r>
              <w:rPr>
                <w:rFonts w:ascii="Arial" w:eastAsia="Arial" w:hAnsi="Arial" w:cs="Arial"/>
                <w:i/>
                <w:iCs/>
              </w:rPr>
              <w:t>Alira</w:t>
            </w:r>
            <w:proofErr w:type="spellEnd"/>
            <w:r>
              <w:rPr>
                <w:rFonts w:ascii="Arial" w:eastAsia="Arial" w:hAnsi="Arial" w:cs="Arial"/>
                <w:i/>
                <w:iCs/>
              </w:rPr>
              <w:t xml:space="preserve"> Health</w:t>
            </w:r>
            <w:r>
              <w:rPr>
                <w:rFonts w:ascii="Arial" w:eastAsia="Arial" w:hAnsi="Arial" w:cs="Arial"/>
              </w:rPr>
              <w:t xml:space="preserve">. December 2021. </w:t>
            </w:r>
            <w:hyperlink r:id="rId6">
              <w:r>
                <w:rPr>
                  <w:rFonts w:ascii="Arial" w:eastAsia="Arial" w:hAnsi="Arial" w:cs="Arial"/>
                  <w:color w:val="0000FF"/>
                  <w:u w:val="single"/>
                </w:rPr>
                <w:t>https://alirahealth.com/education-hub/patient-involvement-health-technology-assessment-agencies-hta/</w:t>
              </w:r>
            </w:hyperlink>
            <w:r>
              <w:rPr>
                <w:rFonts w:ascii="Arial" w:eastAsia="Arial" w:hAnsi="Arial" w:cs="Arial"/>
              </w:rPr>
              <w:t>. Accessed April 14, 2023</w:t>
            </w:r>
          </w:p>
          <w:p w14:paraId="4196F59C" w14:textId="77777777" w:rsidR="00EE16A7" w:rsidRDefault="00EE16A7" w:rsidP="00D010B8">
            <w:pPr>
              <w:spacing w:line="360" w:lineRule="auto"/>
              <w:rPr>
                <w:rFonts w:ascii="Arial" w:eastAsia="Arial" w:hAnsi="Arial" w:cs="Arial"/>
              </w:rPr>
            </w:pPr>
          </w:p>
          <w:p w14:paraId="5759391D" w14:textId="77777777" w:rsidR="00EE16A7" w:rsidRDefault="00EE16A7" w:rsidP="00D010B8">
            <w:pPr>
              <w:spacing w:line="360" w:lineRule="auto"/>
              <w:rPr>
                <w:rFonts w:ascii="Segoe UI" w:hAnsi="Segoe UI" w:cs="Segoe UI"/>
                <w:shd w:val="clear" w:color="auto" w:fill="FFFFFF"/>
              </w:rPr>
            </w:pPr>
            <w:r>
              <w:rPr>
                <w:rFonts w:ascii="Arial" w:eastAsia="Arial" w:hAnsi="Arial" w:cs="Arial"/>
              </w:rPr>
              <w:t xml:space="preserve">(5) Scott AM, Wale JL. </w:t>
            </w:r>
            <w:proofErr w:type="spellStart"/>
            <w:r>
              <w:rPr>
                <w:rFonts w:ascii="Arial" w:eastAsia="Arial" w:hAnsi="Arial" w:cs="Arial"/>
              </w:rPr>
              <w:t>HTAi</w:t>
            </w:r>
            <w:proofErr w:type="spellEnd"/>
            <w:r>
              <w:rPr>
                <w:rFonts w:ascii="Arial" w:eastAsia="Arial" w:hAnsi="Arial" w:cs="Arial"/>
              </w:rPr>
              <w:t xml:space="preserve"> Patient and Citizen Involvement in HTA Interest Group, Patient Involvement and Education Working Group. Patient advocate perspectives on involvement in HTA: an international snapshot. Res </w:t>
            </w:r>
            <w:proofErr w:type="spellStart"/>
            <w:r>
              <w:rPr>
                <w:rFonts w:ascii="Arial" w:eastAsia="Arial" w:hAnsi="Arial" w:cs="Arial"/>
              </w:rPr>
              <w:t>Involv</w:t>
            </w:r>
            <w:proofErr w:type="spellEnd"/>
            <w:r>
              <w:rPr>
                <w:rFonts w:ascii="Arial" w:eastAsia="Arial" w:hAnsi="Arial" w:cs="Arial"/>
              </w:rPr>
              <w:t xml:space="preserve"> </w:t>
            </w:r>
            <w:proofErr w:type="spellStart"/>
            <w:r>
              <w:rPr>
                <w:rFonts w:ascii="Arial" w:eastAsia="Arial" w:hAnsi="Arial" w:cs="Arial"/>
              </w:rPr>
              <w:t>Engagem</w:t>
            </w:r>
            <w:proofErr w:type="spellEnd"/>
            <w:r>
              <w:rPr>
                <w:rFonts w:ascii="Arial" w:eastAsia="Arial" w:hAnsi="Arial" w:cs="Arial"/>
              </w:rPr>
              <w:t xml:space="preserve">. 2017;3:2. </w:t>
            </w:r>
            <w:hyperlink r:id="rId7" w:history="1">
              <w:r w:rsidRPr="007300D8">
                <w:rPr>
                  <w:rStyle w:val="Hyperlink"/>
                  <w:rFonts w:ascii="Arial" w:eastAsia="Arial" w:hAnsi="Arial" w:cs="Arial"/>
                </w:rPr>
                <w:t>https://</w:t>
              </w:r>
              <w:r w:rsidRPr="006D0936">
                <w:rPr>
                  <w:rStyle w:val="Hyperlink"/>
                  <w:rFonts w:ascii="Arial" w:hAnsi="Arial" w:cs="Arial"/>
                </w:rPr>
                <w:t>doi.org/10.1186/s40900-016-0052-9</w:t>
              </w:r>
            </w:hyperlink>
            <w:r>
              <w:rPr>
                <w:rFonts w:ascii="Arial" w:eastAsia="Arial" w:hAnsi="Arial" w:cs="Arial"/>
              </w:rPr>
              <w:t>. Accessed April 14, 2023</w:t>
            </w:r>
          </w:p>
          <w:p w14:paraId="14F0E667" w14:textId="77777777" w:rsidR="00EE16A7" w:rsidRDefault="00EE16A7" w:rsidP="00D010B8">
            <w:pPr>
              <w:spacing w:line="360" w:lineRule="auto"/>
              <w:rPr>
                <w:rFonts w:ascii="Segoe UI" w:hAnsi="Segoe UI" w:cs="Segoe UI"/>
                <w:shd w:val="clear" w:color="auto" w:fill="FFFFFF"/>
              </w:rPr>
            </w:pPr>
          </w:p>
          <w:p w14:paraId="78C3C13A" w14:textId="77777777" w:rsidR="00EE16A7" w:rsidRDefault="00EE16A7" w:rsidP="00D010B8">
            <w:pPr>
              <w:spacing w:line="360" w:lineRule="auto"/>
              <w:rPr>
                <w:rFonts w:ascii="Arial" w:eastAsia="Arial" w:hAnsi="Arial" w:cs="Arial"/>
                <w:color w:val="000000"/>
              </w:rPr>
            </w:pPr>
            <w:r>
              <w:rPr>
                <w:rFonts w:ascii="Arial" w:eastAsia="Arial" w:hAnsi="Arial" w:cs="Arial"/>
                <w:color w:val="000000"/>
              </w:rPr>
              <w:t>(6) Biotechnology Innovation Organization website.</w:t>
            </w:r>
            <w:r w:rsidDel="00D325CE">
              <w:rPr>
                <w:rFonts w:ascii="Arial" w:eastAsia="Arial" w:hAnsi="Arial" w:cs="Arial"/>
                <w:color w:val="000000"/>
              </w:rPr>
              <w:t xml:space="preserve"> </w:t>
            </w:r>
            <w:hyperlink r:id="rId8" w:history="1">
              <w:r w:rsidRPr="00DA3FED">
                <w:rPr>
                  <w:rStyle w:val="Hyperlink"/>
                  <w:rFonts w:ascii="Arial" w:eastAsia="Arial" w:hAnsi="Arial" w:cs="Arial"/>
                </w:rPr>
                <w:t>https://archive.bio.org/sites/default/files/docs/toolkit/Product-Lifecycle-Graphic.pdf</w:t>
              </w:r>
            </w:hyperlink>
            <w:r>
              <w:rPr>
                <w:rFonts w:ascii="Arial" w:eastAsia="Arial" w:hAnsi="Arial" w:cs="Arial"/>
                <w:color w:val="000000"/>
              </w:rPr>
              <w:t>. Accessed April 14, 2023</w:t>
            </w:r>
          </w:p>
          <w:p w14:paraId="08D8B6AD" w14:textId="77777777" w:rsidR="00EE16A7" w:rsidRDefault="00EE16A7" w:rsidP="00D010B8">
            <w:pPr>
              <w:spacing w:line="360" w:lineRule="auto"/>
              <w:rPr>
                <w:rFonts w:ascii="Arial" w:eastAsia="Arial" w:hAnsi="Arial" w:cs="Arial"/>
                <w:color w:val="000000"/>
              </w:rPr>
            </w:pPr>
          </w:p>
          <w:p w14:paraId="7CE4ADD6" w14:textId="77777777" w:rsidR="00EE16A7" w:rsidRPr="006D0936" w:rsidRDefault="00EE16A7" w:rsidP="00D010B8">
            <w:pPr>
              <w:spacing w:line="360" w:lineRule="auto"/>
              <w:rPr>
                <w:rFonts w:ascii="Arial" w:eastAsia="Arial" w:hAnsi="Arial" w:cs="Arial"/>
                <w:i/>
                <w:iCs/>
                <w:color w:val="000000"/>
              </w:rPr>
            </w:pPr>
            <w:r>
              <w:rPr>
                <w:rFonts w:ascii="Arial" w:eastAsia="Arial" w:hAnsi="Arial" w:cs="Arial"/>
                <w:color w:val="000000"/>
              </w:rPr>
              <w:t xml:space="preserve">(7) CIOMS Working Group. </w:t>
            </w:r>
            <w:r w:rsidRPr="006D0936">
              <w:rPr>
                <w:rFonts w:ascii="Arial" w:eastAsia="Arial" w:hAnsi="Arial" w:cs="Arial"/>
                <w:i/>
                <w:iCs/>
                <w:color w:val="000000"/>
              </w:rPr>
              <w:t xml:space="preserve">Patient involvement in the development, </w:t>
            </w:r>
          </w:p>
          <w:p w14:paraId="6BEDE446" w14:textId="77777777" w:rsidR="00EE16A7" w:rsidRDefault="00EE16A7" w:rsidP="00D010B8">
            <w:pPr>
              <w:spacing w:line="360" w:lineRule="auto"/>
              <w:rPr>
                <w:rFonts w:ascii="Arial" w:eastAsia="Arial" w:hAnsi="Arial" w:cs="Arial"/>
                <w:color w:val="1155CC"/>
              </w:rPr>
            </w:pPr>
            <w:r w:rsidRPr="006D0936">
              <w:rPr>
                <w:rFonts w:ascii="Arial" w:eastAsia="Arial" w:hAnsi="Arial" w:cs="Arial"/>
                <w:i/>
                <w:iCs/>
                <w:color w:val="000000"/>
              </w:rPr>
              <w:t>regulation and safe use of medicines</w:t>
            </w:r>
            <w:r>
              <w:rPr>
                <w:rFonts w:ascii="Arial" w:eastAsia="Arial" w:hAnsi="Arial" w:cs="Arial"/>
                <w:color w:val="000000"/>
              </w:rPr>
              <w:t xml:space="preserve"> (draft report); February 24, 2022</w:t>
            </w:r>
          </w:p>
        </w:tc>
        <w:tc>
          <w:tcPr>
            <w:tcW w:w="6810" w:type="dxa"/>
          </w:tcPr>
          <w:p w14:paraId="205B433F" w14:textId="77777777" w:rsidR="00EE16A7" w:rsidRDefault="00EE16A7" w:rsidP="00D010B8">
            <w:pPr>
              <w:spacing w:line="360" w:lineRule="auto"/>
              <w:rPr>
                <w:rFonts w:ascii="Arial" w:eastAsia="Arial" w:hAnsi="Arial" w:cs="Arial"/>
              </w:rPr>
            </w:pPr>
            <w:r>
              <w:rPr>
                <w:rFonts w:ascii="Arial" w:eastAsia="Arial" w:hAnsi="Arial" w:cs="Arial"/>
              </w:rPr>
              <w:lastRenderedPageBreak/>
              <w:t xml:space="preserve">These sources all supported development of the third section of the Navigator, which examines the use of PXD within the drug development process, with a specific focus on patient engagement with HTA </w:t>
            </w:r>
            <w:proofErr w:type="gramStart"/>
            <w:r>
              <w:rPr>
                <w:rFonts w:ascii="Arial" w:eastAsia="Arial" w:hAnsi="Arial" w:cs="Arial"/>
              </w:rPr>
              <w:t>agencies</w:t>
            </w:r>
            <w:proofErr w:type="gramEnd"/>
          </w:p>
          <w:p w14:paraId="682F9E6D" w14:textId="77777777" w:rsidR="00EE16A7" w:rsidRDefault="00EE16A7" w:rsidP="00D010B8">
            <w:pPr>
              <w:spacing w:line="360" w:lineRule="auto"/>
              <w:rPr>
                <w:rFonts w:ascii="Arial" w:eastAsia="Arial" w:hAnsi="Arial" w:cs="Arial"/>
              </w:rPr>
            </w:pPr>
          </w:p>
          <w:p w14:paraId="05DDB3F0" w14:textId="77777777" w:rsidR="00EE16A7" w:rsidRDefault="00EE16A7" w:rsidP="00D010B8">
            <w:pPr>
              <w:spacing w:line="360" w:lineRule="auto"/>
              <w:rPr>
                <w:rFonts w:ascii="Arial" w:eastAsia="Arial" w:hAnsi="Arial" w:cs="Arial"/>
              </w:rPr>
            </w:pPr>
            <w:r>
              <w:rPr>
                <w:rFonts w:ascii="Arial" w:eastAsia="Arial" w:hAnsi="Arial" w:cs="Arial"/>
              </w:rPr>
              <w:lastRenderedPageBreak/>
              <w:t xml:space="preserve">Sources 5 and 6 specifically supported the identification of key decision points that might be supported by PE and PXD  </w:t>
            </w:r>
          </w:p>
        </w:tc>
      </w:tr>
      <w:tr w:rsidR="00EE16A7" w14:paraId="21F1EC9E" w14:textId="77777777" w:rsidTr="00D010B8">
        <w:trPr>
          <w:trHeight w:val="955"/>
        </w:trPr>
        <w:tc>
          <w:tcPr>
            <w:tcW w:w="3795" w:type="dxa"/>
          </w:tcPr>
          <w:p w14:paraId="08A4EB51" w14:textId="77777777" w:rsidR="00EE16A7" w:rsidRDefault="00EE16A7" w:rsidP="00D010B8">
            <w:pPr>
              <w:spacing w:line="360" w:lineRule="auto"/>
              <w:rPr>
                <w:rFonts w:ascii="Arial" w:eastAsia="Arial" w:hAnsi="Arial" w:cs="Arial"/>
              </w:rPr>
            </w:pPr>
            <w:r>
              <w:rPr>
                <w:rFonts w:ascii="Arial" w:eastAsia="Arial" w:hAnsi="Arial" w:cs="Arial"/>
              </w:rPr>
              <w:lastRenderedPageBreak/>
              <w:t xml:space="preserve">(8) National Health Council website. </w:t>
            </w:r>
          </w:p>
          <w:p w14:paraId="39E42950" w14:textId="77777777" w:rsidR="00EE16A7" w:rsidRDefault="00EE16A7" w:rsidP="00D010B8">
            <w:pPr>
              <w:spacing w:line="360" w:lineRule="auto"/>
              <w:rPr>
                <w:rFonts w:ascii="Arial" w:eastAsia="Arial" w:hAnsi="Arial" w:cs="Arial"/>
                <w:color w:val="1155CC"/>
                <w:u w:val="single"/>
              </w:rPr>
            </w:pPr>
            <w:r>
              <w:rPr>
                <w:rFonts w:ascii="Arial" w:eastAsia="Arial" w:hAnsi="Arial" w:cs="Arial"/>
              </w:rPr>
              <w:t>A Blueprint for Developing Patient-</w:t>
            </w:r>
            <w:proofErr w:type="spellStart"/>
            <w:r>
              <w:rPr>
                <w:rFonts w:ascii="Arial" w:eastAsia="Arial" w:hAnsi="Arial" w:cs="Arial"/>
              </w:rPr>
              <w:t>Centered</w:t>
            </w:r>
            <w:proofErr w:type="spellEnd"/>
            <w:r>
              <w:rPr>
                <w:rFonts w:ascii="Arial" w:eastAsia="Arial" w:hAnsi="Arial" w:cs="Arial"/>
              </w:rPr>
              <w:t xml:space="preserve"> Core Impact Sets (PC-CIS). </w:t>
            </w:r>
            <w:hyperlink r:id="rId9">
              <w:r>
                <w:rPr>
                  <w:rFonts w:ascii="Arial" w:eastAsia="Arial" w:hAnsi="Arial" w:cs="Arial"/>
                  <w:color w:val="0000FF"/>
                  <w:u w:val="single"/>
                </w:rPr>
                <w:t>https://nationalhealthcouncil.org/a-blueprint-for-developing-patient-centered-core-impact-sets-pc-cis/</w:t>
              </w:r>
            </w:hyperlink>
            <w:r w:rsidRPr="00747AD9">
              <w:rPr>
                <w:rFonts w:ascii="Arial" w:eastAsia="Arial" w:hAnsi="Arial" w:cs="Arial"/>
              </w:rPr>
              <w:t>.</w:t>
            </w:r>
            <w:r>
              <w:rPr>
                <w:rFonts w:ascii="Arial" w:eastAsia="Arial" w:hAnsi="Arial" w:cs="Arial"/>
              </w:rPr>
              <w:t xml:space="preserve"> Accessed April 14, 2023</w:t>
            </w:r>
          </w:p>
        </w:tc>
        <w:tc>
          <w:tcPr>
            <w:tcW w:w="6810" w:type="dxa"/>
          </w:tcPr>
          <w:p w14:paraId="0111C652" w14:textId="77777777" w:rsidR="00EE16A7" w:rsidRDefault="00EE16A7" w:rsidP="00D010B8">
            <w:pPr>
              <w:spacing w:line="360" w:lineRule="auto"/>
              <w:rPr>
                <w:rFonts w:ascii="Arial" w:eastAsia="Arial" w:hAnsi="Arial" w:cs="Arial"/>
              </w:rPr>
            </w:pPr>
            <w:r>
              <w:rPr>
                <w:rFonts w:ascii="Arial" w:eastAsia="Arial" w:hAnsi="Arial" w:cs="Arial"/>
              </w:rPr>
              <w:lastRenderedPageBreak/>
              <w:t xml:space="preserve">This supported the identification of areas of impact based on the Williamson-Clarke taxonomy. The revised taxonomy was integrated in the first two sections, allowing easier grouping of the areas of impact of a disease or a treatment  </w:t>
            </w:r>
          </w:p>
        </w:tc>
      </w:tr>
    </w:tbl>
    <w:p w14:paraId="590F1F0C" w14:textId="77777777" w:rsidR="00EE16A7" w:rsidRDefault="00EE16A7" w:rsidP="00EE16A7">
      <w:pPr>
        <w:tabs>
          <w:tab w:val="left" w:pos="1704"/>
        </w:tabs>
        <w:rPr>
          <w:rFonts w:ascii="Arial" w:eastAsia="Arial" w:hAnsi="Arial" w:cs="Arial"/>
          <w:sz w:val="20"/>
          <w:szCs w:val="20"/>
        </w:rPr>
      </w:pPr>
    </w:p>
    <w:p w14:paraId="1010D9A1" w14:textId="77777777" w:rsidR="009F6B00" w:rsidRDefault="009F6B00"/>
    <w:sectPr w:rsidR="009F6B00">
      <w:pgSz w:w="11906" w:h="16838"/>
      <w:pgMar w:top="1440" w:right="1440" w:bottom="1440" w:left="144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A7"/>
    <w:rsid w:val="005971E4"/>
    <w:rsid w:val="009F6B00"/>
    <w:rsid w:val="00EE16A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CBD0"/>
  <w15:chartTrackingRefBased/>
  <w15:docId w15:val="{A03C01BE-8EDF-4647-8372-0E699B57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A7"/>
    <w:rPr>
      <w:rFonts w:ascii="Calibri" w:eastAsia="Calibri" w:hAnsi="Calibri" w:cs="Calibri"/>
      <w:kern w:val="0"/>
      <w:lang w:eastAsia="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16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bio.org/sites/default/files/docs/toolkit/Product-Lifecycle-Graphic.pdf" TargetMode="External"/><Relationship Id="rId3" Type="http://schemas.openxmlformats.org/officeDocument/2006/relationships/webSettings" Target="webSettings.xml"/><Relationship Id="rId7" Type="http://schemas.openxmlformats.org/officeDocument/2006/relationships/hyperlink" Target="https://doi.org/10.1186/s40900-016-005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irahealth.com/education-hub/patient-involvement-health-technology-assessment-agencies-hta/" TargetMode="External"/><Relationship Id="rId11" Type="http://schemas.openxmlformats.org/officeDocument/2006/relationships/theme" Target="theme/theme1.xml"/><Relationship Id="rId5" Type="http://schemas.openxmlformats.org/officeDocument/2006/relationships/hyperlink" Target="https://www.fda.gov/media/112163/download." TargetMode="External"/><Relationship Id="rId10" Type="http://schemas.openxmlformats.org/officeDocument/2006/relationships/fontTable" Target="fontTable.xml"/><Relationship Id="rId4" Type="http://schemas.openxmlformats.org/officeDocument/2006/relationships/hyperlink" Target="https://www.fda.gov/media/131230/download" TargetMode="External"/><Relationship Id="rId9" Type="http://schemas.openxmlformats.org/officeDocument/2006/relationships/hyperlink" Target="https://nationalhealthcouncil.org/a-blueprint-for-developing-patient-centered-core-impact-sets-pc-c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Chaplin</dc:creator>
  <cp:keywords/>
  <dc:description/>
  <cp:lastModifiedBy>Fiona Chaplin</cp:lastModifiedBy>
  <cp:revision>1</cp:revision>
  <dcterms:created xsi:type="dcterms:W3CDTF">2023-05-04T05:24:00Z</dcterms:created>
  <dcterms:modified xsi:type="dcterms:W3CDTF">2023-05-04T05:25:00Z</dcterms:modified>
</cp:coreProperties>
</file>