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F2BC8" w14:textId="77777777" w:rsidR="00991BD3" w:rsidRDefault="00991BD3" w:rsidP="00991BD3">
      <w:pPr>
        <w:spacing w:before="240" w:after="240" w:line="360" w:lineRule="auto"/>
        <w:jc w:val="both"/>
        <w:rPr>
          <w:lang w:val="en-IN"/>
        </w:rPr>
      </w:pPr>
      <w:r w:rsidRPr="0056371B">
        <w:rPr>
          <w:lang w:val="en-IN"/>
        </w:rPr>
        <w:t>Table 2: Prevalence of breastfeeding associated with the practice of giving water DHS 2010 to 2019 at the regional level.</w:t>
      </w:r>
    </w:p>
    <w:tbl>
      <w:tblPr>
        <w:tblStyle w:val="TableGrid"/>
        <w:tblW w:w="9251" w:type="dxa"/>
        <w:tblInd w:w="284" w:type="dxa"/>
        <w:tblLayout w:type="fixed"/>
        <w:tblLook w:val="04A0" w:firstRow="1" w:lastRow="0" w:firstColumn="1" w:lastColumn="0" w:noHBand="0" w:noVBand="1"/>
      </w:tblPr>
      <w:tblGrid>
        <w:gridCol w:w="3941"/>
        <w:gridCol w:w="5310"/>
      </w:tblGrid>
      <w:tr w:rsidR="00991BD3" w:rsidRPr="00C0482B" w14:paraId="2DFB34EC" w14:textId="77777777" w:rsidTr="00C91E54">
        <w:tc>
          <w:tcPr>
            <w:tcW w:w="3941" w:type="dxa"/>
          </w:tcPr>
          <w:p w14:paraId="6BBF6667" w14:textId="77777777" w:rsidR="00991BD3" w:rsidRPr="00530186" w:rsidRDefault="00991BD3" w:rsidP="00C91E54">
            <w:pPr>
              <w:pStyle w:val="Style2"/>
              <w:spacing w:line="360" w:lineRule="auto"/>
              <w:ind w:left="0"/>
              <w:rPr>
                <w:b w:val="0"/>
                <w:bCs w:val="0"/>
                <w:sz w:val="24"/>
                <w:szCs w:val="24"/>
                <w:lang w:val="en-US"/>
              </w:rPr>
            </w:pPr>
            <w:r w:rsidRPr="0056371B">
              <w:rPr>
                <w:b w:val="0"/>
                <w:bCs w:val="0"/>
                <w:sz w:val="24"/>
                <w:szCs w:val="24"/>
                <w:lang w:val="en-US"/>
              </w:rPr>
              <w:t xml:space="preserve">In Dakar, the practice of giving water in addition to breast milk concerns on average three out of 10 infants under six months of age.  </w:t>
            </w:r>
            <w:r w:rsidRPr="00530186">
              <w:rPr>
                <w:b w:val="0"/>
                <w:bCs w:val="0"/>
                <w:sz w:val="24"/>
                <w:szCs w:val="24"/>
                <w:lang w:val="en-US"/>
              </w:rPr>
              <w:t>This practice is relatively low and stable between 2010 and 2017.</w:t>
            </w:r>
          </w:p>
        </w:tc>
        <w:tc>
          <w:tcPr>
            <w:tcW w:w="5310" w:type="dxa"/>
          </w:tcPr>
          <w:p w14:paraId="28C879F3" w14:textId="77777777" w:rsidR="00991BD3" w:rsidRPr="00FC7027" w:rsidRDefault="00991BD3" w:rsidP="00C91E54">
            <w:pPr>
              <w:pStyle w:val="Style2"/>
              <w:spacing w:line="360" w:lineRule="auto"/>
              <w:ind w:left="0"/>
              <w:rPr>
                <w:b w:val="0"/>
                <w:bCs w:val="0"/>
                <w:color w:val="000000" w:themeColor="text1"/>
                <w:sz w:val="24"/>
                <w:szCs w:val="24"/>
              </w:rPr>
            </w:pPr>
            <w:r w:rsidRPr="00FC7027">
              <w:rPr>
                <w:noProof/>
                <w:color w:val="000000" w:themeColor="text1"/>
                <w:sz w:val="24"/>
                <w:szCs w:val="24"/>
              </w:rPr>
              <w:drawing>
                <wp:inline distT="0" distB="0" distL="0" distR="0" wp14:anchorId="2A1C9C67" wp14:editId="26A8E932">
                  <wp:extent cx="2814084" cy="985284"/>
                  <wp:effectExtent l="0" t="0" r="18415" b="18415"/>
                  <wp:docPr id="44" name="Chart 44">
                    <a:extLst xmlns:a="http://schemas.openxmlformats.org/drawingml/2006/main">
                      <a:ext uri="{FF2B5EF4-FFF2-40B4-BE49-F238E27FC236}">
                        <a16:creationId xmlns:a16="http://schemas.microsoft.com/office/drawing/2014/main" id="{F730E4C3-DB4E-E94C-9F71-2142AFEC8E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tc>
      </w:tr>
      <w:tr w:rsidR="00991BD3" w:rsidRPr="00C0482B" w14:paraId="43BD3DD5" w14:textId="77777777" w:rsidTr="00C91E54">
        <w:tc>
          <w:tcPr>
            <w:tcW w:w="3941" w:type="dxa"/>
          </w:tcPr>
          <w:p w14:paraId="192A0CD1" w14:textId="77777777" w:rsidR="00991BD3" w:rsidRPr="00C0482B" w:rsidRDefault="00991BD3" w:rsidP="00C91E54">
            <w:pPr>
              <w:pStyle w:val="Style2"/>
              <w:spacing w:line="360" w:lineRule="auto"/>
              <w:ind w:left="0"/>
              <w:rPr>
                <w:b w:val="0"/>
                <w:bCs w:val="0"/>
                <w:sz w:val="24"/>
                <w:szCs w:val="24"/>
              </w:rPr>
            </w:pPr>
            <w:r w:rsidRPr="0056371B">
              <w:rPr>
                <w:b w:val="0"/>
                <w:bCs w:val="0"/>
                <w:sz w:val="24"/>
                <w:szCs w:val="24"/>
                <w:lang w:val="en-US"/>
              </w:rPr>
              <w:t xml:space="preserve">In Diourbel, it affects on average one out of every two infants under six months of age. </w:t>
            </w:r>
            <w:r w:rsidRPr="0056371B">
              <w:rPr>
                <w:b w:val="0"/>
                <w:bCs w:val="0"/>
                <w:sz w:val="24"/>
                <w:szCs w:val="24"/>
              </w:rPr>
              <w:t>Practice rates generally exceed 50% except in 2014 and 2015.</w:t>
            </w:r>
          </w:p>
        </w:tc>
        <w:tc>
          <w:tcPr>
            <w:tcW w:w="5310" w:type="dxa"/>
          </w:tcPr>
          <w:p w14:paraId="7D3A618C" w14:textId="77777777" w:rsidR="00991BD3" w:rsidRPr="000001A5" w:rsidRDefault="00991BD3" w:rsidP="00C91E54">
            <w:pPr>
              <w:pStyle w:val="Style2"/>
              <w:spacing w:line="360" w:lineRule="auto"/>
              <w:ind w:left="0"/>
              <w:rPr>
                <w:b w:val="0"/>
                <w:bCs w:val="0"/>
                <w:color w:val="000000" w:themeColor="text1"/>
                <w:sz w:val="24"/>
                <w:szCs w:val="24"/>
              </w:rPr>
            </w:pPr>
            <w:r w:rsidRPr="000001A5">
              <w:rPr>
                <w:noProof/>
                <w:color w:val="000000" w:themeColor="text1"/>
                <w:sz w:val="24"/>
                <w:szCs w:val="24"/>
              </w:rPr>
              <w:drawing>
                <wp:inline distT="0" distB="0" distL="0" distR="0" wp14:anchorId="3906EB78" wp14:editId="59843F4C">
                  <wp:extent cx="2877879" cy="1112874"/>
                  <wp:effectExtent l="0" t="0" r="17780" b="17780"/>
                  <wp:docPr id="45" name="Chart 45">
                    <a:extLst xmlns:a="http://schemas.openxmlformats.org/drawingml/2006/main">
                      <a:ext uri="{FF2B5EF4-FFF2-40B4-BE49-F238E27FC236}">
                        <a16:creationId xmlns:a16="http://schemas.microsoft.com/office/drawing/2014/main" id="{57F4D3C1-D5A0-9D41-BA4E-DA6CAA2234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tc>
      </w:tr>
      <w:tr w:rsidR="00991BD3" w:rsidRPr="00C0482B" w14:paraId="6FCFF386" w14:textId="77777777" w:rsidTr="00C91E54">
        <w:tc>
          <w:tcPr>
            <w:tcW w:w="3941" w:type="dxa"/>
          </w:tcPr>
          <w:p w14:paraId="4DF9E587" w14:textId="77777777" w:rsidR="00991BD3" w:rsidRPr="00C04C71" w:rsidRDefault="00991BD3" w:rsidP="00C91E54">
            <w:pPr>
              <w:pStyle w:val="Style2"/>
              <w:spacing w:line="360" w:lineRule="auto"/>
              <w:ind w:left="0"/>
              <w:rPr>
                <w:b w:val="0"/>
                <w:sz w:val="24"/>
                <w:szCs w:val="24"/>
                <w:lang w:val="en-US"/>
              </w:rPr>
            </w:pPr>
            <w:r w:rsidRPr="00C04C71">
              <w:rPr>
                <w:b w:val="0"/>
                <w:sz w:val="24"/>
                <w:szCs w:val="24"/>
                <w:lang w:val="en-US"/>
              </w:rPr>
              <w:t>In Fatick, breastfeeding rates associated with the practice of giving water to infants under six months of age show less pronounced inter-annual fluctuations, with the exception of 2016, when there was an exceptional drop of more than 60%, affecting an average of four out of ten infants.</w:t>
            </w:r>
          </w:p>
        </w:tc>
        <w:tc>
          <w:tcPr>
            <w:tcW w:w="5310" w:type="dxa"/>
          </w:tcPr>
          <w:p w14:paraId="06E73B05"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417D253E" wp14:editId="790AA52B">
                  <wp:extent cx="2877820" cy="1183759"/>
                  <wp:effectExtent l="0" t="0" r="17780" b="10160"/>
                  <wp:docPr id="46" name="Chart 46">
                    <a:extLst xmlns:a="http://schemas.openxmlformats.org/drawingml/2006/main">
                      <a:ext uri="{FF2B5EF4-FFF2-40B4-BE49-F238E27FC236}">
                        <a16:creationId xmlns:a16="http://schemas.microsoft.com/office/drawing/2014/main" id="{FB8450A9-8448-DF4C-8CEE-A81BAE472B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r>
      <w:tr w:rsidR="00991BD3" w:rsidRPr="00C0482B" w14:paraId="6C684DB3" w14:textId="77777777" w:rsidTr="00C91E54">
        <w:tc>
          <w:tcPr>
            <w:tcW w:w="3941" w:type="dxa"/>
          </w:tcPr>
          <w:p w14:paraId="17BE4B2D" w14:textId="77777777" w:rsidR="00991BD3" w:rsidRPr="00C04C71" w:rsidRDefault="00991BD3" w:rsidP="00C91E54">
            <w:pPr>
              <w:pStyle w:val="Style2"/>
              <w:spacing w:line="360" w:lineRule="auto"/>
              <w:ind w:left="0"/>
              <w:rPr>
                <w:b w:val="0"/>
                <w:sz w:val="24"/>
                <w:szCs w:val="24"/>
                <w:lang w:val="en-US"/>
              </w:rPr>
            </w:pPr>
            <w:r w:rsidRPr="00C04C71">
              <w:rPr>
                <w:b w:val="0"/>
                <w:sz w:val="24"/>
                <w:szCs w:val="24"/>
                <w:lang w:val="en-US"/>
              </w:rPr>
              <w:t xml:space="preserve">In Kaolack,after a plateau around 60% from 2010- to 2016, the rate of the practice dropped to over 45% in 2017. However, slightly more than three out of ten infants under six months of age are deprived of the benefits of </w:t>
            </w:r>
            <w:r w:rsidRPr="00C04C71">
              <w:rPr>
                <w:b w:val="0"/>
                <w:sz w:val="24"/>
                <w:szCs w:val="24"/>
                <w:lang w:val="en-US"/>
              </w:rPr>
              <w:lastRenderedPageBreak/>
              <w:t>exclusive breastfeeding because of the practice.</w:t>
            </w:r>
          </w:p>
        </w:tc>
        <w:tc>
          <w:tcPr>
            <w:tcW w:w="5310" w:type="dxa"/>
          </w:tcPr>
          <w:p w14:paraId="7A56BB9C" w14:textId="77777777" w:rsidR="00991BD3" w:rsidRPr="00C0482B" w:rsidRDefault="00991BD3" w:rsidP="00C91E54">
            <w:pPr>
              <w:pStyle w:val="Style2"/>
              <w:spacing w:line="360" w:lineRule="auto"/>
              <w:ind w:left="0"/>
              <w:rPr>
                <w:b w:val="0"/>
                <w:bCs w:val="0"/>
                <w:sz w:val="24"/>
                <w:szCs w:val="24"/>
              </w:rPr>
            </w:pPr>
            <w:r w:rsidRPr="00C0482B">
              <w:rPr>
                <w:noProof/>
                <w:sz w:val="24"/>
                <w:szCs w:val="24"/>
              </w:rPr>
              <w:lastRenderedPageBreak/>
              <w:drawing>
                <wp:inline distT="0" distB="0" distL="0" distR="0" wp14:anchorId="286F672C" wp14:editId="54D5C2E6">
                  <wp:extent cx="2813685" cy="1219200"/>
                  <wp:effectExtent l="0" t="0" r="18415" b="12700"/>
                  <wp:docPr id="47" name="Chart 47">
                    <a:extLst xmlns:a="http://schemas.openxmlformats.org/drawingml/2006/main">
                      <a:ext uri="{FF2B5EF4-FFF2-40B4-BE49-F238E27FC236}">
                        <a16:creationId xmlns:a16="http://schemas.microsoft.com/office/drawing/2014/main" id="{A261011C-98AF-9C48-8530-D3E36C538A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991BD3" w:rsidRPr="00C0482B" w14:paraId="452868D2" w14:textId="77777777" w:rsidTr="00C91E54">
        <w:tc>
          <w:tcPr>
            <w:tcW w:w="3941" w:type="dxa"/>
          </w:tcPr>
          <w:p w14:paraId="7879B9F2"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In Kolda, the practice of giving water to infants was relatively low and stable around 30% from 2010 to 2015 before experiencing an impressive increase in 2016. With a rate of 18% in 2017, Kolda was the region where this harmful practice was less prevalent.</w:t>
            </w:r>
          </w:p>
        </w:tc>
        <w:tc>
          <w:tcPr>
            <w:tcW w:w="5310" w:type="dxa"/>
          </w:tcPr>
          <w:p w14:paraId="70DF64BC"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27A2C913" wp14:editId="2B089760">
                  <wp:extent cx="2877820" cy="1254642"/>
                  <wp:effectExtent l="0" t="0" r="17780" b="15875"/>
                  <wp:docPr id="48" name="Chart 48">
                    <a:extLst xmlns:a="http://schemas.openxmlformats.org/drawingml/2006/main">
                      <a:ext uri="{FF2B5EF4-FFF2-40B4-BE49-F238E27FC236}">
                        <a16:creationId xmlns:a16="http://schemas.microsoft.com/office/drawing/2014/main" id="{30CCD08C-6571-5C41-9A28-94AF5714CF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991BD3" w:rsidRPr="00C0482B" w14:paraId="19EF27EB" w14:textId="77777777" w:rsidTr="00C91E54">
        <w:tc>
          <w:tcPr>
            <w:tcW w:w="3941" w:type="dxa"/>
          </w:tcPr>
          <w:p w14:paraId="3A4A291D"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In Kaffrine the practice of giving water to infants has seen a gradual increase from 2010 to 2015 with almost eight in ten infants affected. Despite its decline in 2016 by about 33%, rates are still high and affect four out of ten infants under six months.</w:t>
            </w:r>
          </w:p>
        </w:tc>
        <w:tc>
          <w:tcPr>
            <w:tcW w:w="5310" w:type="dxa"/>
          </w:tcPr>
          <w:p w14:paraId="4A181BCB"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03A3FD91" wp14:editId="45436649">
                  <wp:extent cx="2658140" cy="1176669"/>
                  <wp:effectExtent l="0" t="0" r="8890" b="17145"/>
                  <wp:docPr id="49" name="Chart 49">
                    <a:extLst xmlns:a="http://schemas.openxmlformats.org/drawingml/2006/main">
                      <a:ext uri="{FF2B5EF4-FFF2-40B4-BE49-F238E27FC236}">
                        <a16:creationId xmlns:a16="http://schemas.microsoft.com/office/drawing/2014/main" id="{2DE9116A-0A41-D347-B6C4-7577F4A8E7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991BD3" w:rsidRPr="00C0482B" w14:paraId="7278A6D7" w14:textId="77777777" w:rsidTr="00C91E54">
        <w:tc>
          <w:tcPr>
            <w:tcW w:w="3941" w:type="dxa"/>
          </w:tcPr>
          <w:p w14:paraId="06DB2ECD"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In Louga, giving water to infants under six months of age seems to be a fairly common practice, with rates generally ranging from 40 to 50%.</w:t>
            </w:r>
          </w:p>
        </w:tc>
        <w:tc>
          <w:tcPr>
            <w:tcW w:w="5310" w:type="dxa"/>
          </w:tcPr>
          <w:p w14:paraId="219F2C71"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45B7EAB7" wp14:editId="3BB45369">
                  <wp:extent cx="2707758" cy="1148316"/>
                  <wp:effectExtent l="0" t="0" r="10160" b="7620"/>
                  <wp:docPr id="50" name="Chart 50">
                    <a:extLst xmlns:a="http://schemas.openxmlformats.org/drawingml/2006/main">
                      <a:ext uri="{FF2B5EF4-FFF2-40B4-BE49-F238E27FC236}">
                        <a16:creationId xmlns:a16="http://schemas.microsoft.com/office/drawing/2014/main" id="{6676594B-46BA-CA4E-9101-9A579A20BB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991BD3" w:rsidRPr="00C0482B" w14:paraId="39C0729E" w14:textId="77777777" w:rsidTr="00C91E54">
        <w:tc>
          <w:tcPr>
            <w:tcW w:w="3941" w:type="dxa"/>
          </w:tcPr>
          <w:p w14:paraId="19A5845D"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In Matam, one in two infants receives water in addition to breast milk. The time series of the practice of giving water to infants under six months of age shows a quasi-stationary situation over the period from 2010 to 2017 with an average of 49%.</w:t>
            </w:r>
          </w:p>
        </w:tc>
        <w:tc>
          <w:tcPr>
            <w:tcW w:w="5310" w:type="dxa"/>
          </w:tcPr>
          <w:p w14:paraId="7DD399CE"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0FF0B053" wp14:editId="1FA91714">
                  <wp:extent cx="2658110" cy="1254642"/>
                  <wp:effectExtent l="0" t="0" r="8890" b="15875"/>
                  <wp:docPr id="56" name="Chart 56">
                    <a:extLst xmlns:a="http://schemas.openxmlformats.org/drawingml/2006/main">
                      <a:ext uri="{FF2B5EF4-FFF2-40B4-BE49-F238E27FC236}">
                        <a16:creationId xmlns:a16="http://schemas.microsoft.com/office/drawing/2014/main" id="{1B82DC02-9CCE-1548-9599-C109555BD9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991BD3" w:rsidRPr="00C0482B" w14:paraId="2F2B5BF2" w14:textId="77777777" w:rsidTr="00C91E54">
        <w:tc>
          <w:tcPr>
            <w:tcW w:w="3941" w:type="dxa"/>
          </w:tcPr>
          <w:p w14:paraId="26F9D7C4" w14:textId="77777777" w:rsidR="00991BD3" w:rsidRPr="00C0482B" w:rsidRDefault="00991BD3" w:rsidP="00C91E54">
            <w:pPr>
              <w:pStyle w:val="Style2"/>
              <w:spacing w:line="360" w:lineRule="auto"/>
              <w:ind w:left="0"/>
              <w:rPr>
                <w:b w:val="0"/>
                <w:bCs w:val="0"/>
                <w:sz w:val="24"/>
                <w:szCs w:val="24"/>
              </w:rPr>
            </w:pPr>
            <w:r w:rsidRPr="00D73009">
              <w:rPr>
                <w:b w:val="0"/>
                <w:bCs w:val="0"/>
                <w:sz w:val="24"/>
                <w:szCs w:val="24"/>
                <w:lang w:val="en-US"/>
              </w:rPr>
              <w:lastRenderedPageBreak/>
              <w:t xml:space="preserve">In Kédougou, after a succession of increases and decreases between 2010 and 2015, the prevalence of giving water in addition to breast milk is following a downward trend. </w:t>
            </w:r>
            <w:r w:rsidRPr="00D73009">
              <w:rPr>
                <w:b w:val="0"/>
                <w:bCs w:val="0"/>
                <w:sz w:val="24"/>
                <w:szCs w:val="24"/>
              </w:rPr>
              <w:t>In 2017, it concerned two out of ten infants.</w:t>
            </w:r>
          </w:p>
        </w:tc>
        <w:tc>
          <w:tcPr>
            <w:tcW w:w="5310" w:type="dxa"/>
          </w:tcPr>
          <w:p w14:paraId="59D72ECD"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34E71336" wp14:editId="1FD8DA42">
                  <wp:extent cx="2658110" cy="1460204"/>
                  <wp:effectExtent l="0" t="0" r="8890" b="13335"/>
                  <wp:docPr id="57" name="Chart 57">
                    <a:extLst xmlns:a="http://schemas.openxmlformats.org/drawingml/2006/main">
                      <a:ext uri="{FF2B5EF4-FFF2-40B4-BE49-F238E27FC236}">
                        <a16:creationId xmlns:a16="http://schemas.microsoft.com/office/drawing/2014/main" id="{903D1544-786B-2744-B629-C2FB64EEC0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991BD3" w:rsidRPr="00C0482B" w14:paraId="4C8E3A49" w14:textId="77777777" w:rsidTr="00C91E54">
        <w:tc>
          <w:tcPr>
            <w:tcW w:w="3941" w:type="dxa"/>
          </w:tcPr>
          <w:p w14:paraId="2D7314DA"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n St. Louis, data show that giving water to infants under six months of age is a frequent and persistent practice. In fact, the practice affects an average of four to five in ten infants between 2010 and 2017.</w:t>
            </w:r>
          </w:p>
        </w:tc>
        <w:tc>
          <w:tcPr>
            <w:tcW w:w="5310" w:type="dxa"/>
          </w:tcPr>
          <w:p w14:paraId="32F3C30B"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5D39CF12" wp14:editId="0DC9CF1E">
                  <wp:extent cx="2608521" cy="1141228"/>
                  <wp:effectExtent l="0" t="0" r="8255" b="14605"/>
                  <wp:docPr id="58" name="Chart 58">
                    <a:extLst xmlns:a="http://schemas.openxmlformats.org/drawingml/2006/main">
                      <a:ext uri="{FF2B5EF4-FFF2-40B4-BE49-F238E27FC236}">
                        <a16:creationId xmlns:a16="http://schemas.microsoft.com/office/drawing/2014/main" id="{79821422-6ABD-FA45-9483-2B54D5384A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991BD3" w:rsidRPr="00C0482B" w14:paraId="3A9AC087" w14:textId="77777777" w:rsidTr="00C91E54">
        <w:tc>
          <w:tcPr>
            <w:tcW w:w="3941" w:type="dxa"/>
          </w:tcPr>
          <w:p w14:paraId="075EF2B1"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In Sédhiou, the practice of giving water to infants under six months of age shows an upward trend with rates ranging from 27% in 2010 to 35% in 2017.</w:t>
            </w:r>
          </w:p>
        </w:tc>
        <w:tc>
          <w:tcPr>
            <w:tcW w:w="5310" w:type="dxa"/>
          </w:tcPr>
          <w:p w14:paraId="6091208E"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121B62C1" wp14:editId="3FA84A13">
                  <wp:extent cx="2544726" cy="1155404"/>
                  <wp:effectExtent l="0" t="0" r="8255" b="13335"/>
                  <wp:docPr id="61" name="Chart 61">
                    <a:extLst xmlns:a="http://schemas.openxmlformats.org/drawingml/2006/main">
                      <a:ext uri="{FF2B5EF4-FFF2-40B4-BE49-F238E27FC236}">
                        <a16:creationId xmlns:a16="http://schemas.microsoft.com/office/drawing/2014/main" id="{3E3F9D11-887E-1F4F-8F48-F899EF7593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991BD3" w:rsidRPr="00C0482B" w14:paraId="4393684C" w14:textId="77777777" w:rsidTr="00C91E54">
        <w:tc>
          <w:tcPr>
            <w:tcW w:w="3941" w:type="dxa"/>
          </w:tcPr>
          <w:p w14:paraId="5DD8C5D2"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In Tambacounda, after four successive years with high rates, the practice of giving water in addition to breast milk is becoming less common but continues to affect about four in ten infants in 2016 and 2017.</w:t>
            </w:r>
          </w:p>
        </w:tc>
        <w:tc>
          <w:tcPr>
            <w:tcW w:w="5310" w:type="dxa"/>
          </w:tcPr>
          <w:p w14:paraId="6029EDC4" w14:textId="77777777" w:rsidR="00991BD3" w:rsidRPr="00C0482B" w:rsidRDefault="00991BD3" w:rsidP="00C91E54">
            <w:pPr>
              <w:pStyle w:val="Style2"/>
              <w:spacing w:line="360" w:lineRule="auto"/>
              <w:ind w:left="0"/>
              <w:rPr>
                <w:b w:val="0"/>
                <w:bCs w:val="0"/>
                <w:sz w:val="24"/>
                <w:szCs w:val="24"/>
              </w:rPr>
            </w:pPr>
            <w:r w:rsidRPr="00C0482B">
              <w:rPr>
                <w:noProof/>
                <w:sz w:val="24"/>
                <w:szCs w:val="24"/>
              </w:rPr>
              <w:drawing>
                <wp:inline distT="0" distB="0" distL="0" distR="0" wp14:anchorId="362E8B14" wp14:editId="329A3F61">
                  <wp:extent cx="2629786" cy="1134139"/>
                  <wp:effectExtent l="0" t="0" r="12065" b="8890"/>
                  <wp:docPr id="194" name="Chart 194">
                    <a:extLst xmlns:a="http://schemas.openxmlformats.org/drawingml/2006/main">
                      <a:ext uri="{FF2B5EF4-FFF2-40B4-BE49-F238E27FC236}">
                        <a16:creationId xmlns:a16="http://schemas.microsoft.com/office/drawing/2014/main" id="{DBF9C88D-2CB1-8C4E-A469-61B621AA87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991BD3" w:rsidRPr="00C0482B" w14:paraId="36C07A0A" w14:textId="77777777" w:rsidTr="00C91E54">
        <w:tc>
          <w:tcPr>
            <w:tcW w:w="3941" w:type="dxa"/>
          </w:tcPr>
          <w:p w14:paraId="0914FB43" w14:textId="77777777" w:rsidR="00991BD3" w:rsidRPr="00D73009" w:rsidRDefault="00991BD3" w:rsidP="00C91E54">
            <w:pPr>
              <w:pStyle w:val="Style2"/>
              <w:spacing w:line="360" w:lineRule="auto"/>
              <w:ind w:left="0"/>
              <w:rPr>
                <w:b w:val="0"/>
                <w:bCs w:val="0"/>
                <w:sz w:val="24"/>
                <w:szCs w:val="24"/>
                <w:lang w:val="en-US"/>
              </w:rPr>
            </w:pPr>
            <w:r w:rsidRPr="00D73009">
              <w:rPr>
                <w:b w:val="0"/>
                <w:bCs w:val="0"/>
                <w:sz w:val="24"/>
                <w:szCs w:val="24"/>
                <w:lang w:val="en-US"/>
              </w:rPr>
              <w:t>In Thi</w:t>
            </w:r>
            <w:r>
              <w:rPr>
                <w:b w:val="0"/>
                <w:bCs w:val="0"/>
                <w:sz w:val="24"/>
                <w:szCs w:val="24"/>
                <w:lang w:val="en-US"/>
              </w:rPr>
              <w:t>e</w:t>
            </w:r>
            <w:r w:rsidRPr="00D73009">
              <w:rPr>
                <w:b w:val="0"/>
                <w:bCs w:val="0"/>
                <w:sz w:val="24"/>
                <w:szCs w:val="24"/>
                <w:lang w:val="en-US"/>
              </w:rPr>
              <w:t xml:space="preserve">s, after a gradual and steady decline from 2010 to 2016 to go from 31% to 13%, the rate of giving water in addition to breast milk rebounded in 2017. However, Thies is among the </w:t>
            </w:r>
            <w:r w:rsidRPr="00D73009">
              <w:rPr>
                <w:b w:val="0"/>
                <w:bCs w:val="0"/>
                <w:sz w:val="24"/>
                <w:szCs w:val="24"/>
                <w:lang w:val="en-US"/>
              </w:rPr>
              <w:lastRenderedPageBreak/>
              <w:t>regions with the lowest rates in the country.</w:t>
            </w:r>
          </w:p>
        </w:tc>
        <w:tc>
          <w:tcPr>
            <w:tcW w:w="5310" w:type="dxa"/>
          </w:tcPr>
          <w:p w14:paraId="04F7F00B" w14:textId="77777777" w:rsidR="00991BD3" w:rsidRPr="00C0482B" w:rsidRDefault="00991BD3" w:rsidP="00C91E54">
            <w:pPr>
              <w:pStyle w:val="Style2"/>
              <w:spacing w:line="360" w:lineRule="auto"/>
              <w:ind w:left="0"/>
              <w:rPr>
                <w:b w:val="0"/>
                <w:bCs w:val="0"/>
                <w:sz w:val="24"/>
                <w:szCs w:val="24"/>
              </w:rPr>
            </w:pPr>
            <w:r w:rsidRPr="00C0482B">
              <w:rPr>
                <w:noProof/>
                <w:sz w:val="24"/>
                <w:szCs w:val="24"/>
              </w:rPr>
              <w:lastRenderedPageBreak/>
              <w:drawing>
                <wp:inline distT="0" distB="0" distL="0" distR="0" wp14:anchorId="627E4028" wp14:editId="20702928">
                  <wp:extent cx="2530549" cy="1041991"/>
                  <wp:effectExtent l="0" t="0" r="9525" b="12700"/>
                  <wp:docPr id="204" name="Chart 204">
                    <a:extLst xmlns:a="http://schemas.openxmlformats.org/drawingml/2006/main">
                      <a:ext uri="{FF2B5EF4-FFF2-40B4-BE49-F238E27FC236}">
                        <a16:creationId xmlns:a16="http://schemas.microsoft.com/office/drawing/2014/main" id="{E48A0FE8-91D2-4943-ADB5-0AE19D5268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11169346" w14:textId="77777777" w:rsidR="00991BD3" w:rsidRPr="000C5718" w:rsidRDefault="00991BD3" w:rsidP="00991BD3">
      <w:pPr>
        <w:spacing w:before="240" w:after="240" w:line="360" w:lineRule="auto"/>
        <w:jc w:val="both"/>
        <w:rPr>
          <w:lang w:val="en-IN"/>
        </w:rPr>
      </w:pPr>
      <w:r w:rsidRPr="000C5718">
        <w:rPr>
          <w:lang w:val="en-IN"/>
        </w:rPr>
        <w:t>*Lactation + Water estimates for Ziguinchor are not shown for 2012-13 to 2016 due to small sample sizes (&lt;25)</w:t>
      </w:r>
    </w:p>
    <w:p w14:paraId="58E27D95" w14:textId="77777777" w:rsidR="00CA67E5" w:rsidRDefault="00991BD3"/>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BD3"/>
    <w:rsid w:val="00753CA0"/>
    <w:rsid w:val="00991BD3"/>
    <w:rsid w:val="00AC3DA1"/>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6E70"/>
  <w15:chartTrackingRefBased/>
  <w15:docId w15:val="{0255E2FD-165C-41DC-8DF5-98D2864F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BD3"/>
    <w:pPr>
      <w:spacing w:after="0" w:line="240" w:lineRule="auto"/>
    </w:pPr>
    <w:rPr>
      <w:rFonts w:ascii="Times New Roman" w:eastAsia="Times New Roman" w:hAnsi="Times New Roman" w:cs="Times New Roman"/>
      <w:sz w:val="24"/>
      <w:szCs w:val="24"/>
      <w:lang w:val="fr-SN"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link w:val="Style2Car"/>
    <w:qFormat/>
    <w:rsid w:val="00991BD3"/>
    <w:pPr>
      <w:spacing w:after="160" w:line="259" w:lineRule="auto"/>
      <w:ind w:left="284"/>
      <w:jc w:val="both"/>
    </w:pPr>
    <w:rPr>
      <w:b/>
      <w:bCs/>
      <w:sz w:val="22"/>
      <w:szCs w:val="22"/>
    </w:rPr>
  </w:style>
  <w:style w:type="character" w:customStyle="1" w:styleId="Style2Car">
    <w:name w:val="Style2 Car"/>
    <w:basedOn w:val="DefaultParagraphFont"/>
    <w:link w:val="Style2"/>
    <w:rsid w:val="00991BD3"/>
    <w:rPr>
      <w:rFonts w:ascii="Times New Roman" w:eastAsia="Times New Roman" w:hAnsi="Times New Roman" w:cs="Times New Roman"/>
      <w:b/>
      <w:bCs/>
      <w:lang w:val="fr-SN" w:eastAsia="fr-FR"/>
    </w:rPr>
  </w:style>
  <w:style w:type="table" w:styleId="TableGrid">
    <w:name w:val="Table Grid"/>
    <w:basedOn w:val="TableNormal"/>
    <w:uiPriority w:val="39"/>
    <w:rsid w:val="00991BD3"/>
    <w:pPr>
      <w:spacing w:after="0" w:line="240" w:lineRule="auto"/>
    </w:pPr>
    <w:rPr>
      <w:sz w:val="24"/>
      <w:szCs w:val="24"/>
      <w:lang w:val="fr-S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13" Type="http://schemas.openxmlformats.org/officeDocument/2006/relationships/chart" Target="charts/chart10.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4.xml"/><Relationship Id="rId12" Type="http://schemas.openxmlformats.org/officeDocument/2006/relationships/chart" Target="charts/chart9.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hart" Target="charts/chart13.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5" Type="http://schemas.openxmlformats.org/officeDocument/2006/relationships/chart" Target="charts/chart2.xml"/><Relationship Id="rId15" Type="http://schemas.openxmlformats.org/officeDocument/2006/relationships/chart" Target="charts/chart12.xml"/><Relationship Id="rId10" Type="http://schemas.openxmlformats.org/officeDocument/2006/relationships/chart" Target="charts/chart7.xml"/><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chart" Target="charts/chart1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13.xml"/><Relationship Id="rId1" Type="http://schemas.microsoft.com/office/2011/relationships/chartStyle" Target="style13.xml"/></Relationships>
</file>

<file path=word/charts/_rels/chart2.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Users\aitasarrcisse\Documents\A&amp;T\A&amp;T\workplan_2019\consultants_nationaux\Junior\Senegal\PFLMU_Senegal\reanalyse_donnees_MSP.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manualLayout>
          <c:layoutTarget val="inner"/>
          <c:xMode val="edge"/>
          <c:yMode val="edge"/>
          <c:x val="4.4688198253097708E-2"/>
          <c:y val="4.7235062434074063E-2"/>
          <c:w val="0.91062360349380456"/>
          <c:h val="0.77790436990132483"/>
        </c:manualLayout>
      </c:layout>
      <c:lineChart>
        <c:grouping val="standard"/>
        <c:varyColors val="0"/>
        <c:ser>
          <c:idx val="0"/>
          <c:order val="0"/>
          <c:tx>
            <c:strRef>
              <c:f>'AM+Eau'!$A$19</c:f>
              <c:strCache>
                <c:ptCount val="1"/>
                <c:pt idx="0">
                  <c:v>Dakar</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'AM+Eau'!$B$19:$G$19</c:f>
              <c:numCache>
                <c:formatCode>General</c:formatCode>
                <c:ptCount val="6"/>
                <c:pt idx="0">
                  <c:v>23.49</c:v>
                </c:pt>
                <c:pt idx="1">
                  <c:v>33.270000000000003</c:v>
                </c:pt>
                <c:pt idx="2">
                  <c:v>24.25</c:v>
                </c:pt>
                <c:pt idx="3">
                  <c:v>26.11</c:v>
                </c:pt>
                <c:pt idx="4">
                  <c:v>25.71</c:v>
                </c:pt>
                <c:pt idx="5">
                  <c:v>31.12</c:v>
                </c:pt>
              </c:numCache>
            </c:numRef>
          </c:val>
          <c:smooth val="0"/>
          <c:extLst>
            <c:ext xmlns:c16="http://schemas.microsoft.com/office/drawing/2014/chart" uri="{C3380CC4-5D6E-409C-BE32-E72D297353CC}">
              <c16:uniqueId val="{00000000-5520-4D56-9D6F-8E9A6EC53144}"/>
            </c:ext>
          </c:extLst>
        </c:ser>
        <c:dLbls>
          <c:dLblPos val="ctr"/>
          <c:showLegendKey val="0"/>
          <c:showVal val="1"/>
          <c:showCatName val="0"/>
          <c:showSerName val="0"/>
          <c:showPercent val="0"/>
          <c:showBubbleSize val="0"/>
        </c:dLbls>
        <c:marker val="1"/>
        <c:smooth val="0"/>
        <c:axId val="889598911"/>
        <c:axId val="849790511"/>
      </c:lineChart>
      <c:catAx>
        <c:axId val="88959891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849790511"/>
        <c:crosses val="autoZero"/>
        <c:auto val="1"/>
        <c:lblAlgn val="ctr"/>
        <c:lblOffset val="100"/>
        <c:noMultiLvlLbl val="0"/>
      </c:catAx>
      <c:valAx>
        <c:axId val="849790511"/>
        <c:scaling>
          <c:orientation val="minMax"/>
        </c:scaling>
        <c:delete val="1"/>
        <c:axPos val="l"/>
        <c:numFmt formatCode="General" sourceLinked="1"/>
        <c:majorTickMark val="none"/>
        <c:minorTickMark val="none"/>
        <c:tickLblPos val="nextTo"/>
        <c:crossAx val="8895989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'AM+Eau'!$A$22</c:f>
              <c:strCache>
                <c:ptCount val="1"/>
                <c:pt idx="0">
                  <c:v>Saint-Louis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'AM+Eau'!$B$22:$G$22</c:f>
              <c:numCache>
                <c:formatCode>General</c:formatCode>
                <c:ptCount val="6"/>
                <c:pt idx="0">
                  <c:v>35.840000000000003</c:v>
                </c:pt>
                <c:pt idx="1">
                  <c:v>49.1</c:v>
                </c:pt>
                <c:pt idx="2">
                  <c:v>46.03</c:v>
                </c:pt>
                <c:pt idx="3">
                  <c:v>49.15</c:v>
                </c:pt>
                <c:pt idx="4">
                  <c:v>33.32</c:v>
                </c:pt>
                <c:pt idx="5">
                  <c:v>39.17</c:v>
                </c:pt>
              </c:numCache>
            </c:numRef>
          </c:val>
          <c:smooth val="0"/>
          <c:extLst>
            <c:ext xmlns:c16="http://schemas.microsoft.com/office/drawing/2014/chart" uri="{C3380CC4-5D6E-409C-BE32-E72D297353CC}">
              <c16:uniqueId val="{00000000-8A6F-432D-9BD4-23CBEC29B565}"/>
            </c:ext>
          </c:extLst>
        </c:ser>
        <c:dLbls>
          <c:dLblPos val="ctr"/>
          <c:showLegendKey val="0"/>
          <c:showVal val="1"/>
          <c:showCatName val="0"/>
          <c:showSerName val="0"/>
          <c:showPercent val="0"/>
          <c:showBubbleSize val="0"/>
        </c:dLbls>
        <c:marker val="1"/>
        <c:smooth val="0"/>
        <c:axId val="1152312479"/>
        <c:axId val="1152244239"/>
      </c:lineChart>
      <c:catAx>
        <c:axId val="115231247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152244239"/>
        <c:crosses val="autoZero"/>
        <c:auto val="1"/>
        <c:lblAlgn val="ctr"/>
        <c:lblOffset val="100"/>
        <c:noMultiLvlLbl val="0"/>
      </c:catAx>
      <c:valAx>
        <c:axId val="1152244239"/>
        <c:scaling>
          <c:orientation val="minMax"/>
        </c:scaling>
        <c:delete val="1"/>
        <c:axPos val="l"/>
        <c:numFmt formatCode="General" sourceLinked="1"/>
        <c:majorTickMark val="none"/>
        <c:minorTickMark val="none"/>
        <c:tickLblPos val="nextTo"/>
        <c:crossAx val="11523124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'AM+Eau'!$A$32</c:f>
              <c:strCache>
                <c:ptCount val="1"/>
                <c:pt idx="0">
                  <c:v>Sedhiou</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'AM+Eau'!$B$32:$G$32</c:f>
              <c:numCache>
                <c:formatCode>General</c:formatCode>
                <c:ptCount val="6"/>
                <c:pt idx="0">
                  <c:v>27.32</c:v>
                </c:pt>
                <c:pt idx="1">
                  <c:v>30.45</c:v>
                </c:pt>
                <c:pt idx="2">
                  <c:v>45.6</c:v>
                </c:pt>
                <c:pt idx="3">
                  <c:v>29.96</c:v>
                </c:pt>
                <c:pt idx="4">
                  <c:v>34.56</c:v>
                </c:pt>
                <c:pt idx="5">
                  <c:v>35.479999999999997</c:v>
                </c:pt>
              </c:numCache>
            </c:numRef>
          </c:val>
          <c:smooth val="0"/>
          <c:extLst>
            <c:ext xmlns:c16="http://schemas.microsoft.com/office/drawing/2014/chart" uri="{C3380CC4-5D6E-409C-BE32-E72D297353CC}">
              <c16:uniqueId val="{00000000-A3CA-4BE0-902F-31B12D925542}"/>
            </c:ext>
          </c:extLst>
        </c:ser>
        <c:dLbls>
          <c:dLblPos val="ctr"/>
          <c:showLegendKey val="0"/>
          <c:showVal val="1"/>
          <c:showCatName val="0"/>
          <c:showSerName val="0"/>
          <c:showPercent val="0"/>
          <c:showBubbleSize val="0"/>
        </c:dLbls>
        <c:marker val="1"/>
        <c:smooth val="0"/>
        <c:axId val="858093743"/>
        <c:axId val="1164844047"/>
      </c:lineChart>
      <c:catAx>
        <c:axId val="85809374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164844047"/>
        <c:crosses val="autoZero"/>
        <c:auto val="1"/>
        <c:lblAlgn val="ctr"/>
        <c:lblOffset val="100"/>
        <c:noMultiLvlLbl val="0"/>
      </c:catAx>
      <c:valAx>
        <c:axId val="1164844047"/>
        <c:scaling>
          <c:orientation val="minMax"/>
        </c:scaling>
        <c:delete val="1"/>
        <c:axPos val="l"/>
        <c:numFmt formatCode="General" sourceLinked="1"/>
        <c:majorTickMark val="none"/>
        <c:minorTickMark val="none"/>
        <c:tickLblPos val="nextTo"/>
        <c:crossAx val="85809374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'AM+Eau'!$A$23</c:f>
              <c:strCache>
                <c:ptCount val="1"/>
                <c:pt idx="0">
                  <c:v>Tambacounda</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'AM+Eau'!$B$23:$G$23</c:f>
              <c:numCache>
                <c:formatCode>General</c:formatCode>
                <c:ptCount val="6"/>
                <c:pt idx="0">
                  <c:v>53.37</c:v>
                </c:pt>
                <c:pt idx="1">
                  <c:v>50.45</c:v>
                </c:pt>
                <c:pt idx="2">
                  <c:v>52.54</c:v>
                </c:pt>
                <c:pt idx="3">
                  <c:v>55.7</c:v>
                </c:pt>
                <c:pt idx="4">
                  <c:v>35.72</c:v>
                </c:pt>
                <c:pt idx="5">
                  <c:v>37.25</c:v>
                </c:pt>
              </c:numCache>
            </c:numRef>
          </c:val>
          <c:smooth val="0"/>
          <c:extLst>
            <c:ext xmlns:c16="http://schemas.microsoft.com/office/drawing/2014/chart" uri="{C3380CC4-5D6E-409C-BE32-E72D297353CC}">
              <c16:uniqueId val="{00000000-3E26-4AC0-BE84-AE433E6443E7}"/>
            </c:ext>
          </c:extLst>
        </c:ser>
        <c:dLbls>
          <c:dLblPos val="ctr"/>
          <c:showLegendKey val="0"/>
          <c:showVal val="1"/>
          <c:showCatName val="0"/>
          <c:showSerName val="0"/>
          <c:showPercent val="0"/>
          <c:showBubbleSize val="0"/>
        </c:dLbls>
        <c:marker val="1"/>
        <c:smooth val="0"/>
        <c:axId val="855386127"/>
        <c:axId val="848963087"/>
      </c:lineChart>
      <c:catAx>
        <c:axId val="85538612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848963087"/>
        <c:crosses val="autoZero"/>
        <c:auto val="1"/>
        <c:lblAlgn val="ctr"/>
        <c:lblOffset val="100"/>
        <c:noMultiLvlLbl val="0"/>
      </c:catAx>
      <c:valAx>
        <c:axId val="848963087"/>
        <c:scaling>
          <c:orientation val="minMax"/>
        </c:scaling>
        <c:delete val="1"/>
        <c:axPos val="l"/>
        <c:numFmt formatCode="General" sourceLinked="1"/>
        <c:majorTickMark val="none"/>
        <c:minorTickMark val="none"/>
        <c:tickLblPos val="nextTo"/>
        <c:crossAx val="85538612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'AM+Eau'!$A$25</c:f>
              <c:strCache>
                <c:ptCount val="1"/>
                <c:pt idx="0">
                  <c:v>Thiès</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'AM+Eau'!$B$25:$G$25</c:f>
              <c:numCache>
                <c:formatCode>General</c:formatCode>
                <c:ptCount val="6"/>
                <c:pt idx="0">
                  <c:v>31.32</c:v>
                </c:pt>
                <c:pt idx="1">
                  <c:v>37.32</c:v>
                </c:pt>
                <c:pt idx="2">
                  <c:v>33.229999999999997</c:v>
                </c:pt>
                <c:pt idx="3">
                  <c:v>22.89</c:v>
                </c:pt>
                <c:pt idx="4">
                  <c:v>13.4</c:v>
                </c:pt>
                <c:pt idx="5">
                  <c:v>27.13</c:v>
                </c:pt>
              </c:numCache>
            </c:numRef>
          </c:val>
          <c:smooth val="0"/>
          <c:extLst>
            <c:ext xmlns:c16="http://schemas.microsoft.com/office/drawing/2014/chart" uri="{C3380CC4-5D6E-409C-BE32-E72D297353CC}">
              <c16:uniqueId val="{00000000-F8B8-4710-BCA7-1E08688843C1}"/>
            </c:ext>
          </c:extLst>
        </c:ser>
        <c:dLbls>
          <c:dLblPos val="ctr"/>
          <c:showLegendKey val="0"/>
          <c:showVal val="1"/>
          <c:showCatName val="0"/>
          <c:showSerName val="0"/>
          <c:showPercent val="0"/>
          <c:showBubbleSize val="0"/>
        </c:dLbls>
        <c:marker val="1"/>
        <c:smooth val="0"/>
        <c:axId val="1234104959"/>
        <c:axId val="1151891631"/>
      </c:lineChart>
      <c:catAx>
        <c:axId val="123410495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151891631"/>
        <c:crosses val="autoZero"/>
        <c:auto val="1"/>
        <c:lblAlgn val="ctr"/>
        <c:lblOffset val="100"/>
        <c:noMultiLvlLbl val="0"/>
      </c:catAx>
      <c:valAx>
        <c:axId val="1151891631"/>
        <c:scaling>
          <c:orientation val="minMax"/>
        </c:scaling>
        <c:delete val="1"/>
        <c:axPos val="l"/>
        <c:numFmt formatCode="General" sourceLinked="1"/>
        <c:majorTickMark val="none"/>
        <c:minorTickMark val="none"/>
        <c:tickLblPos val="nextTo"/>
        <c:crossAx val="12341049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manualLayout>
          <c:layoutTarget val="inner"/>
          <c:xMode val="edge"/>
          <c:yMode val="edge"/>
          <c:x val="2.7777777777777776E-2"/>
          <c:y val="4.877542346761661E-2"/>
          <c:w val="0.93888888888888888"/>
          <c:h val="0.81655846789237874"/>
        </c:manualLayout>
      </c:layout>
      <c:lineChart>
        <c:grouping val="standard"/>
        <c:varyColors val="0"/>
        <c:ser>
          <c:idx val="0"/>
          <c:order val="0"/>
          <c:tx>
            <c:strRef>
              <c:f>'AM+Eau'!$A$21</c:f>
              <c:strCache>
                <c:ptCount val="1"/>
                <c:pt idx="0">
                  <c:v>Diourbel</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'AM+Eau'!$B$21:$G$21</c:f>
              <c:numCache>
                <c:formatCode>General</c:formatCode>
                <c:ptCount val="6"/>
                <c:pt idx="0">
                  <c:v>47.93</c:v>
                </c:pt>
                <c:pt idx="1">
                  <c:v>59.9</c:v>
                </c:pt>
                <c:pt idx="2">
                  <c:v>30.18</c:v>
                </c:pt>
                <c:pt idx="3">
                  <c:v>36.26</c:v>
                </c:pt>
                <c:pt idx="4">
                  <c:v>61.39</c:v>
                </c:pt>
                <c:pt idx="5">
                  <c:v>58.53</c:v>
                </c:pt>
              </c:numCache>
            </c:numRef>
          </c:val>
          <c:smooth val="0"/>
          <c:extLst>
            <c:ext xmlns:c16="http://schemas.microsoft.com/office/drawing/2014/chart" uri="{C3380CC4-5D6E-409C-BE32-E72D297353CC}">
              <c16:uniqueId val="{00000000-D580-476B-BE7F-4F290B478E82}"/>
            </c:ext>
          </c:extLst>
        </c:ser>
        <c:dLbls>
          <c:dLblPos val="ctr"/>
          <c:showLegendKey val="0"/>
          <c:showVal val="1"/>
          <c:showCatName val="0"/>
          <c:showSerName val="0"/>
          <c:showPercent val="0"/>
          <c:showBubbleSize val="0"/>
        </c:dLbls>
        <c:marker val="1"/>
        <c:smooth val="0"/>
        <c:axId val="854684655"/>
        <c:axId val="1108774719"/>
      </c:lineChart>
      <c:catAx>
        <c:axId val="854684655"/>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108774719"/>
        <c:crosses val="autoZero"/>
        <c:auto val="1"/>
        <c:lblAlgn val="ctr"/>
        <c:lblOffset val="100"/>
        <c:noMultiLvlLbl val="0"/>
      </c:catAx>
      <c:valAx>
        <c:axId val="1108774719"/>
        <c:scaling>
          <c:orientation val="minMax"/>
        </c:scaling>
        <c:delete val="1"/>
        <c:axPos val="l"/>
        <c:numFmt formatCode="General" sourceLinked="1"/>
        <c:majorTickMark val="none"/>
        <c:minorTickMark val="none"/>
        <c:tickLblPos val="nextTo"/>
        <c:crossAx val="8546846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manualLayout>
          <c:layoutTarget val="inner"/>
          <c:xMode val="edge"/>
          <c:yMode val="edge"/>
          <c:x val="4.5193097781429742E-2"/>
          <c:y val="5.6071606880055858E-2"/>
          <c:w val="0.90961380443714046"/>
          <c:h val="0.76703877618281557"/>
        </c:manualLayout>
      </c:layout>
      <c:lineChart>
        <c:grouping val="standard"/>
        <c:varyColors val="0"/>
        <c:ser>
          <c:idx val="0"/>
          <c:order val="0"/>
          <c:tx>
            <c:strRef>
              <c:f>'AM+Eau'!$A$27</c:f>
              <c:strCache>
                <c:ptCount val="1"/>
                <c:pt idx="0">
                  <c:v>Fatick</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'AM+Eau'!$B$27:$G$27</c:f>
              <c:numCache>
                <c:formatCode>General</c:formatCode>
                <c:ptCount val="6"/>
                <c:pt idx="0">
                  <c:v>49.77</c:v>
                </c:pt>
                <c:pt idx="1">
                  <c:v>54.29</c:v>
                </c:pt>
                <c:pt idx="2">
                  <c:v>32.82</c:v>
                </c:pt>
                <c:pt idx="3">
                  <c:v>43.24</c:v>
                </c:pt>
                <c:pt idx="4">
                  <c:v>16.88</c:v>
                </c:pt>
                <c:pt idx="5">
                  <c:v>35.200000000000003</c:v>
                </c:pt>
              </c:numCache>
            </c:numRef>
          </c:val>
          <c:smooth val="0"/>
          <c:extLst>
            <c:ext xmlns:c16="http://schemas.microsoft.com/office/drawing/2014/chart" uri="{C3380CC4-5D6E-409C-BE32-E72D297353CC}">
              <c16:uniqueId val="{00000000-96A4-431C-B369-CAABA1FE137C}"/>
            </c:ext>
          </c:extLst>
        </c:ser>
        <c:dLbls>
          <c:dLblPos val="ctr"/>
          <c:showLegendKey val="0"/>
          <c:showVal val="1"/>
          <c:showCatName val="0"/>
          <c:showSerName val="0"/>
          <c:showPercent val="0"/>
          <c:showBubbleSize val="0"/>
        </c:dLbls>
        <c:marker val="1"/>
        <c:smooth val="0"/>
        <c:axId val="858542447"/>
        <c:axId val="858556415"/>
      </c:lineChart>
      <c:catAx>
        <c:axId val="85854244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858556415"/>
        <c:crosses val="autoZero"/>
        <c:auto val="1"/>
        <c:lblAlgn val="ctr"/>
        <c:lblOffset val="100"/>
        <c:noMultiLvlLbl val="0"/>
      </c:catAx>
      <c:valAx>
        <c:axId val="858556415"/>
        <c:scaling>
          <c:orientation val="minMax"/>
        </c:scaling>
        <c:delete val="1"/>
        <c:axPos val="l"/>
        <c:numFmt formatCode="General" sourceLinked="1"/>
        <c:majorTickMark val="none"/>
        <c:minorTickMark val="none"/>
        <c:tickLblPos val="nextTo"/>
        <c:crossAx val="8585424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'AM+Eau'!$A$24</c:f>
              <c:strCache>
                <c:ptCount val="1"/>
                <c:pt idx="0">
                  <c:v>Kaolack</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'AM+Eau'!$B$24:$G$24</c:f>
              <c:numCache>
                <c:formatCode>General</c:formatCode>
                <c:ptCount val="6"/>
                <c:pt idx="0">
                  <c:v>57.8</c:v>
                </c:pt>
                <c:pt idx="1">
                  <c:v>65.44</c:v>
                </c:pt>
                <c:pt idx="2">
                  <c:v>66.3</c:v>
                </c:pt>
                <c:pt idx="3">
                  <c:v>64.819999999999993</c:v>
                </c:pt>
                <c:pt idx="4">
                  <c:v>65.12</c:v>
                </c:pt>
                <c:pt idx="5">
                  <c:v>35.57</c:v>
                </c:pt>
              </c:numCache>
            </c:numRef>
          </c:val>
          <c:smooth val="0"/>
          <c:extLst>
            <c:ext xmlns:c16="http://schemas.microsoft.com/office/drawing/2014/chart" uri="{C3380CC4-5D6E-409C-BE32-E72D297353CC}">
              <c16:uniqueId val="{00000000-B256-4302-9F83-AEAF669B1A88}"/>
            </c:ext>
          </c:extLst>
        </c:ser>
        <c:dLbls>
          <c:dLblPos val="ctr"/>
          <c:showLegendKey val="0"/>
          <c:showVal val="1"/>
          <c:showCatName val="0"/>
          <c:showSerName val="0"/>
          <c:showPercent val="0"/>
          <c:showBubbleSize val="0"/>
        </c:dLbls>
        <c:marker val="1"/>
        <c:smooth val="0"/>
        <c:axId val="901378591"/>
        <c:axId val="1158275375"/>
      </c:lineChart>
      <c:catAx>
        <c:axId val="90137859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158275375"/>
        <c:crosses val="autoZero"/>
        <c:auto val="1"/>
        <c:lblAlgn val="ctr"/>
        <c:lblOffset val="100"/>
        <c:noMultiLvlLbl val="0"/>
      </c:catAx>
      <c:valAx>
        <c:axId val="1158275375"/>
        <c:scaling>
          <c:orientation val="minMax"/>
        </c:scaling>
        <c:delete val="1"/>
        <c:axPos val="l"/>
        <c:numFmt formatCode="General" sourceLinked="1"/>
        <c:majorTickMark val="none"/>
        <c:minorTickMark val="none"/>
        <c:tickLblPos val="nextTo"/>
        <c:crossAx val="90137859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'AM+Eau'!$A$28</c:f>
              <c:strCache>
                <c:ptCount val="1"/>
                <c:pt idx="0">
                  <c:v>Kolda</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'AM+Eau'!$B$28:$G$28</c:f>
              <c:numCache>
                <c:formatCode>General</c:formatCode>
                <c:ptCount val="6"/>
                <c:pt idx="0">
                  <c:v>31.49</c:v>
                </c:pt>
                <c:pt idx="1">
                  <c:v>27.22</c:v>
                </c:pt>
                <c:pt idx="2">
                  <c:v>29.25</c:v>
                </c:pt>
                <c:pt idx="3">
                  <c:v>27.19</c:v>
                </c:pt>
                <c:pt idx="4">
                  <c:v>47.12</c:v>
                </c:pt>
                <c:pt idx="5">
                  <c:v>17.93</c:v>
                </c:pt>
              </c:numCache>
            </c:numRef>
          </c:val>
          <c:smooth val="0"/>
          <c:extLst>
            <c:ext xmlns:c16="http://schemas.microsoft.com/office/drawing/2014/chart" uri="{C3380CC4-5D6E-409C-BE32-E72D297353CC}">
              <c16:uniqueId val="{00000000-5C48-4FD3-B2B4-E66003D645D0}"/>
            </c:ext>
          </c:extLst>
        </c:ser>
        <c:dLbls>
          <c:dLblPos val="ctr"/>
          <c:showLegendKey val="0"/>
          <c:showVal val="1"/>
          <c:showCatName val="0"/>
          <c:showSerName val="0"/>
          <c:showPercent val="0"/>
          <c:showBubbleSize val="0"/>
        </c:dLbls>
        <c:marker val="1"/>
        <c:smooth val="0"/>
        <c:axId val="1181302207"/>
        <c:axId val="854855327"/>
      </c:lineChart>
      <c:catAx>
        <c:axId val="1181302207"/>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854855327"/>
        <c:crosses val="autoZero"/>
        <c:auto val="1"/>
        <c:lblAlgn val="ctr"/>
        <c:lblOffset val="100"/>
        <c:noMultiLvlLbl val="0"/>
      </c:catAx>
      <c:valAx>
        <c:axId val="854855327"/>
        <c:scaling>
          <c:orientation val="minMax"/>
        </c:scaling>
        <c:delete val="1"/>
        <c:axPos val="l"/>
        <c:numFmt formatCode="General" sourceLinked="1"/>
        <c:majorTickMark val="none"/>
        <c:minorTickMark val="none"/>
        <c:tickLblPos val="nextTo"/>
        <c:crossAx val="11813022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'AM+Eau'!$A$30</c:f>
              <c:strCache>
                <c:ptCount val="1"/>
                <c:pt idx="0">
                  <c:v>Kaffrine</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'AM+Eau'!$B$30:$G$30</c:f>
              <c:numCache>
                <c:formatCode>General</c:formatCode>
                <c:ptCount val="6"/>
                <c:pt idx="0">
                  <c:v>41.53</c:v>
                </c:pt>
                <c:pt idx="1">
                  <c:v>60.31</c:v>
                </c:pt>
                <c:pt idx="2">
                  <c:v>65.319999999999993</c:v>
                </c:pt>
                <c:pt idx="3">
                  <c:v>73.37</c:v>
                </c:pt>
                <c:pt idx="4">
                  <c:v>49.06</c:v>
                </c:pt>
                <c:pt idx="5">
                  <c:v>39.99</c:v>
                </c:pt>
              </c:numCache>
            </c:numRef>
          </c:val>
          <c:smooth val="0"/>
          <c:extLst>
            <c:ext xmlns:c16="http://schemas.microsoft.com/office/drawing/2014/chart" uri="{C3380CC4-5D6E-409C-BE32-E72D297353CC}">
              <c16:uniqueId val="{00000000-8425-44F1-BFC1-28264FA11BF8}"/>
            </c:ext>
          </c:extLst>
        </c:ser>
        <c:dLbls>
          <c:dLblPos val="ctr"/>
          <c:showLegendKey val="0"/>
          <c:showVal val="1"/>
          <c:showCatName val="0"/>
          <c:showSerName val="0"/>
          <c:showPercent val="0"/>
          <c:showBubbleSize val="0"/>
        </c:dLbls>
        <c:marker val="1"/>
        <c:smooth val="0"/>
        <c:axId val="871204751"/>
        <c:axId val="1164459023"/>
      </c:lineChart>
      <c:catAx>
        <c:axId val="871204751"/>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164459023"/>
        <c:crosses val="autoZero"/>
        <c:auto val="1"/>
        <c:lblAlgn val="ctr"/>
        <c:lblOffset val="100"/>
        <c:noMultiLvlLbl val="0"/>
      </c:catAx>
      <c:valAx>
        <c:axId val="1164459023"/>
        <c:scaling>
          <c:orientation val="minMax"/>
        </c:scaling>
        <c:delete val="1"/>
        <c:axPos val="l"/>
        <c:numFmt formatCode="General" sourceLinked="1"/>
        <c:majorTickMark val="none"/>
        <c:minorTickMark val="none"/>
        <c:tickLblPos val="nextTo"/>
        <c:crossAx val="8712047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'AM+Eau'!$A$26</c:f>
              <c:strCache>
                <c:ptCount val="1"/>
                <c:pt idx="0">
                  <c:v>Louga</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'AM+Eau'!$B$26:$G$26</c:f>
              <c:numCache>
                <c:formatCode>General</c:formatCode>
                <c:ptCount val="6"/>
                <c:pt idx="0">
                  <c:v>42.77</c:v>
                </c:pt>
                <c:pt idx="1">
                  <c:v>39.81</c:v>
                </c:pt>
                <c:pt idx="2">
                  <c:v>53.57</c:v>
                </c:pt>
                <c:pt idx="3">
                  <c:v>27.67</c:v>
                </c:pt>
                <c:pt idx="4">
                  <c:v>53.43</c:v>
                </c:pt>
                <c:pt idx="5">
                  <c:v>47.5</c:v>
                </c:pt>
              </c:numCache>
            </c:numRef>
          </c:val>
          <c:smooth val="0"/>
          <c:extLst>
            <c:ext xmlns:c16="http://schemas.microsoft.com/office/drawing/2014/chart" uri="{C3380CC4-5D6E-409C-BE32-E72D297353CC}">
              <c16:uniqueId val="{00000000-C547-4E8A-B6C0-226D457F9505}"/>
            </c:ext>
          </c:extLst>
        </c:ser>
        <c:dLbls>
          <c:dLblPos val="ctr"/>
          <c:showLegendKey val="0"/>
          <c:showVal val="1"/>
          <c:showCatName val="0"/>
          <c:showSerName val="0"/>
          <c:showPercent val="0"/>
          <c:showBubbleSize val="0"/>
        </c:dLbls>
        <c:marker val="1"/>
        <c:smooth val="0"/>
        <c:axId val="844067103"/>
        <c:axId val="893804655"/>
      </c:lineChart>
      <c:catAx>
        <c:axId val="84406710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893804655"/>
        <c:crosses val="autoZero"/>
        <c:auto val="1"/>
        <c:lblAlgn val="ctr"/>
        <c:lblOffset val="100"/>
        <c:noMultiLvlLbl val="0"/>
      </c:catAx>
      <c:valAx>
        <c:axId val="893804655"/>
        <c:scaling>
          <c:orientation val="minMax"/>
        </c:scaling>
        <c:delete val="1"/>
        <c:axPos val="l"/>
        <c:numFmt formatCode="General" sourceLinked="1"/>
        <c:majorTickMark val="none"/>
        <c:minorTickMark val="none"/>
        <c:tickLblPos val="nextTo"/>
        <c:crossAx val="8440671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'AM+Eau'!$A$29</c:f>
              <c:strCache>
                <c:ptCount val="1"/>
                <c:pt idx="0">
                  <c:v>Matam</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'AM+Eau'!$B$29:$G$29</c:f>
              <c:numCache>
                <c:formatCode>General</c:formatCode>
                <c:ptCount val="6"/>
                <c:pt idx="0">
                  <c:v>42.58</c:v>
                </c:pt>
                <c:pt idx="1">
                  <c:v>53.02</c:v>
                </c:pt>
                <c:pt idx="2">
                  <c:v>53.63</c:v>
                </c:pt>
                <c:pt idx="3">
                  <c:v>46.19</c:v>
                </c:pt>
                <c:pt idx="4">
                  <c:v>51.5</c:v>
                </c:pt>
                <c:pt idx="5">
                  <c:v>46.6</c:v>
                </c:pt>
              </c:numCache>
            </c:numRef>
          </c:val>
          <c:smooth val="0"/>
          <c:extLst>
            <c:ext xmlns:c16="http://schemas.microsoft.com/office/drawing/2014/chart" uri="{C3380CC4-5D6E-409C-BE32-E72D297353CC}">
              <c16:uniqueId val="{00000000-519D-4439-8FD7-3D648B77916E}"/>
            </c:ext>
          </c:extLst>
        </c:ser>
        <c:dLbls>
          <c:dLblPos val="ctr"/>
          <c:showLegendKey val="0"/>
          <c:showVal val="1"/>
          <c:showCatName val="0"/>
          <c:showSerName val="0"/>
          <c:showPercent val="0"/>
          <c:showBubbleSize val="0"/>
        </c:dLbls>
        <c:marker val="1"/>
        <c:smooth val="0"/>
        <c:axId val="1108871039"/>
        <c:axId val="1107990991"/>
      </c:lineChart>
      <c:catAx>
        <c:axId val="1108871039"/>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107990991"/>
        <c:crosses val="autoZero"/>
        <c:auto val="1"/>
        <c:lblAlgn val="ctr"/>
        <c:lblOffset val="100"/>
        <c:noMultiLvlLbl val="0"/>
      </c:catAx>
      <c:valAx>
        <c:axId val="1107990991"/>
        <c:scaling>
          <c:orientation val="minMax"/>
        </c:scaling>
        <c:delete val="1"/>
        <c:axPos val="l"/>
        <c:numFmt formatCode="General" sourceLinked="1"/>
        <c:majorTickMark val="none"/>
        <c:minorTickMark val="none"/>
        <c:tickLblPos val="nextTo"/>
        <c:crossAx val="11088710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800" b="1" i="0" u="none" strike="noStrike" kern="1200" cap="all" spc="0" baseline="0">
              <a:gradFill>
                <a:gsLst>
                  <a:gs pos="0">
                    <a:schemeClr val="dk1">
                      <a:lumMod val="50000"/>
                      <a:lumOff val="50000"/>
                    </a:schemeClr>
                  </a:gs>
                  <a:gs pos="100000">
                    <a:schemeClr val="dk1">
                      <a:lumMod val="85000"/>
                      <a:lumOff val="15000"/>
                    </a:schemeClr>
                  </a:gs>
                </a:gsLst>
                <a:lin ang="5400000" scaled="0"/>
              </a:gradFill>
              <a:latin typeface="+mn-lt"/>
              <a:ea typeface="+mn-ea"/>
              <a:cs typeface="+mn-cs"/>
            </a:defRPr>
          </a:pPr>
          <a:endParaRPr lang="en-US"/>
        </a:p>
      </c:txPr>
    </c:title>
    <c:autoTitleDeleted val="0"/>
    <c:plotArea>
      <c:layout/>
      <c:lineChart>
        <c:grouping val="standard"/>
        <c:varyColors val="0"/>
        <c:ser>
          <c:idx val="0"/>
          <c:order val="0"/>
          <c:tx>
            <c:strRef>
              <c:f>'AM+Eau'!$A$31</c:f>
              <c:strCache>
                <c:ptCount val="1"/>
                <c:pt idx="0">
                  <c:v>Kedougou</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'AM+Eau'!$B$18:$G$18</c:f>
              <c:strCache>
                <c:ptCount val="6"/>
                <c:pt idx="0">
                  <c:v>2010-11</c:v>
                </c:pt>
                <c:pt idx="1">
                  <c:v>2012-13</c:v>
                </c:pt>
                <c:pt idx="2">
                  <c:v>2014</c:v>
                </c:pt>
                <c:pt idx="3">
                  <c:v>2015</c:v>
                </c:pt>
                <c:pt idx="4">
                  <c:v>2016</c:v>
                </c:pt>
                <c:pt idx="5">
                  <c:v>2017</c:v>
                </c:pt>
              </c:strCache>
            </c:strRef>
          </c:cat>
          <c:val>
            <c:numRef>
              <c:f>'AM+Eau'!$B$31:$G$31</c:f>
              <c:numCache>
                <c:formatCode>General</c:formatCode>
                <c:ptCount val="6"/>
                <c:pt idx="0">
                  <c:v>14.55</c:v>
                </c:pt>
                <c:pt idx="1">
                  <c:v>46.81</c:v>
                </c:pt>
                <c:pt idx="2">
                  <c:v>23.31</c:v>
                </c:pt>
                <c:pt idx="3">
                  <c:v>41.9</c:v>
                </c:pt>
                <c:pt idx="4">
                  <c:v>31.04</c:v>
                </c:pt>
                <c:pt idx="5">
                  <c:v>18.559999999999999</c:v>
                </c:pt>
              </c:numCache>
            </c:numRef>
          </c:val>
          <c:smooth val="0"/>
          <c:extLst>
            <c:ext xmlns:c16="http://schemas.microsoft.com/office/drawing/2014/chart" uri="{C3380CC4-5D6E-409C-BE32-E72D297353CC}">
              <c16:uniqueId val="{00000000-4A93-411C-8353-4C37F1D223B7}"/>
            </c:ext>
          </c:extLst>
        </c:ser>
        <c:dLbls>
          <c:dLblPos val="ctr"/>
          <c:showLegendKey val="0"/>
          <c:showVal val="1"/>
          <c:showCatName val="0"/>
          <c:showSerName val="0"/>
          <c:showPercent val="0"/>
          <c:showBubbleSize val="0"/>
        </c:dLbls>
        <c:marker val="1"/>
        <c:smooth val="0"/>
        <c:axId val="857584863"/>
        <c:axId val="1219643631"/>
      </c:lineChart>
      <c:catAx>
        <c:axId val="857584863"/>
        <c:scaling>
          <c:orientation val="minMax"/>
        </c:scaling>
        <c:delete val="0"/>
        <c:axPos val="b"/>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lumMod val="65000"/>
                    <a:lumOff val="35000"/>
                  </a:schemeClr>
                </a:solidFill>
                <a:latin typeface="+mn-lt"/>
                <a:ea typeface="+mn-ea"/>
                <a:cs typeface="+mn-cs"/>
              </a:defRPr>
            </a:pPr>
            <a:endParaRPr lang="en-US"/>
          </a:p>
        </c:txPr>
        <c:crossAx val="1219643631"/>
        <c:crosses val="autoZero"/>
        <c:auto val="1"/>
        <c:lblAlgn val="ctr"/>
        <c:lblOffset val="100"/>
        <c:noMultiLvlLbl val="0"/>
      </c:catAx>
      <c:valAx>
        <c:axId val="1219643631"/>
        <c:scaling>
          <c:orientation val="minMax"/>
        </c:scaling>
        <c:delete val="1"/>
        <c:axPos val="l"/>
        <c:numFmt formatCode="General" sourceLinked="1"/>
        <c:majorTickMark val="none"/>
        <c:minorTickMark val="none"/>
        <c:tickLblPos val="nextTo"/>
        <c:crossAx val="85758486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34">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000" kern="120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cs:styleClr val="auto"/>
    </cs:fontRef>
    <cs:spPr/>
    <cs:defRPr sz="900" b="1" i="0" u="none" strike="noStrike" kern="1200" baseline="0"/>
  </cs:dataLabel>
  <cs:dataLabelCallout>
    <cs:lnRef idx="0"/>
    <cs:fillRef idx="0"/>
    <cs:effectRef idx="0"/>
    <cs:fontRef idx="minor">
      <a:schemeClr val="dk1">
        <a:lumMod val="65000"/>
        <a:lumOff val="35000"/>
      </a:schemeClr>
    </cs:fontRef>
    <cs:spPr>
      <a:solidFill>
        <a:schemeClr val="lt1"/>
      </a:solidFill>
      <a:ln w="9575">
        <a:solidFill>
          <a:schemeClr val="lt1">
            <a:lumMod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19050" cap="rnd" cmpd="sng" algn="ctr">
        <a:solidFill>
          <a:schemeClr val="phClr">
            <a:shade val="95000"/>
            <a:satMod val="105000"/>
          </a:schemeClr>
        </a:solidFill>
        <a:round/>
      </a:ln>
    </cs:spPr>
  </cs:dataPointLine>
  <cs:dataPointMarker>
    <cs:lnRef idx="0"/>
    <cs:fillRef idx="0"/>
    <cs:effectRef idx="0"/>
    <cs:fontRef idx="minor">
      <a:schemeClr val="dk1"/>
    </cs:fontRef>
    <cs:spPr>
      <a:solidFill>
        <a:schemeClr val="lt1"/>
      </a:solidFill>
    </cs:spPr>
  </cs:dataPointMarker>
  <cs:dataPointMarkerLayout symbol="circle" size="17"/>
  <cs:dataPointWireframe>
    <cs:lnRef idx="0">
      <cs:styleClr val="auto"/>
    </cs:lnRef>
    <cs:fillRef idx="1"/>
    <cs:effectRef idx="0"/>
    <cs:fontRef idx="minor">
      <a:schemeClr val="dk1"/>
    </cs:fontRef>
    <cs:spPr>
      <a:ln w="9525">
        <a:solidFill>
          <a:schemeClr val="phClr"/>
        </a:solidFill>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35000"/>
            <a:lumOff val="65000"/>
          </a:schemeClr>
        </a:solidFill>
      </a:ln>
    </cs:spPr>
  </cs:dropLine>
  <cs:errorBar>
    <cs:lnRef idx="0"/>
    <cs:fillRef idx="0"/>
    <cs:effectRef idx="0"/>
    <cs:fontRef idx="minor">
      <a:schemeClr val="dk1"/>
    </cs:fontRef>
    <cs:spPr>
      <a:ln w="9525">
        <a:solidFill>
          <a:schemeClr val="dk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ln>
    </cs:spPr>
  </cs:seriesLine>
  <cs:title>
    <cs:lnRef idx="0"/>
    <cs:fillRef idx="0"/>
    <cs:effectRef idx="0"/>
    <cs:fontRef idx="minor">
      <a:schemeClr val="dk1"/>
    </cs:fontRef>
    <cs:defRPr sz="1440" b="0" kern="1200" cap="all" spc="0" baseline="0">
      <a:gradFill>
        <a:gsLst>
          <a:gs pos="0">
            <a:schemeClr val="dk1">
              <a:lumMod val="50000"/>
              <a:lumOff val="50000"/>
            </a:schemeClr>
          </a:gs>
          <a:gs pos="100000">
            <a:schemeClr val="dk1">
              <a:lumMod val="85000"/>
              <a:lumOff val="15000"/>
            </a:schemeClr>
          </a:gs>
        </a:gsLst>
        <a:lin ang="5400000" scaled="0"/>
      </a:gradFill>
    </cs:defRPr>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50000"/>
            <a:lumOff val="50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463</Words>
  <Characters>2641</Characters>
  <Application>Microsoft Office Word</Application>
  <DocSecurity>0</DocSecurity>
  <Lines>22</Lines>
  <Paragraphs>6</Paragraphs>
  <ScaleCrop>false</ScaleCrop>
  <Company>Springer Nature</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2023-05-26T06:02:00Z</dcterms:created>
  <dcterms:modified xsi:type="dcterms:W3CDTF">2023-05-26T06:02:00Z</dcterms:modified>
</cp:coreProperties>
</file>