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279023" w14:textId="150D452C" w:rsidR="00A42D83" w:rsidRDefault="00A42D83">
      <w:r w:rsidRPr="00A717D2">
        <w:rPr>
          <w:rFonts w:ascii="Times New Roman" w:eastAsia="Times New Roman" w:hAnsi="Times New Roman" w:cs="Times New Roman"/>
          <w:noProof/>
          <w:sz w:val="24"/>
          <w:szCs w:val="24"/>
          <w:lang w:eastAsia="en-IE"/>
        </w:rPr>
        <w:drawing>
          <wp:inline distT="0" distB="0" distL="0" distR="0" wp14:anchorId="108FA8AD" wp14:editId="7246AEB1">
            <wp:extent cx="5274310" cy="1416685"/>
            <wp:effectExtent l="0" t="0" r="2540" b="0"/>
            <wp:docPr id="15" name="Picture 15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1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236CCC" w14:textId="3CC4E1DF" w:rsidR="00A42D83" w:rsidRDefault="00A42D83">
      <w:r w:rsidRPr="00A717D2">
        <w:rPr>
          <w:rFonts w:ascii="Times New Roman" w:eastAsia="Times New Roman" w:hAnsi="Times New Roman" w:cs="Times New Roman"/>
          <w:noProof/>
          <w:sz w:val="24"/>
          <w:szCs w:val="24"/>
          <w:lang w:eastAsia="en-IE"/>
        </w:rPr>
        <w:drawing>
          <wp:inline distT="0" distB="0" distL="0" distR="0" wp14:anchorId="7F1DAB9F" wp14:editId="304DEF98">
            <wp:extent cx="5274310" cy="1490980"/>
            <wp:effectExtent l="0" t="0" r="2540" b="0"/>
            <wp:docPr id="16" name="Picture 16" descr="Chart, waterfall 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Chart, waterfall 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9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19FAA8" w14:textId="47B1E648" w:rsidR="00A42D83" w:rsidRDefault="00A42D83"/>
    <w:p w14:paraId="4C9EACCE" w14:textId="2137AEBC" w:rsidR="00A42D83" w:rsidRPr="00A42D83" w:rsidRDefault="00A42D83" w:rsidP="00A42D8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en-IE"/>
          <w14:ligatures w14:val="none"/>
        </w:rPr>
      </w:pPr>
      <w:r w:rsidRPr="00A42D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IE"/>
          <w14:ligatures w14:val="none"/>
        </w:rPr>
        <w:t xml:space="preserve">Figure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IE"/>
          <w14:ligatures w14:val="none"/>
        </w:rPr>
        <w:t>S</w:t>
      </w:r>
      <w:r w:rsidRPr="00A42D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IE"/>
          <w14:ligatures w14:val="none"/>
        </w:rPr>
        <w:t>1</w:t>
      </w:r>
      <w:r w:rsidRPr="00A42D83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n-IE"/>
          <w14:ligatures w14:val="none"/>
        </w:rPr>
        <w:t xml:space="preserve"> Alpha diversity analysis of Chao1, Shannon and Simpson across the three soil compartments of the varieties Kerr’s Pink and Rooster. Same letters indicate non</w:t>
      </w:r>
      <w:r w:rsidR="002072EC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n-IE"/>
          <w14:ligatures w14:val="none"/>
        </w:rPr>
        <w:t>-</w:t>
      </w:r>
      <w:r w:rsidRPr="00A42D83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n-IE"/>
          <w14:ligatures w14:val="none"/>
        </w:rPr>
        <w:t>significant differences between the compartments (P</w:t>
      </w:r>
      <w:r w:rsidR="002072EC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n-IE"/>
          <w14:ligatures w14:val="none"/>
        </w:rPr>
        <w:t>&gt;</w:t>
      </w:r>
      <w:r w:rsidRPr="00A42D83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n-IE"/>
          <w14:ligatures w14:val="none"/>
        </w:rPr>
        <w:t>0.05)</w:t>
      </w:r>
      <w:r w:rsidR="002072EC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n-IE"/>
          <w14:ligatures w14:val="none"/>
        </w:rPr>
        <w:t>.</w:t>
      </w:r>
    </w:p>
    <w:p w14:paraId="0EDC3D8A" w14:textId="77777777" w:rsidR="00A42D83" w:rsidRPr="00A42D83" w:rsidRDefault="00A42D83">
      <w:pPr>
        <w:rPr>
          <w:lang w:val="en-US"/>
        </w:rPr>
      </w:pPr>
    </w:p>
    <w:p w14:paraId="4B6BD027" w14:textId="77777777" w:rsidR="00A42D83" w:rsidRDefault="00A42D83"/>
    <w:sectPr w:rsidR="00A42D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D83"/>
    <w:rsid w:val="002072EC"/>
    <w:rsid w:val="0021096F"/>
    <w:rsid w:val="00A42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9AE64"/>
  <w15:chartTrackingRefBased/>
  <w15:docId w15:val="{4DFE4AEC-0B36-473E-90E0-6B8C3BE2E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Georgia Voulgari</dc:creator>
  <cp:keywords/>
  <dc:description/>
  <cp:lastModifiedBy>Achim.Schmalenberger</cp:lastModifiedBy>
  <cp:revision>3</cp:revision>
  <dcterms:created xsi:type="dcterms:W3CDTF">2023-04-25T08:33:00Z</dcterms:created>
  <dcterms:modified xsi:type="dcterms:W3CDTF">2023-04-25T09:51:00Z</dcterms:modified>
</cp:coreProperties>
</file>