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7A401" w14:textId="77777777" w:rsidR="00B22568" w:rsidRPr="00A47775" w:rsidRDefault="00B22568" w:rsidP="00ED3FD4">
      <w:pPr>
        <w:spacing w:line="480" w:lineRule="auto"/>
        <w:rPr>
          <w:rFonts w:ascii="Arial" w:hAnsi="Arial" w:cs="Arial"/>
          <w:b/>
          <w:color w:val="000000" w:themeColor="text1"/>
          <w:sz w:val="20"/>
          <w:szCs w:val="20"/>
          <w:lang w:val="en-GB"/>
        </w:rPr>
      </w:pPr>
      <w:r w:rsidRPr="00A47775">
        <w:rPr>
          <w:rFonts w:ascii="Arial" w:hAnsi="Arial" w:cs="Arial"/>
          <w:b/>
          <w:color w:val="000000" w:themeColor="text1"/>
          <w:sz w:val="20"/>
          <w:szCs w:val="20"/>
          <w:lang w:val="en-GB"/>
        </w:rPr>
        <w:t>Additional file 3 – primary and secondary endpoints</w:t>
      </w:r>
    </w:p>
    <w:p w14:paraId="522B9E64" w14:textId="77777777" w:rsidR="00B22568" w:rsidRPr="00A47775" w:rsidRDefault="00B22568" w:rsidP="00ED3FD4">
      <w:pPr>
        <w:spacing w:line="480" w:lineRule="auto"/>
        <w:rPr>
          <w:rFonts w:ascii="Arial" w:hAnsi="Arial" w:cs="Arial"/>
          <w:b/>
          <w:color w:val="000000" w:themeColor="text1"/>
          <w:sz w:val="20"/>
          <w:szCs w:val="20"/>
          <w:lang w:val="en-GB"/>
        </w:rPr>
      </w:pPr>
      <w:r w:rsidRPr="00A47775">
        <w:rPr>
          <w:rFonts w:ascii="Arial" w:hAnsi="Arial" w:cs="Arial"/>
          <w:b/>
          <w:color w:val="000000" w:themeColor="text1"/>
          <w:sz w:val="20"/>
          <w:szCs w:val="20"/>
          <w:lang w:val="en-GB"/>
        </w:rPr>
        <w:t>Primary endpoints</w:t>
      </w:r>
    </w:p>
    <w:p w14:paraId="6E684EF9" w14:textId="4DF37D1F" w:rsidR="00B22568" w:rsidRPr="00A47775" w:rsidRDefault="00B22568" w:rsidP="00ED3FD4">
      <w:pPr>
        <w:pStyle w:val="Body"/>
        <w:widowControl w:val="0"/>
        <w:spacing w:line="480" w:lineRule="auto"/>
        <w:rPr>
          <w:rFonts w:cs="Arial"/>
          <w:color w:val="000000" w:themeColor="text1"/>
        </w:rPr>
      </w:pPr>
      <w:r w:rsidRPr="00A47775">
        <w:rPr>
          <w:rFonts w:cs="Arial"/>
          <w:color w:val="000000" w:themeColor="text1"/>
        </w:rPr>
        <w:t xml:space="preserve">1a. </w:t>
      </w:r>
      <w:r w:rsidRPr="00A47775">
        <w:rPr>
          <w:rFonts w:cs="Arial"/>
          <w:color w:val="000000" w:themeColor="text1"/>
          <w:u w:val="single"/>
        </w:rPr>
        <w:t>Time to oral intake of soft solids</w:t>
      </w:r>
      <w:r w:rsidRPr="00A47775">
        <w:rPr>
          <w:rFonts w:cs="Arial"/>
          <w:color w:val="000000" w:themeColor="text1"/>
        </w:rPr>
        <w:t xml:space="preserve"> is defined as the number of days until a patient is able to tolerate soft solids without vomiting. Day of intervention is considered day 0. The ability to tolerate oral intake is assessed with the Gastric Outlet Obstruction Scoring System (GOOSS), which is depicted in table 1</w:t>
      </w:r>
      <w:r w:rsidR="008F41EC" w:rsidRPr="00A47775">
        <w:rPr>
          <w:rFonts w:cs="Arial"/>
          <w:color w:val="000000" w:themeColor="text1"/>
        </w:rPr>
        <w:t xml:space="preserve"> </w:t>
      </w:r>
      <w:sdt>
        <w:sdtPr>
          <w:rPr>
            <w:rFonts w:cs="Arial"/>
            <w:color w:val="000000" w:themeColor="text1"/>
          </w:rPr>
          <w:tag w:val="MENDELEY_CITATION_v3_eyJjaXRhdGlvbklEIjoiTUVOREVMRVlfQ0lUQVRJT05fZjEzNjc1NjEtOTA5NC00N2U0LWJjMDYtYjViZmNiMDA0NTYwIiwicHJvcGVydGllcyI6eyJub3RlSW5kZXgiOjB9LCJpc0VkaXRlZCI6ZmFsc2UsIm1hbnVhbE92ZXJyaWRlIjp7ImNpdGVwcm9jVGV4dCI6IlsxXSIsImlzTWFudWFsbHlPdmVycmlkZGVuIjpmYWxzZSwibWFudWFsT3ZlcnJpZGVUZXh0IjoiIn0sImNpdGF0aW9uSXRlbXMiOlt7ImlkIjoiOWE4ZDQzYzctOWMyNC0zODcwLWI2ZmItMmFmMjExYWJkNDdlIiwiaXRlbURhdGEiOnsiRE9JIjoiMTAuMTAxNi9TMDAwMi05MjcwKDAxKTAzOTg1LTUiLCJJU1NOIjoiMDAwMjkyNzAiLCJhdXRob3IiOlt7ImRyb3BwaW5nLXBhcnRpY2xlIjoiIiwiZmFtaWx5IjoiQWRsZXIiLCJnaXZlbiI6IkQiLCJub24tZHJvcHBpbmctcGFydGljbGUiOiIiLCJwYXJzZS1uYW1lcyI6ZmFsc2UsInN1ZmZpeCI6IiJ9XSwiY29udGFpbmVyLXRpdGxlIjoiVGhlIEFtZXJpY2FuIEpvdXJuYWwgb2YgR2FzdHJvZW50ZXJvbG9neSIsImlkIjoiOWE4ZDQzYzctOWMyNC0zODcwLWI2ZmItMmFmMjExYWJkNDdlIiwiaXNzdWUiOiIxIiwiaXNzdWVkIjp7ImRhdGUtcGFydHMiOltbIjIwMDIiLCIxIl1dfSwicGFnZSI6IjcyLTc4IiwidGl0bGUiOiJFbmRvc2NvcGljIHBhbGxpYXRpb24gb2YgbWFsaWduYW50IGdhc3RyaWMgb3V0bGV0IG9ic3RydWN0aW9uIHVzaW5nIHNlbGYtZXhwYW5kaW5nIG1ldGFsIHN0ZW50czogZXhwZXJpZW5jZSBpbiAzNiBwYXRpZW50cyIsInR5cGUiOiJhcnRpY2xlLWpvdXJuYWwiLCJ2b2x1bWUiOiI5NyIsImNvbnRhaW5lci10aXRsZS1zaG9ydCI6IkFtIEogR2FzdHJvZW50ZXJvbCJ9LCJ1cmlzIjpbImh0dHA6Ly93d3cubWVuZGVsZXkuY29tL2RvY3VtZW50cy8/dXVpZD0zY2E2YmY0NS1hYTEwLTQxNTMtOTk5YS1jMDVhNmJhZDkxMDQiXSwiaXNUZW1wb3JhcnkiOmZhbHNlLCJsZWdhY3lEZXNrdG9wSWQiOiIzY2E2YmY0NS1hYTEwLTQxNTMtOTk5YS1jMDVhNmJhZDkxMDQifV19"/>
          <w:id w:val="871971420"/>
          <w:placeholder>
            <w:docPart w:val="DefaultPlaceholder_-1854013440"/>
          </w:placeholder>
        </w:sdtPr>
        <w:sdtEndPr/>
        <w:sdtContent>
          <w:r w:rsidR="00715402" w:rsidRPr="00A47775">
            <w:rPr>
              <w:rFonts w:cs="Arial"/>
              <w:color w:val="000000" w:themeColor="text1"/>
            </w:rPr>
            <w:t>[1]</w:t>
          </w:r>
        </w:sdtContent>
      </w:sdt>
      <w:r w:rsidR="008F41EC" w:rsidRPr="00A47775">
        <w:rPr>
          <w:rFonts w:cs="Arial"/>
          <w:color w:val="000000" w:themeColor="text1"/>
        </w:rPr>
        <w:t>.</w:t>
      </w:r>
      <w:r w:rsidRPr="00A47775">
        <w:rPr>
          <w:rFonts w:cs="Arial"/>
          <w:color w:val="000000" w:themeColor="text1"/>
        </w:rPr>
        <w:t xml:space="preserve"> </w:t>
      </w:r>
    </w:p>
    <w:p w14:paraId="32AA8ED5" w14:textId="77777777" w:rsidR="00B22568" w:rsidRPr="00A47775" w:rsidRDefault="00B22568" w:rsidP="00ED3FD4">
      <w:pPr>
        <w:pStyle w:val="Body"/>
        <w:widowControl w:val="0"/>
        <w:spacing w:line="480" w:lineRule="auto"/>
        <w:ind w:right="4677"/>
        <w:rPr>
          <w:rFonts w:cs="Arial"/>
          <w:color w:val="000000" w:themeColor="text1"/>
        </w:rPr>
      </w:pPr>
    </w:p>
    <w:p w14:paraId="54365C44" w14:textId="7A486A87" w:rsidR="00B22568" w:rsidRPr="00A47775" w:rsidRDefault="00B22568" w:rsidP="00ED3FD4">
      <w:pPr>
        <w:pStyle w:val="Body"/>
        <w:widowControl w:val="0"/>
        <w:spacing w:line="480" w:lineRule="auto"/>
        <w:ind w:right="3827"/>
        <w:rPr>
          <w:rFonts w:cs="Arial"/>
          <w:color w:val="000000" w:themeColor="text1"/>
        </w:rPr>
      </w:pPr>
      <w:r w:rsidRPr="00F11C06">
        <w:rPr>
          <w:rFonts w:cs="Arial"/>
          <w:b/>
          <w:bCs/>
          <w:color w:val="000000" w:themeColor="text1"/>
        </w:rPr>
        <w:t>Table 1</w:t>
      </w:r>
      <w:r w:rsidRPr="00A47775">
        <w:rPr>
          <w:rFonts w:cs="Arial"/>
          <w:color w:val="000000" w:themeColor="text1"/>
        </w:rPr>
        <w:t xml:space="preserve"> Gastric Outlet Obstruction Scoring System (GOOSS)</w:t>
      </w:r>
      <w:r w:rsidR="008F41EC" w:rsidRPr="00A47775">
        <w:rPr>
          <w:rFonts w:cs="Arial"/>
          <w:color w:val="000000" w:themeColor="text1"/>
        </w:rPr>
        <w:t xml:space="preserve"> </w:t>
      </w:r>
      <w:sdt>
        <w:sdtPr>
          <w:rPr>
            <w:rFonts w:cs="Arial"/>
            <w:color w:val="000000" w:themeColor="text1"/>
          </w:rPr>
          <w:tag w:val="MENDELEY_CITATION_v3_eyJjaXRhdGlvbklEIjoiTUVOREVMRVlfQ0lUQVRJT05fMzA4YTNjMDctZmMxOS00ZWE3LThmMzQtZWMzOWIyNjU4ZGYxIiwicHJvcGVydGllcyI6eyJub3RlSW5kZXgiOjB9LCJpc0VkaXRlZCI6ZmFsc2UsIm1hbnVhbE92ZXJyaWRlIjp7ImNpdGVwcm9jVGV4dCI6IlsxXSIsImlzTWFudWFsbHlPdmVycmlkZGVuIjpmYWxzZSwibWFudWFsT3ZlcnJpZGVUZXh0IjoiIn0sImNpdGF0aW9uSXRlbXMiOlt7ImlkIjoiOWE4ZDQzYzctOWMyNC0zODcwLWI2ZmItMmFmMjExYWJkNDdlIiwiaXRlbURhdGEiOnsiRE9JIjoiMTAuMTAxNi9TMDAwMi05MjcwKDAxKTAzOTg1LTUiLCJJU1NOIjoiMDAwMjkyNzAiLCJhdXRob3IiOlt7ImRyb3BwaW5nLXBhcnRpY2xlIjoiIiwiZmFtaWx5IjoiQWRsZXIiLCJnaXZlbiI6IkQiLCJub24tZHJvcHBpbmctcGFydGljbGUiOiIiLCJwYXJzZS1uYW1lcyI6ZmFsc2UsInN1ZmZpeCI6IiJ9XSwiY29udGFpbmVyLXRpdGxlIjoiVGhlIEFtZXJpY2FuIEpvdXJuYWwgb2YgR2FzdHJvZW50ZXJvbG9neSIsImlkIjoiOWE4ZDQzYzctOWMyNC0zODcwLWI2ZmItMmFmMjExYWJkNDdlIiwiaXNzdWUiOiIxIiwiaXNzdWVkIjp7ImRhdGUtcGFydHMiOltbIjIwMDIiLCIxIl1dfSwicGFnZSI6IjcyLTc4IiwidGl0bGUiOiJFbmRvc2NvcGljIHBhbGxpYXRpb24gb2YgbWFsaWduYW50IGdhc3RyaWMgb3V0bGV0IG9ic3RydWN0aW9uIHVzaW5nIHNlbGYtZXhwYW5kaW5nIG1ldGFsIHN0ZW50czogZXhwZXJpZW5jZSBpbiAzNiBwYXRpZW50cyIsInR5cGUiOiJhcnRpY2xlLWpvdXJuYWwiLCJ2b2x1bWUiOiI5NyIsImNvbnRhaW5lci10aXRsZS1zaG9ydCI6IkFtIEogR2FzdHJvZW50ZXJvbCJ9LCJ1cmlzIjpbImh0dHA6Ly93d3cubWVuZGVsZXkuY29tL2RvY3VtZW50cy8/dXVpZD0zY2E2YmY0NS1hYTEwLTQxNTMtOTk5YS1jMDVhNmJhZDkxMDQiXSwiaXNUZW1wb3JhcnkiOmZhbHNlLCJsZWdhY3lEZXNrdG9wSWQiOiIzY2E2YmY0NS1hYTEwLTQxNTMtOTk5YS1jMDVhNmJhZDkxMDQifV19"/>
          <w:id w:val="781387356"/>
          <w:placeholder>
            <w:docPart w:val="DefaultPlaceholder_-1854013440"/>
          </w:placeholder>
        </w:sdtPr>
        <w:sdtEndPr/>
        <w:sdtContent>
          <w:r w:rsidR="00715402" w:rsidRPr="00A47775">
            <w:rPr>
              <w:rFonts w:cs="Arial"/>
              <w:color w:val="000000" w:themeColor="text1"/>
            </w:rPr>
            <w:t>[1]</w:t>
          </w:r>
        </w:sdtContent>
      </w:sdt>
    </w:p>
    <w:tbl>
      <w:tblPr>
        <w:tblStyle w:val="Onopgemaaktetabel4"/>
        <w:tblW w:w="0" w:type="auto"/>
        <w:tblLook w:val="04A0" w:firstRow="1" w:lastRow="0" w:firstColumn="1" w:lastColumn="0" w:noHBand="0" w:noVBand="1"/>
      </w:tblPr>
      <w:tblGrid>
        <w:gridCol w:w="1129"/>
        <w:gridCol w:w="3544"/>
      </w:tblGrid>
      <w:tr w:rsidR="000F5DB2" w:rsidRPr="00A47775" w14:paraId="6FD52688" w14:textId="77777777" w:rsidTr="004175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bottom w:val="single" w:sz="4" w:space="0" w:color="auto"/>
            </w:tcBorders>
          </w:tcPr>
          <w:p w14:paraId="447E8335" w14:textId="77777777" w:rsidR="00B22568" w:rsidRPr="00A47775" w:rsidRDefault="00B22568" w:rsidP="00ED3FD4">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cs="Arial"/>
                <w:color w:val="000000" w:themeColor="text1"/>
              </w:rPr>
            </w:pPr>
            <w:r w:rsidRPr="00A47775">
              <w:rPr>
                <w:rFonts w:cs="Arial"/>
                <w:color w:val="000000" w:themeColor="text1"/>
              </w:rPr>
              <w:t>Score</w:t>
            </w:r>
          </w:p>
        </w:tc>
        <w:tc>
          <w:tcPr>
            <w:tcW w:w="3544" w:type="dxa"/>
            <w:tcBorders>
              <w:top w:val="single" w:sz="4" w:space="0" w:color="auto"/>
              <w:bottom w:val="single" w:sz="4" w:space="0" w:color="auto"/>
            </w:tcBorders>
          </w:tcPr>
          <w:p w14:paraId="447C4E50" w14:textId="77777777" w:rsidR="00B22568" w:rsidRPr="00A47775" w:rsidRDefault="00B22568" w:rsidP="00ED3FD4">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A47775">
              <w:rPr>
                <w:rFonts w:ascii="Arial" w:hAnsi="Arial" w:cs="Arial"/>
                <w:color w:val="000000" w:themeColor="text1"/>
                <w:sz w:val="20"/>
                <w:szCs w:val="20"/>
              </w:rPr>
              <w:t>Ability</w:t>
            </w:r>
            <w:proofErr w:type="spellEnd"/>
            <w:r w:rsidRPr="00A47775">
              <w:rPr>
                <w:rFonts w:ascii="Arial" w:hAnsi="Arial" w:cs="Arial"/>
                <w:color w:val="000000" w:themeColor="text1"/>
                <w:sz w:val="20"/>
                <w:szCs w:val="20"/>
              </w:rPr>
              <w:t xml:space="preserve"> of </w:t>
            </w:r>
            <w:proofErr w:type="spellStart"/>
            <w:r w:rsidRPr="00A47775">
              <w:rPr>
                <w:rFonts w:ascii="Arial" w:hAnsi="Arial" w:cs="Arial"/>
                <w:color w:val="000000" w:themeColor="text1"/>
                <w:sz w:val="20"/>
                <w:szCs w:val="20"/>
              </w:rPr>
              <w:t>oral</w:t>
            </w:r>
            <w:proofErr w:type="spellEnd"/>
            <w:r w:rsidRPr="00A47775">
              <w:rPr>
                <w:rFonts w:ascii="Arial" w:hAnsi="Arial" w:cs="Arial"/>
                <w:color w:val="000000" w:themeColor="text1"/>
                <w:sz w:val="20"/>
                <w:szCs w:val="20"/>
              </w:rPr>
              <w:t xml:space="preserve"> intake</w:t>
            </w:r>
          </w:p>
        </w:tc>
      </w:tr>
      <w:tr w:rsidR="000F5DB2" w:rsidRPr="00A47775" w14:paraId="4E7CD2BF" w14:textId="77777777" w:rsidTr="00417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tcBorders>
            <w:shd w:val="clear" w:color="auto" w:fill="auto"/>
          </w:tcPr>
          <w:p w14:paraId="5F341695" w14:textId="77777777" w:rsidR="00B22568" w:rsidRPr="00A47775" w:rsidRDefault="00B22568" w:rsidP="00ED3FD4">
            <w:pPr>
              <w:spacing w:line="480" w:lineRule="auto"/>
              <w:jc w:val="center"/>
              <w:rPr>
                <w:rFonts w:ascii="Arial" w:hAnsi="Arial" w:cs="Arial"/>
                <w:color w:val="000000" w:themeColor="text1"/>
                <w:sz w:val="20"/>
                <w:szCs w:val="20"/>
              </w:rPr>
            </w:pPr>
            <w:r w:rsidRPr="00A47775">
              <w:rPr>
                <w:rFonts w:ascii="Arial" w:hAnsi="Arial" w:cs="Arial"/>
                <w:color w:val="000000" w:themeColor="text1"/>
                <w:sz w:val="20"/>
                <w:szCs w:val="20"/>
              </w:rPr>
              <w:t>0</w:t>
            </w:r>
          </w:p>
        </w:tc>
        <w:tc>
          <w:tcPr>
            <w:tcW w:w="3544" w:type="dxa"/>
            <w:tcBorders>
              <w:top w:val="single" w:sz="4" w:space="0" w:color="auto"/>
            </w:tcBorders>
            <w:shd w:val="clear" w:color="auto" w:fill="auto"/>
          </w:tcPr>
          <w:p w14:paraId="6C53309C" w14:textId="77777777" w:rsidR="00B22568" w:rsidRPr="00A47775" w:rsidRDefault="00B22568" w:rsidP="00ED3FD4">
            <w:pPr>
              <w:spacing w:line="480" w:lineRule="auto"/>
              <w:cnfStyle w:val="000000100000" w:firstRow="0" w:lastRow="0" w:firstColumn="0" w:lastColumn="0" w:oddVBand="0" w:evenVBand="0" w:oddHBand="1" w:evenHBand="0" w:firstRowFirstColumn="0" w:firstRowLastColumn="0" w:lastRowFirstColumn="0" w:lastRowLastColumn="0"/>
              <w:rPr>
                <w:rFonts w:ascii="Arial" w:eastAsia="Arial Unicode MS" w:hAnsi="Arial" w:cs="Arial"/>
                <w:color w:val="000000" w:themeColor="text1"/>
                <w:sz w:val="20"/>
                <w:szCs w:val="20"/>
                <w:bdr w:val="nil"/>
                <w:lang w:val="en-GB"/>
              </w:rPr>
            </w:pPr>
            <w:r w:rsidRPr="00A47775">
              <w:rPr>
                <w:rFonts w:ascii="Arial" w:eastAsia="Arial Unicode MS" w:hAnsi="Arial" w:cs="Arial"/>
                <w:color w:val="000000" w:themeColor="text1"/>
                <w:sz w:val="20"/>
                <w:szCs w:val="20"/>
                <w:bdr w:val="nil"/>
                <w:lang w:val="en-GB"/>
              </w:rPr>
              <w:t>No oral intake possible</w:t>
            </w:r>
          </w:p>
        </w:tc>
      </w:tr>
      <w:tr w:rsidR="000F5DB2" w:rsidRPr="00A47775" w14:paraId="5CE0250B" w14:textId="77777777" w:rsidTr="004175AA">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25ADCFD1" w14:textId="77777777" w:rsidR="00B22568" w:rsidRPr="00A47775" w:rsidRDefault="00B22568" w:rsidP="00ED3FD4">
            <w:pPr>
              <w:spacing w:line="480" w:lineRule="auto"/>
              <w:jc w:val="center"/>
              <w:rPr>
                <w:rFonts w:ascii="Arial" w:hAnsi="Arial" w:cs="Arial"/>
                <w:color w:val="000000" w:themeColor="text1"/>
                <w:sz w:val="20"/>
                <w:szCs w:val="20"/>
              </w:rPr>
            </w:pPr>
            <w:r w:rsidRPr="00A47775">
              <w:rPr>
                <w:rFonts w:ascii="Arial" w:hAnsi="Arial" w:cs="Arial"/>
                <w:color w:val="000000" w:themeColor="text1"/>
                <w:sz w:val="20"/>
                <w:szCs w:val="20"/>
              </w:rPr>
              <w:t>1</w:t>
            </w:r>
          </w:p>
        </w:tc>
        <w:tc>
          <w:tcPr>
            <w:tcW w:w="3544" w:type="dxa"/>
            <w:shd w:val="clear" w:color="auto" w:fill="auto"/>
          </w:tcPr>
          <w:p w14:paraId="180A4405" w14:textId="77777777" w:rsidR="00B22568" w:rsidRPr="00A47775" w:rsidRDefault="00B22568" w:rsidP="00ED3FD4">
            <w:pPr>
              <w:spacing w:line="480" w:lineRule="auto"/>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000000" w:themeColor="text1"/>
                <w:sz w:val="20"/>
                <w:szCs w:val="20"/>
                <w:bdr w:val="nil"/>
                <w:lang w:val="en-GB"/>
              </w:rPr>
            </w:pPr>
            <w:r w:rsidRPr="00A47775">
              <w:rPr>
                <w:rFonts w:ascii="Arial" w:eastAsia="Arial Unicode MS" w:hAnsi="Arial" w:cs="Arial"/>
                <w:color w:val="000000" w:themeColor="text1"/>
                <w:sz w:val="20"/>
                <w:szCs w:val="20"/>
                <w:bdr w:val="nil"/>
                <w:lang w:val="en-GB"/>
              </w:rPr>
              <w:t>Only liquid intake possible</w:t>
            </w:r>
          </w:p>
        </w:tc>
      </w:tr>
      <w:tr w:rsidR="000F5DB2" w:rsidRPr="00ED3FD4" w14:paraId="492031FB" w14:textId="77777777" w:rsidTr="00417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1DF9FDCD" w14:textId="77777777" w:rsidR="00B22568" w:rsidRPr="00A47775" w:rsidRDefault="00B22568" w:rsidP="00ED3FD4">
            <w:pPr>
              <w:spacing w:line="480" w:lineRule="auto"/>
              <w:jc w:val="center"/>
              <w:rPr>
                <w:rFonts w:ascii="Arial" w:hAnsi="Arial" w:cs="Arial"/>
                <w:color w:val="000000" w:themeColor="text1"/>
                <w:sz w:val="20"/>
                <w:szCs w:val="20"/>
              </w:rPr>
            </w:pPr>
            <w:r w:rsidRPr="00A47775">
              <w:rPr>
                <w:rFonts w:ascii="Arial" w:hAnsi="Arial" w:cs="Arial"/>
                <w:color w:val="000000" w:themeColor="text1"/>
                <w:sz w:val="20"/>
                <w:szCs w:val="20"/>
              </w:rPr>
              <w:t>2</w:t>
            </w:r>
          </w:p>
        </w:tc>
        <w:tc>
          <w:tcPr>
            <w:tcW w:w="3544" w:type="dxa"/>
            <w:shd w:val="clear" w:color="auto" w:fill="auto"/>
          </w:tcPr>
          <w:p w14:paraId="1A8A5D0B" w14:textId="77777777" w:rsidR="00B22568" w:rsidRPr="00A47775" w:rsidRDefault="00B22568" w:rsidP="00ED3FD4">
            <w:pPr>
              <w:spacing w:line="480" w:lineRule="auto"/>
              <w:cnfStyle w:val="000000100000" w:firstRow="0" w:lastRow="0" w:firstColumn="0" w:lastColumn="0" w:oddVBand="0" w:evenVBand="0" w:oddHBand="1" w:evenHBand="0" w:firstRowFirstColumn="0" w:firstRowLastColumn="0" w:lastRowFirstColumn="0" w:lastRowLastColumn="0"/>
              <w:rPr>
                <w:rFonts w:ascii="Arial" w:eastAsia="Arial Unicode MS" w:hAnsi="Arial" w:cs="Arial"/>
                <w:color w:val="000000" w:themeColor="text1"/>
                <w:sz w:val="20"/>
                <w:szCs w:val="20"/>
                <w:bdr w:val="nil"/>
                <w:lang w:val="en-GB"/>
              </w:rPr>
            </w:pPr>
            <w:r w:rsidRPr="00A47775">
              <w:rPr>
                <w:rFonts w:ascii="Arial" w:eastAsia="Arial Unicode MS" w:hAnsi="Arial" w:cs="Arial"/>
                <w:color w:val="000000" w:themeColor="text1"/>
                <w:sz w:val="20"/>
                <w:szCs w:val="20"/>
                <w:bdr w:val="nil"/>
                <w:lang w:val="en-GB"/>
              </w:rPr>
              <w:t>Ability to eat soft solids</w:t>
            </w:r>
          </w:p>
        </w:tc>
      </w:tr>
      <w:tr w:rsidR="000F5DB2" w:rsidRPr="00ED3FD4" w14:paraId="1F2C49F0" w14:textId="77777777" w:rsidTr="004175AA">
        <w:tc>
          <w:tcPr>
            <w:cnfStyle w:val="001000000000" w:firstRow="0" w:lastRow="0" w:firstColumn="1" w:lastColumn="0" w:oddVBand="0" w:evenVBand="0" w:oddHBand="0" w:evenHBand="0" w:firstRowFirstColumn="0" w:firstRowLastColumn="0" w:lastRowFirstColumn="0" w:lastRowLastColumn="0"/>
            <w:tcW w:w="1129" w:type="dxa"/>
            <w:tcBorders>
              <w:bottom w:val="single" w:sz="4" w:space="0" w:color="auto"/>
            </w:tcBorders>
            <w:shd w:val="clear" w:color="auto" w:fill="auto"/>
          </w:tcPr>
          <w:p w14:paraId="732A52DB" w14:textId="77777777" w:rsidR="00B22568" w:rsidRPr="00A47775" w:rsidRDefault="00B22568" w:rsidP="00ED3FD4">
            <w:pPr>
              <w:spacing w:line="480" w:lineRule="auto"/>
              <w:jc w:val="center"/>
              <w:rPr>
                <w:rFonts w:ascii="Arial" w:hAnsi="Arial" w:cs="Arial"/>
                <w:color w:val="000000" w:themeColor="text1"/>
                <w:sz w:val="20"/>
                <w:szCs w:val="20"/>
                <w:lang w:val="en-GB"/>
              </w:rPr>
            </w:pPr>
            <w:r w:rsidRPr="00A47775">
              <w:rPr>
                <w:rFonts w:ascii="Arial" w:hAnsi="Arial" w:cs="Arial"/>
                <w:color w:val="000000" w:themeColor="text1"/>
                <w:sz w:val="20"/>
                <w:szCs w:val="20"/>
                <w:lang w:val="en-GB"/>
              </w:rPr>
              <w:t>3</w:t>
            </w:r>
          </w:p>
        </w:tc>
        <w:tc>
          <w:tcPr>
            <w:tcW w:w="3544" w:type="dxa"/>
            <w:tcBorders>
              <w:bottom w:val="single" w:sz="4" w:space="0" w:color="auto"/>
            </w:tcBorders>
            <w:shd w:val="clear" w:color="auto" w:fill="auto"/>
          </w:tcPr>
          <w:p w14:paraId="39B9923F" w14:textId="77777777" w:rsidR="00B22568" w:rsidRPr="00A47775" w:rsidRDefault="00B22568" w:rsidP="00ED3FD4">
            <w:pPr>
              <w:spacing w:line="480" w:lineRule="auto"/>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000000" w:themeColor="text1"/>
                <w:sz w:val="20"/>
                <w:szCs w:val="20"/>
                <w:bdr w:val="nil"/>
                <w:lang w:val="en-GB"/>
              </w:rPr>
            </w:pPr>
            <w:r w:rsidRPr="00A47775">
              <w:rPr>
                <w:rFonts w:ascii="Arial" w:eastAsia="Arial Unicode MS" w:hAnsi="Arial" w:cs="Arial"/>
                <w:color w:val="000000" w:themeColor="text1"/>
                <w:sz w:val="20"/>
                <w:szCs w:val="20"/>
                <w:bdr w:val="nil"/>
                <w:lang w:val="en-GB"/>
              </w:rPr>
              <w:t>Ability to eat a low-residue or full diet</w:t>
            </w:r>
          </w:p>
        </w:tc>
      </w:tr>
    </w:tbl>
    <w:p w14:paraId="011D47DF" w14:textId="77777777" w:rsidR="00B22568" w:rsidRPr="00A47775" w:rsidRDefault="00B22568" w:rsidP="00ED3FD4">
      <w:pPr>
        <w:pStyle w:val="Body"/>
        <w:widowControl w:val="0"/>
        <w:spacing w:line="480" w:lineRule="auto"/>
        <w:rPr>
          <w:rFonts w:cs="Arial"/>
          <w:color w:val="000000" w:themeColor="text1"/>
        </w:rPr>
      </w:pPr>
    </w:p>
    <w:p w14:paraId="5B5AD4A8" w14:textId="77777777" w:rsidR="00B22568" w:rsidRPr="00A47775" w:rsidRDefault="00B22568" w:rsidP="00ED3FD4">
      <w:pPr>
        <w:pStyle w:val="Body"/>
        <w:widowControl w:val="0"/>
        <w:spacing w:line="480" w:lineRule="auto"/>
        <w:rPr>
          <w:rFonts w:cs="Arial"/>
          <w:color w:val="000000" w:themeColor="text1"/>
        </w:rPr>
      </w:pPr>
      <w:r w:rsidRPr="00A47775">
        <w:rPr>
          <w:rFonts w:cs="Arial"/>
          <w:color w:val="000000" w:themeColor="text1"/>
        </w:rPr>
        <w:t xml:space="preserve">1b. </w:t>
      </w:r>
      <w:r w:rsidRPr="00A47775">
        <w:rPr>
          <w:rFonts w:cs="Arial"/>
          <w:color w:val="000000" w:themeColor="text1"/>
          <w:u w:val="single"/>
        </w:rPr>
        <w:t>Persistent or recurrent GOO symptoms requiring reintervention</w:t>
      </w:r>
      <w:r w:rsidRPr="00A47775">
        <w:rPr>
          <w:rFonts w:cs="Arial"/>
          <w:color w:val="000000" w:themeColor="text1"/>
        </w:rPr>
        <w:t xml:space="preserve"> is defined as any new intervention after EUS-GE or SGJ directed at improving or restoring nutritional intake, in case of persistent or recurrent obstructive symptoms of gastric outlet obstruction, such as nausea, vomiting and inability to tolerate oral intake (GOOSS 0-1).</w:t>
      </w:r>
    </w:p>
    <w:p w14:paraId="469D1609" w14:textId="77777777" w:rsidR="00B22568" w:rsidRPr="00A47775" w:rsidRDefault="00B22568" w:rsidP="00ED3FD4">
      <w:pPr>
        <w:pStyle w:val="Body"/>
        <w:widowControl w:val="0"/>
        <w:spacing w:line="480" w:lineRule="auto"/>
        <w:rPr>
          <w:rFonts w:cs="Arial"/>
          <w:color w:val="000000" w:themeColor="text1"/>
        </w:rPr>
      </w:pPr>
      <w:r w:rsidRPr="00A47775">
        <w:rPr>
          <w:rFonts w:cs="Arial"/>
          <w:color w:val="000000" w:themeColor="text1"/>
        </w:rPr>
        <w:t>Reinterventions may be categorized as follows:</w:t>
      </w:r>
    </w:p>
    <w:p w14:paraId="136336E2" w14:textId="721B0A4F" w:rsidR="00B22568" w:rsidRPr="00A47775" w:rsidRDefault="00B22568" w:rsidP="00ED3FD4">
      <w:pPr>
        <w:pStyle w:val="Body"/>
        <w:widowControl w:val="0"/>
        <w:numPr>
          <w:ilvl w:val="0"/>
          <w:numId w:val="1"/>
        </w:numPr>
        <w:spacing w:line="480" w:lineRule="auto"/>
        <w:rPr>
          <w:rFonts w:cs="Arial"/>
          <w:color w:val="000000" w:themeColor="text1"/>
        </w:rPr>
      </w:pPr>
      <w:r w:rsidRPr="00A47775">
        <w:rPr>
          <w:rFonts w:cs="Arial"/>
          <w:color w:val="000000" w:themeColor="text1"/>
        </w:rPr>
        <w:t>Endoscopic procedures aimed at evaluating and, if applicable, treating anastomotic dysfunction, such as removing impacted food/tissue overgrowth, insertion of a second LAMS after migration of the first, or procedures aimed at creating an alternative route for food passage, such as placement of an enteral stent or creation of a percutaneous jejunostomy or venting gastrostomy</w:t>
      </w:r>
      <w:r w:rsidR="00BA3C1B">
        <w:rPr>
          <w:rFonts w:cs="Arial"/>
          <w:color w:val="000000" w:themeColor="text1"/>
        </w:rPr>
        <w:t xml:space="preserve">, or placement of an </w:t>
      </w:r>
      <w:r w:rsidR="00B32EC6">
        <w:rPr>
          <w:rFonts w:cs="Arial"/>
          <w:color w:val="000000" w:themeColor="text1"/>
        </w:rPr>
        <w:t>oral</w:t>
      </w:r>
      <w:r w:rsidR="00BA3C1B">
        <w:rPr>
          <w:rFonts w:cs="Arial"/>
          <w:color w:val="000000" w:themeColor="text1"/>
        </w:rPr>
        <w:t xml:space="preserve"> feeding tube</w:t>
      </w:r>
      <w:r w:rsidRPr="00A47775">
        <w:rPr>
          <w:rFonts w:cs="Arial"/>
          <w:color w:val="000000" w:themeColor="text1"/>
        </w:rPr>
        <w:t>;</w:t>
      </w:r>
    </w:p>
    <w:p w14:paraId="603D26E2" w14:textId="77777777" w:rsidR="00B22568" w:rsidRPr="00A47775" w:rsidRDefault="00B22568" w:rsidP="00ED3FD4">
      <w:pPr>
        <w:pStyle w:val="Body"/>
        <w:widowControl w:val="0"/>
        <w:numPr>
          <w:ilvl w:val="0"/>
          <w:numId w:val="1"/>
        </w:numPr>
        <w:spacing w:line="480" w:lineRule="auto"/>
        <w:rPr>
          <w:rFonts w:cs="Arial"/>
          <w:color w:val="000000" w:themeColor="text1"/>
        </w:rPr>
      </w:pPr>
      <w:r w:rsidRPr="00A47775">
        <w:rPr>
          <w:rFonts w:cs="Arial"/>
          <w:color w:val="000000" w:themeColor="text1"/>
        </w:rPr>
        <w:t xml:space="preserve">Surgical procedures aimed at treating dysfunction of the gastroenteric anastomosis or creating alternative ways for food passage, such as creation of a percutaneous jejunostomy; </w:t>
      </w:r>
    </w:p>
    <w:p w14:paraId="2509A171" w14:textId="77777777" w:rsidR="00B22568" w:rsidRPr="00A47775" w:rsidRDefault="00B22568" w:rsidP="00ED3FD4">
      <w:pPr>
        <w:pStyle w:val="Body"/>
        <w:widowControl w:val="0"/>
        <w:numPr>
          <w:ilvl w:val="0"/>
          <w:numId w:val="1"/>
        </w:numPr>
        <w:spacing w:line="480" w:lineRule="auto"/>
        <w:rPr>
          <w:rFonts w:cs="Arial"/>
          <w:color w:val="000000" w:themeColor="text1"/>
        </w:rPr>
      </w:pPr>
      <w:r w:rsidRPr="00A47775">
        <w:rPr>
          <w:rFonts w:cs="Arial"/>
          <w:color w:val="000000" w:themeColor="text1"/>
        </w:rPr>
        <w:t>Radiologic procedures to treat symptoms of gastric outlet obstruction, such as construction of a percutaneous gastrostomy or jejunostomy;</w:t>
      </w:r>
    </w:p>
    <w:p w14:paraId="7D8330C2" w14:textId="77777777" w:rsidR="00B22568" w:rsidRPr="00A47775" w:rsidRDefault="00B22568" w:rsidP="00ED3FD4">
      <w:pPr>
        <w:pStyle w:val="Body"/>
        <w:widowControl w:val="0"/>
        <w:numPr>
          <w:ilvl w:val="0"/>
          <w:numId w:val="1"/>
        </w:numPr>
        <w:spacing w:line="480" w:lineRule="auto"/>
        <w:rPr>
          <w:rFonts w:cs="Arial"/>
          <w:color w:val="000000" w:themeColor="text1"/>
        </w:rPr>
      </w:pPr>
      <w:r w:rsidRPr="00A47775">
        <w:rPr>
          <w:rFonts w:cs="Arial"/>
          <w:color w:val="000000" w:themeColor="text1"/>
        </w:rPr>
        <w:lastRenderedPageBreak/>
        <w:t>Initiation of total parenteral nutrition.</w:t>
      </w:r>
    </w:p>
    <w:p w14:paraId="2CF271F9" w14:textId="77777777" w:rsidR="00B22568" w:rsidRPr="00A47775" w:rsidRDefault="00B22568" w:rsidP="00ED3FD4">
      <w:pPr>
        <w:pStyle w:val="Body"/>
        <w:widowControl w:val="0"/>
        <w:spacing w:line="480" w:lineRule="auto"/>
        <w:rPr>
          <w:rFonts w:cs="Arial"/>
          <w:color w:val="000000" w:themeColor="text1"/>
        </w:rPr>
      </w:pPr>
    </w:p>
    <w:p w14:paraId="6C0B1BB8" w14:textId="77777777" w:rsidR="00B22568" w:rsidRPr="00A47775" w:rsidRDefault="00B22568" w:rsidP="00ED3FD4">
      <w:pPr>
        <w:pStyle w:val="Body"/>
        <w:widowControl w:val="0"/>
        <w:spacing w:line="480" w:lineRule="auto"/>
        <w:rPr>
          <w:rFonts w:cs="Arial"/>
          <w:b/>
          <w:color w:val="000000" w:themeColor="text1"/>
        </w:rPr>
      </w:pPr>
      <w:r w:rsidRPr="00A47775">
        <w:rPr>
          <w:rFonts w:cs="Arial"/>
          <w:b/>
          <w:color w:val="000000" w:themeColor="text1"/>
        </w:rPr>
        <w:t>Secondary endpoints</w:t>
      </w:r>
    </w:p>
    <w:p w14:paraId="01335FE1" w14:textId="77777777" w:rsidR="00B22568" w:rsidRPr="00A47775" w:rsidRDefault="00B22568" w:rsidP="00ED3FD4">
      <w:pPr>
        <w:pStyle w:val="Body"/>
        <w:widowControl w:val="0"/>
        <w:numPr>
          <w:ilvl w:val="0"/>
          <w:numId w:val="2"/>
        </w:numPr>
        <w:spacing w:line="480" w:lineRule="auto"/>
        <w:rPr>
          <w:rFonts w:cs="Arial"/>
          <w:color w:val="000000" w:themeColor="text1"/>
        </w:rPr>
      </w:pPr>
      <w:r w:rsidRPr="00A47775">
        <w:rPr>
          <w:rFonts w:cs="Arial"/>
          <w:color w:val="000000" w:themeColor="text1"/>
          <w:u w:val="single"/>
        </w:rPr>
        <w:t>Technical success</w:t>
      </w:r>
      <w:r w:rsidRPr="00A47775">
        <w:rPr>
          <w:rFonts w:cs="Arial"/>
          <w:color w:val="000000" w:themeColor="text1"/>
        </w:rPr>
        <w:t xml:space="preserve"> is defined as successful creation of a gastroenterostomy by means of the allocated technique (EUS-GE or SGJ). Successful (stent-in-stent) placement of a second Hot AXIOS</w:t>
      </w:r>
      <w:r w:rsidRPr="00A47775">
        <w:rPr>
          <w:rFonts w:cs="Arial"/>
          <w:color w:val="000000" w:themeColor="text1"/>
          <w:vertAlign w:val="superscript"/>
        </w:rPr>
        <w:t>TM</w:t>
      </w:r>
      <w:r w:rsidRPr="00A47775">
        <w:rPr>
          <w:rFonts w:cs="Arial"/>
          <w:color w:val="000000" w:themeColor="text1"/>
        </w:rPr>
        <w:t xml:space="preserve"> stent during the same procedure after the initial attempt failed is also considered technically successful. If additional  techniques, modalities or different type of stents (e.g. self-expandable metallic stents) were required, it will be regarded as technical failure.</w:t>
      </w:r>
    </w:p>
    <w:p w14:paraId="2AF1DBEF" w14:textId="77777777" w:rsidR="00B22568" w:rsidRPr="00A47775" w:rsidRDefault="00B22568" w:rsidP="00ED3FD4">
      <w:pPr>
        <w:pStyle w:val="Body"/>
        <w:widowControl w:val="0"/>
        <w:numPr>
          <w:ilvl w:val="0"/>
          <w:numId w:val="2"/>
        </w:numPr>
        <w:spacing w:line="480" w:lineRule="auto"/>
        <w:rPr>
          <w:rFonts w:cs="Arial"/>
          <w:color w:val="000000" w:themeColor="text1"/>
        </w:rPr>
      </w:pPr>
      <w:r w:rsidRPr="00A47775">
        <w:rPr>
          <w:rFonts w:cs="Arial"/>
          <w:color w:val="000000" w:themeColor="text1"/>
          <w:u w:val="single"/>
        </w:rPr>
        <w:t>Clinical success</w:t>
      </w:r>
      <w:r w:rsidRPr="00A47775">
        <w:rPr>
          <w:rFonts w:cs="Arial"/>
          <w:color w:val="000000" w:themeColor="text1"/>
        </w:rPr>
        <w:t xml:space="preserve"> is defined as relief of symptoms and toleration of soft solids (GOOSS </w:t>
      </w:r>
      <w:r w:rsidRPr="00A47775">
        <w:rPr>
          <w:rFonts w:cs="Arial"/>
          <w:color w:val="000000" w:themeColor="text1"/>
          <w:shd w:val="clear" w:color="auto" w:fill="FFFFFF"/>
        </w:rPr>
        <w:t>≥</w:t>
      </w:r>
      <w:r w:rsidRPr="00A47775">
        <w:rPr>
          <w:rFonts w:cs="Arial"/>
          <w:color w:val="000000" w:themeColor="text1"/>
        </w:rPr>
        <w:t xml:space="preserve"> 2) without vomiting.</w:t>
      </w:r>
    </w:p>
    <w:p w14:paraId="1B8F2536" w14:textId="77777777" w:rsidR="00B22568" w:rsidRPr="00A47775" w:rsidRDefault="00B22568" w:rsidP="00ED3FD4">
      <w:pPr>
        <w:pStyle w:val="Body"/>
        <w:widowControl w:val="0"/>
        <w:numPr>
          <w:ilvl w:val="0"/>
          <w:numId w:val="2"/>
        </w:numPr>
        <w:spacing w:line="480" w:lineRule="auto"/>
        <w:rPr>
          <w:rFonts w:cs="Arial"/>
          <w:color w:val="000000" w:themeColor="text1"/>
        </w:rPr>
      </w:pPr>
      <w:r w:rsidRPr="00A47775">
        <w:rPr>
          <w:rFonts w:cs="Arial"/>
          <w:color w:val="000000" w:themeColor="text1"/>
          <w:u w:val="single"/>
        </w:rPr>
        <w:t>Gastroenterostomy dysfunction</w:t>
      </w:r>
      <w:r w:rsidRPr="00A47775">
        <w:rPr>
          <w:rFonts w:cs="Arial"/>
          <w:color w:val="000000" w:themeColor="text1"/>
        </w:rPr>
        <w:t xml:space="preserve"> is defined as recurrence of obstructive symptoms (GOOSS 0-1) due to recurrence of GOO at the gastroenterostomy site after initial clinical success, confirmed endoscopically or radiographically.</w:t>
      </w:r>
    </w:p>
    <w:p w14:paraId="5D934F3C" w14:textId="77777777" w:rsidR="00B22568" w:rsidRPr="00A47775" w:rsidRDefault="00B22568" w:rsidP="00ED3FD4">
      <w:pPr>
        <w:pStyle w:val="Body"/>
        <w:widowControl w:val="0"/>
        <w:numPr>
          <w:ilvl w:val="0"/>
          <w:numId w:val="2"/>
        </w:numPr>
        <w:spacing w:line="480" w:lineRule="auto"/>
        <w:rPr>
          <w:rFonts w:cs="Arial"/>
          <w:color w:val="000000" w:themeColor="text1"/>
        </w:rPr>
      </w:pPr>
      <w:r w:rsidRPr="00A47775">
        <w:rPr>
          <w:rFonts w:cs="Arial"/>
          <w:color w:val="000000" w:themeColor="text1"/>
          <w:u w:val="single"/>
        </w:rPr>
        <w:t>Reintervention</w:t>
      </w:r>
      <w:r w:rsidRPr="00A47775">
        <w:rPr>
          <w:rFonts w:cs="Arial"/>
          <w:color w:val="000000" w:themeColor="text1"/>
        </w:rPr>
        <w:t xml:space="preserve"> is defined as any radiologic, endoscopic or surgical intervention for an adverse event, persistent obstructive symptoms or recurrent obstructive symptoms, that is needed after EUS-GE or SGJ. This includes creating an alternative route to improve or restore adequate nutritional intake – either through placing a nasal feeding tube, construction of a percutaneous gastrostomy or jejunostomy, or through initiating parenteral nutrition.</w:t>
      </w:r>
    </w:p>
    <w:p w14:paraId="7753A558" w14:textId="77777777" w:rsidR="00B22568" w:rsidRPr="00A47775" w:rsidRDefault="00B22568" w:rsidP="00ED3FD4">
      <w:pPr>
        <w:pStyle w:val="Body"/>
        <w:widowControl w:val="0"/>
        <w:numPr>
          <w:ilvl w:val="0"/>
          <w:numId w:val="2"/>
        </w:numPr>
        <w:spacing w:line="480" w:lineRule="auto"/>
        <w:rPr>
          <w:rFonts w:cs="Arial"/>
          <w:color w:val="000000" w:themeColor="text1"/>
        </w:rPr>
      </w:pPr>
      <w:r w:rsidRPr="00A47775">
        <w:rPr>
          <w:rFonts w:cs="Arial"/>
          <w:color w:val="000000" w:themeColor="text1"/>
          <w:u w:val="single"/>
        </w:rPr>
        <w:t>Time to reintervention</w:t>
      </w:r>
      <w:r w:rsidRPr="00A47775">
        <w:rPr>
          <w:rFonts w:cs="Arial"/>
          <w:color w:val="000000" w:themeColor="text1"/>
        </w:rPr>
        <w:t xml:space="preserve"> for persistence or recurrence of symptoms is defined as the time in days between EUS-GE/SGJ and reintervention for persistence or recurrence of symptoms of GOO (nausea, vomiting, inability to tolerate oral intake).</w:t>
      </w:r>
    </w:p>
    <w:p w14:paraId="5EFB22BE" w14:textId="3F212252" w:rsidR="00B22568" w:rsidRPr="00A47775" w:rsidRDefault="00B22568" w:rsidP="00ED3FD4">
      <w:pPr>
        <w:pStyle w:val="Body"/>
        <w:widowControl w:val="0"/>
        <w:numPr>
          <w:ilvl w:val="0"/>
          <w:numId w:val="2"/>
        </w:numPr>
        <w:spacing w:line="480" w:lineRule="auto"/>
        <w:rPr>
          <w:rFonts w:cs="Arial"/>
          <w:color w:val="000000" w:themeColor="text1"/>
        </w:rPr>
      </w:pPr>
      <w:r w:rsidRPr="00A47775">
        <w:rPr>
          <w:rFonts w:cs="Arial"/>
          <w:color w:val="000000" w:themeColor="text1"/>
          <w:u w:val="single"/>
        </w:rPr>
        <w:t>Adverse events</w:t>
      </w:r>
      <w:r w:rsidRPr="00A47775">
        <w:rPr>
          <w:rFonts w:cs="Arial"/>
          <w:color w:val="000000" w:themeColor="text1"/>
        </w:rPr>
        <w:t xml:space="preserve"> (AEs) are specified according to the ASGE lexicon for endoscopic adverse events</w:t>
      </w:r>
      <w:r w:rsidR="00B30FD5" w:rsidRPr="00A47775">
        <w:rPr>
          <w:rFonts w:cs="Arial"/>
          <w:color w:val="000000" w:themeColor="text1"/>
        </w:rPr>
        <w:t xml:space="preserve"> </w:t>
      </w:r>
      <w:sdt>
        <w:sdtPr>
          <w:rPr>
            <w:rFonts w:cs="Arial"/>
            <w:color w:val="000000" w:themeColor="text1"/>
          </w:rPr>
          <w:tag w:val="MENDELEY_CITATION_v3_eyJjaXRhdGlvbklEIjoiTUVOREVMRVlfQ0lUQVRJT05fM2NmMzA1OTgtYmY5MS00NGNhLWE1ZTgtNWYzNGExM2QwYmE5IiwicHJvcGVydGllcyI6eyJub3RlSW5kZXgiOjB9LCJpc0VkaXRlZCI6ZmFsc2UsIm1hbnVhbE92ZXJyaWRlIjp7ImNpdGVwcm9jVGV4dCI6IlsyXSIsImlzTWFudWFsbHlPdmVycmlkZGVuIjpmYWxzZSwibWFudWFsT3ZlcnJpZGVUZXh0IjoiIn0sImNpdGF0aW9uSXRlbXMiOlt7ImlkIjoiZmE2ZGQyMmUtNTkxZC0zNDE4LTgzM2UtMzQ1YWRlZGZkYWRmIiwiaXRlbURhdGEiOnsiRE9JIjoiMTAuMTAxNi9qLmdpZS4yMDA5LjEwLjAyNyIsIklTU04iOiIwMDE2NTEwNyIsIlBNSUQiOiIyMDE4OTUwMyIsImF1dGhvciI6W3siZHJvcHBpbmctcGFydGljbGUiOiIiLCJmYW1pbHkiOiJDb3R0b24iLCJnaXZlbiI6IlBldGVyIEIuIiwibm9uLWRyb3BwaW5nLXBhcnRpY2xlIjoiIiwicGFyc2UtbmFtZXMiOmZhbHNlLCJzdWZmaXgiOiIifSx7ImRyb3BwaW5nLXBhcnRpY2xlIjoiIiwiZmFtaWx5IjoiRWlzZW4iLCJnaXZlbiI6IkdsZW5uIE0uIiwibm9uLWRyb3BwaW5nLXBhcnRpY2xlIjoiIiwicGFyc2UtbmFtZXMiOmZhbHNlLCJzdWZmaXgiOiIifSx7ImRyb3BwaW5nLXBhcnRpY2xlIjoiIiwiZmFtaWx5IjoiQWFiYWtrZW4iLCJnaXZlbiI6IkxhcnMiLCJub24tZHJvcHBpbmctcGFydGljbGUiOiIiLCJwYXJzZS1uYW1lcyI6ZmFsc2UsInN1ZmZpeCI6IiJ9LHsiZHJvcHBpbmctcGFydGljbGUiOiIiLCJmYW1pbHkiOiJCYXJvbiIsImdpdmVuIjoiVG9kZCBILiIsIm5vbi1kcm9wcGluZy1wYXJ0aWNsZSI6IiIsInBhcnNlLW5hbWVzIjpmYWxzZSwic3VmZml4IjoiIn0seyJkcm9wcGluZy1wYXJ0aWNsZSI6IiIsImZhbWlseSI6Ikh1dHRlciIsImdpdmVuIjoiTWF0dCBNLiIsIm5vbi1kcm9wcGluZy1wYXJ0aWNsZSI6IiIsInBhcnNlLW5hbWVzIjpmYWxzZSwic3VmZml4IjoiIn0seyJkcm9wcGluZy1wYXJ0aWNsZSI6IiIsImZhbWlseSI6IkphY29ic29uIiwiZ2l2ZW4iOiJCcmlhbiBDLiIsIm5vbi1kcm9wcGluZy1wYXJ0aWNsZSI6IiIsInBhcnNlLW5hbWVzIjpmYWxzZSwic3VmZml4IjoiIn0seyJkcm9wcGluZy1wYXJ0aWNsZSI6IiIsImZhbWlseSI6Ik1lcmdlbmVyIiwiZ2l2ZW4iOiJLbGF1cyIsIm5vbi1kcm9wcGluZy1wYXJ0aWNsZSI6IiIsInBhcnNlLW5hbWVzIjpmYWxzZSwic3VmZml4IjoiIn0seyJkcm9wcGluZy1wYXJ0aWNsZSI6IiIsImZhbWlseSI6Ik5lbWNlayIsImdpdmVuIjoiQWxiZXJ0Iiwibm9uLWRyb3BwaW5nLXBhcnRpY2xlIjoiIiwicGFyc2UtbmFtZXMiOmZhbHNlLCJzdWZmaXgiOiIifSx7ImRyb3BwaW5nLXBhcnRpY2xlIjoiIiwiZmFtaWx5IjoiUGV0ZXJzZW4iLCJnaXZlbiI6IkJyZXQgVC4iLCJub24tZHJvcHBpbmctcGFydGljbGUiOiIiLCJwYXJzZS1uYW1lcyI6ZmFsc2UsInN1ZmZpeCI6IiJ9LHsiZHJvcHBpbmctcGFydGljbGUiOiIiLCJmYW1pbHkiOiJQZXRyaW5pIiwiZ2l2ZW4iOiJKb2huIEwuIiwibm9uLWRyb3BwaW5nLXBhcnRpY2xlIjoiIiwicGFyc2UtbmFtZXMiOmZhbHNlLCJzdWZmaXgiOiIifSx7ImRyb3BwaW5nLXBhcnRpY2xlIjoiIiwiZmFtaWx5IjoiUGlrZSIsImdpdmVuIjoiSXJ2aW5nIE0uIiwibm9uLWRyb3BwaW5nLXBhcnRpY2xlIjoiIiwicGFyc2UtbmFtZXMiOmZhbHNlLCJzdWZmaXgiOiIifSx7ImRyb3BwaW5nLXBhcnRpY2xlIjoiIiwiZmFtaWx5IjoiUmFiZW5lY2siLCJnaXZlbiI6IkxpbmRhIiwibm9uLWRyb3BwaW5nLXBhcnRpY2xlIjoiIiwicGFyc2UtbmFtZXMiOmZhbHNlLCJzdWZmaXgiOiIifSx7ImRyb3BwaW5nLXBhcnRpY2xlIjoiIiwiZmFtaWx5IjoiUm9tYWdudW9sbyIsImdpdmVuIjoiSm9zZXBoIiwibm9uLWRyb3BwaW5nLXBhcnRpY2xlIjoiIiwicGFyc2UtbmFtZXMiOmZhbHNlLCJzdWZmaXgiOiIifSx7ImRyb3BwaW5nLXBhcnRpY2xlIjoiIiwiZmFtaWx5IjoiVmFyZ28iLCJnaXZlbiI6IkpvaG4gSi4iLCJub24tZHJvcHBpbmctcGFydGljbGUiOiIiLCJwYXJzZS1uYW1lcyI6ZmFsc2UsInN1ZmZpeCI6IiJ9XSwiY29udGFpbmVyLXRpdGxlIjoiR2FzdHJvaW50ZXN0aW5hbCBFbmRvc2NvcHkiLCJpZCI6ImZhNmRkMjJlLTU5MWQtMzQxOC04MzNlLTM0NWFkZWRmZGFkZiIsImlzc3VlIjoiMyIsImlzc3VlZCI6eyJkYXRlLXBhcnRzIjpbWyIyMDEwIiwiMyJdXX0sInBhZ2UiOiI0NDYtNDU0IiwicHVibGlzaGVyIjoiQW1lcmljYW4gU29jaWV0eSBmb3IgR2FzdHJvaW50ZXN0aW5hbCBFbmRvc2NvcHkiLCJ0aXRsZSI6IkEgbGV4aWNvbiBmb3IgZW5kb3Njb3BpYyBhZHZlcnNlIGV2ZW50czogcmVwb3J0IG9mIGFuIEFTR0Ugd29ya3Nob3AiLCJ0eXBlIjoiYXJ0aWNsZS1qb3VybmFsIiwidm9sdW1lIjoiNzEiLCJjb250YWluZXItdGl0bGUtc2hvcnQiOiJHYXN0cm9pbnRlc3QgRW5kb3NjIn0sInVyaXMiOlsiaHR0cDovL3d3dy5tZW5kZWxleS5jb20vZG9jdW1lbnRzLz91dWlkPTdiOGQ0ZjNjLTNiMTctNGIyOS05MDU3LWVjZDc2OTVlNzU3MCJdLCJpc1RlbXBvcmFyeSI6ZmFsc2UsImxlZ2FjeURlc2t0b3BJZCI6IjdiOGQ0ZjNjLTNiMTctNGIyOS05MDU3LWVjZDc2OTVlNzU3MCJ9XX0="/>
          <w:id w:val="-466587053"/>
          <w:placeholder>
            <w:docPart w:val="DefaultPlaceholder_-1854013440"/>
          </w:placeholder>
        </w:sdtPr>
        <w:sdtEndPr/>
        <w:sdtContent>
          <w:r w:rsidR="00715402" w:rsidRPr="00A47775">
            <w:rPr>
              <w:rFonts w:cs="Arial"/>
              <w:color w:val="000000" w:themeColor="text1"/>
            </w:rPr>
            <w:t>[2]</w:t>
          </w:r>
        </w:sdtContent>
      </w:sdt>
      <w:r w:rsidR="00B30FD5" w:rsidRPr="00A47775">
        <w:rPr>
          <w:rFonts w:cs="Arial"/>
          <w:color w:val="000000" w:themeColor="text1"/>
        </w:rPr>
        <w:t>.</w:t>
      </w:r>
      <w:r w:rsidRPr="00A47775">
        <w:rPr>
          <w:rFonts w:cs="Arial"/>
          <w:color w:val="000000" w:themeColor="text1"/>
        </w:rPr>
        <w:t xml:space="preserve"> An adverse event is defined as “an event that prevents completion of the planned procedure and/or results in admission to hospital, prolongation of existing hospital stay, another procedure (needing sedation/</w:t>
      </w:r>
      <w:proofErr w:type="spellStart"/>
      <w:r w:rsidRPr="00A47775">
        <w:rPr>
          <w:rFonts w:cs="Arial"/>
          <w:color w:val="000000" w:themeColor="text1"/>
        </w:rPr>
        <w:t>anesthesia</w:t>
      </w:r>
      <w:proofErr w:type="spellEnd"/>
      <w:r w:rsidRPr="00A47775">
        <w:rPr>
          <w:rFonts w:cs="Arial"/>
          <w:color w:val="000000" w:themeColor="text1"/>
        </w:rPr>
        <w:t xml:space="preserve">), or subsequent medical consultation.” Severity of AEs is graded according to the </w:t>
      </w:r>
      <w:proofErr w:type="spellStart"/>
      <w:r w:rsidRPr="00A47775">
        <w:rPr>
          <w:rFonts w:cs="Arial"/>
          <w:color w:val="000000" w:themeColor="text1"/>
        </w:rPr>
        <w:t>Clavien-Dindo</w:t>
      </w:r>
      <w:proofErr w:type="spellEnd"/>
      <w:r w:rsidRPr="00A47775">
        <w:rPr>
          <w:rFonts w:cs="Arial"/>
          <w:color w:val="000000" w:themeColor="text1"/>
        </w:rPr>
        <w:t xml:space="preserve"> Complication Score (severe is defined as </w:t>
      </w:r>
      <w:r w:rsidRPr="00A47775">
        <w:rPr>
          <w:rFonts w:cs="Arial"/>
          <w:color w:val="000000" w:themeColor="text1"/>
          <w:shd w:val="clear" w:color="auto" w:fill="FFFFFF"/>
        </w:rPr>
        <w:t>≥</w:t>
      </w:r>
      <w:r w:rsidRPr="00A47775">
        <w:rPr>
          <w:rFonts w:cs="Arial"/>
          <w:color w:val="000000" w:themeColor="text1"/>
        </w:rPr>
        <w:t xml:space="preserve"> 3B)</w:t>
      </w:r>
      <w:r w:rsidR="00B30FD5" w:rsidRPr="00A47775">
        <w:rPr>
          <w:rFonts w:cs="Arial"/>
          <w:color w:val="000000" w:themeColor="text1"/>
        </w:rPr>
        <w:t xml:space="preserve"> </w:t>
      </w:r>
      <w:sdt>
        <w:sdtPr>
          <w:rPr>
            <w:rFonts w:cs="Arial"/>
            <w:color w:val="000000" w:themeColor="text1"/>
          </w:rPr>
          <w:tag w:val="MENDELEY_CITATION_v3_eyJjaXRhdGlvbklEIjoiTUVOREVMRVlfQ0lUQVRJT05fOWE5NTk3ODYtZmZmZS00NDg2LTgyZDItMDY1Mzc0NWNjN2E1IiwicHJvcGVydGllcyI6eyJub3RlSW5kZXgiOjB9LCJpc0VkaXRlZCI6ZmFsc2UsIm1hbnVhbE92ZXJyaWRlIjp7ImNpdGVwcm9jVGV4dCI6IlszLCA0XSIsImlzTWFudWFsbHlPdmVycmlkZGVuIjpmYWxzZSwibWFudWFsT3ZlcnJpZGVUZXh0IjoiIn0sImNpdGF0aW9uSXRlbXMiOlt7ImlkIjoiY2E4ZTliZWEtZjc5Yi0zMGQyLTg4NTUtOTM2ZTE1MTRjYmY4IiwiaXRlbURhdGEiOnsiSVNCTiI6IjAwMzktNjA2MCAoUHJpbnQpXHIwMDM5LTYwNjAiLCJQTUlEIjoiMTU5ODY3MSIsImFic3RyYWN0IjoiTGFjayBvZiB1bmlmb3JtIHJlcG9ydGluZyBvZiBuZWdhdGl2ZSBvdXRjb21lcyBtYWtlcyBpbnRlcnByZXRhdGlvbiBvZiBzdXJnaWNhbCBsaXRlcmF0dXJlIGRpZmZpY3VsdC4gV2UgYXR0ZW1wdCB0byBkZWZpbmUgYW5kIGNsYXNzaWZ5IG5lZ2F0aXZlIG91dGNvbWVzIGJ5IGRpZmZlcmVudGlhdGluZyBjb21wbGljYXRpb25zLCBzZXF1ZWxhZSwgYW5kIGZhaWx1cmVzLiBDb21wbGljYXRpb25zIGFuZCBzZXF1ZWxhZSByZXN1bHQgZnJvbSBwcm9jZWR1cmVzLCBhZGRpbmcgbmV3IHByb2JsZW1zIHRvIHRoZSB1bmRlcmx5aW5nIGRpc2Vhc2UuIEhvd2V2ZXIsIGNvbXBsaWNhdGlvbnMgYXJlIHVuZXhwZWN0ZWQgZXZlbnRzIG5vdCBpbnRyaW5zaWMgdG8gdGhlIHByb2NlZHVyZSwgd2hlcmVhcyBzZXF1ZWxhZSBhcmUgaW5oZXJlbnQgdG8gdGhlIHByb2NlZHVyZS4gRmFpbHVyZXMgYXJlIGV2ZW50cyBpbiB3aGljaCB0aGUgcHVycG9zZSBvZiB0aGUgcHJvY2VkdXJlIGlzIG5vdCBmdWxmaWxsZWQuIFdlIHByb3Bvc2UgYSBjbGFzc2lmaWNhdGlvbiBvZiBjb21wbGljYXRpb25zIGJhc2VkIG9uIGZvdXIgZ3JhZGVzOiBHcmFkZSBJIGNvbXBsaWNhdGlvbnMgYXJlIGFsdGVyYXRpb25zIGZyb20gdGhlIGlkZWFsIHBvc3RvcGVyYXRpdmUgY291cnNlLCBub24tbGlmZS10aHJlYXRlbmluZywgYW5kIHdpdGggbm8gbGFzdGluZyBkaXNhYmlsaXR5LiBDb21wbGljYXRpb25zIG9mIHRoaXMgZ3JhZGUgbmVjZXNzaXRhdGUgb25seSBiZWRzaWRlIHByb2NlZHVyZXMgYW5kIGRvIG5vdCBzaWduaWZpY2FudGx5IGV4dGVuZCBob3NwaXRhbCBzdGF5LiBHcmFkZSBJSSBjb21wbGljYXRpb25zIGFyZSBwb3RlbnRpYWxseSBsaWZlLXRocmVhdGVuaW5nIGJ1dCB3aXRob3V0IHJlc2lkdWFsIGRpc2FiaWxpdHkuIFdpdGhpbiBncmFkZSBJSSBjb21wbGljYXRpb25zIGEgc3ViZGl2aXNpb24gaXMgbWFkZSBhY2NvcmRpbmcgdG8gdGhlIHJlcXVpcmVtZW50IGZvciBpbnZhc2l2ZSBwcm9jZWR1cmVzLiBHcmFkZSBJSUkgY29tcGxpY2F0aW9ucyBhcmUgdGhvc2Ugd2l0aCByZXNpZHVhbCBkaXNhYmlsaXR5LCBpbmNsdWRpbmcgb3JnYW4gcmVzZWN0aW9uIG9yIHBlcnNpc3RlbmNlIG9mIGxpZmUtdGhyZWF0ZW5pbmcgY29uZGl0aW9ucy4gRmluYWxseSwgZ3JhZGUgSVYgY29tcGxpY2F0aW9ucyBhcmUgZGVhdGhzIGFzIGEgcmVzdWx0IG9mIGNvbXBsaWNhdGlvbnMuIFRvIGlsbHVzdHJhdGUgdGhlIHJlbGV2YW5jZSBvZiB0aGUgY2xhc3NpZmljYXRpb24sIHdlIHJldmlld2VkIDY1MCBjYXNlcyBvZiBlbGVjdGl2ZSBjaG9sZWN5c3RlY3RvbXkuIFJpc2sgZmFjdG9ycyBmb3IgZGV2ZWxvcG1lbnQgb2YgY29tcGxpY2F0aW9ucyB3ZXJlIGRldGVybWluZWQsIGFuZCB0aGUgY2xhc3NpZmljYXRpb24gd2FzIGFsc28gdXNlZCB0byBhbmFseXplIHRoZSB2YWx1ZSBvZiBhIG1vZGlmaWVkIEFQQUNIRSBJSSBhcyBhIHByZW9wZXJhdGl2ZSBwcm9nbm9zdGljIHNjb3JlLiBCb3RoIHN1cHBvcnRlZCB0aGUgcmVsZXZhbmNlIG9mIHRoZSBwcm9wb3NlZCBjbGFzc2lmaWNhdGlvbi4gVGhlIGFkdmFudGFnZXMgb2Ygc3VjaCBhIGNsYXNzaWZpY2F0aW9uIGFyZSAoMSkgaW5jcmVhc2VkIHVuaWZvcm1pdHkgaW4gcmVwb3J0aW5nIHJlc3VsdHMsICgyKSB0aGUgYWJpbGl0eSB0byBjb21wYXJlIHJlc3VsdHMgb2YgdHdvIGRpc3RpbmN0IHRpbWUgcGVyaW9kcyBpbiBhIHNpbmdsZSBjZW50ZXIsICgzKSB0aGUgYWJpbGl0eSB0byBjb21wYXJlIHJlc3VsdHMgb2Ygc3VyZ2VyeSBiZXR3ZWVuIGRpZmZlcmVudCBjZW50ZXJzLCAoNCkgdGhlIGFiaWxpdHkgdG8gY29tcGFyZSByZXN1bHRzIG9mIHN1cmdpY2FsIHZlcnN1cyBub25zdXJnaWNhbCBtZWFzdXJlcywgKDUpIHRoZSBhYmlsaXR5IHRvIHBlcmZvcm0gYWRlcXVhdGUgbWV0YWFuYWx5c2lzLCAoNikgdGhlIGFiaWxpdHkgdG8gaWRlbnRpZnkgb2JqZWN0aXZlIHByZW9wZXJhdGl2ZSByaXNrIGZhY3RvcnMsIGFuZCAoNykgdGhlIGFiaWxpdHkgdG8gZXN0YWJsaXNoIHByZW9wZXJhdGl2ZSBwcm9nbm9zdGljIHNjb3Jlcy4iLCJhdXRob3IiOlt7ImRyb3BwaW5nLXBhcnRpY2xlIjoiIiwiZmFtaWx5IjoiQ2xhdmllbiIsImdpdmVuIjoiUCBBIiwibm9uLWRyb3BwaW5nLXBhcnRpY2xlIjoiIiwicGFyc2UtbmFtZXMiOmZhbHNlLCJzdWZmaXgiOiIifSx7ImRyb3BwaW5nLXBhcnRpY2xlIjoiIiwiZmFtaWx5IjoiU2FuYWJyaWEiLCJnaXZlbiI6IkogUiIsIm5vbi1kcm9wcGluZy1wYXJ0aWNsZSI6IiIsInBhcnNlLW5hbWVzIjpmYWxzZSwic3VmZml4IjoiIn0seyJkcm9wcGluZy1wYXJ0aWNsZSI6IiIsImZhbWlseSI6IlN0cmFzYmVyZyIsImdpdmVuIjoiUyBNIiwibm9uLWRyb3BwaW5nLXBhcnRpY2xlIjoiIiwicGFyc2UtbmFtZXMiOmZhbHNlLCJzdWZmaXgiOiIifV0sImNvbnRhaW5lci10aXRsZSI6IlN1cmdlcnkiLCJlZGl0aW9uIjoiMTk5Mi8wNS8wMSIsImlkIjoiY2E4ZTliZWEtZjc5Yi0zMGQyLTg4NTUtOTM2ZTE1MTRjYmY4IiwiaXNzdWUiOiI1IiwiaXNzdWVkIjp7ImRhdGUtcGFydHMiOltbIjE5OTIiXV19LCJsYW5ndWFnZSI6ImVuZyIsIm5vdGUiOiJDbGF2aWVuLCBQIEFcblNhbmFicmlhLCBKIFJcblN0cmFzYmVyZywgUyBNXG5Kb3VybmFsIEFydGljbGVcblVuaXRlZCBTdGF0ZXNcblN1cmdlcnkuIDE5OTIgTWF5OzExMSg1KTo1MTgtMjYuIiwicGFnZSI6IjUxOC01MjYiLCJ0aXRsZSI6IlByb3Bvc2VkIGNsYXNzaWZpY2F0aW9uIG9mIGNvbXBsaWNhdGlvbnMgb2Ygc3VyZ2VyeSB3aXRoIGV4YW1wbGVzIG9mIHV0aWxpdHkgaW4gY2hvbGVjeXN0ZWN0b215IiwidHlwZSI6ImFydGljbGUtam91cm5hbCIsInZvbHVtZSI6IjExMSIsImNvbnRhaW5lci10aXRsZS1zaG9ydCI6IlN1cmdlcnkifSwidXJpcyI6WyJodHRwOi8vd3d3Lm1lbmRlbGV5LmNvbS9kb2N1bWVudHMvP3V1aWQ9NWJhYTRlMmQtZDBiOS00NWRjLWFmZGMtZDY3YjM5ZGM3MjY2Il0sImlzVGVtcG9yYXJ5IjpmYWxzZSwibGVnYWN5RGVza3RvcElkIjoiNWJhYTRlMmQtZDBiOS00NWRjLWFmZGMtZDY3YjM5ZGM3MjY2In0seyJpZCI6IjU5MTliZDkwLTNjNzgtMzYwNC1hOGFlLTY0MjMyMGI2ODdjNCIsIml0ZW1EYXRhIjp7IkRPSSI6IjEwLjEwOTcvMDEuc2xhLjAwMDAxMzMwODMuNTQ5MzQuYWUiLCJJU1NOIjoiMDAwMy00OTMyIiwiUE1JRCI6IjE1MjczNTQyIiwiYWJzdHJhY3QiOiJPYmplY3RpdmU6IEFsdGhvdWdoIHF1YWxpdHkgYXNzZXNzbWVudCBpcyBnYWluaW5nIGluY3JlYXNpbmcgYXR0ZW50aW9uLCB0aGVyZSBpcyBzdGlsbCBubyBjb25zZW5zdXMgb24gaG93IHRvIGRlZmluZSBhbmQgZ3JhZGUgcG9zdG9wZXJhdGl2ZSBjb21wbGljYXRpb25zLiBUaGlzIHNob3J0Y29taW5nIGhhbXBlcnMgY29tcGFyaXNvbiBvZiBvdXRjb21lIGRhdGEgYW1vbmcgZGlmZmVyZW50IGNlbnRlcnMgYW5kIHRoZXJhcGllcyBhbmQgb3ZlciB0aW1lLiBQYXRpZW50cyBhbmQgTWV0aG9kczogQSBjbGFzc2lmaWNhdGlvbiBvZiBjb21wbGljYXRpb25zIHB1Ymxpc2hlZCBieSBvbmUgb2YgdGhlIGF1dGhvcnMgaW4gMTk5MiB3YXMgY3JpdGljYWxseSByZS1ldmFsdWF0ZWQgYW5kIG1vZGlmaWVkIHRvIGluY3JlYXNlIGl0cyBhY2N1cmFjeSBhbmQgaXRzIGFjY2VwdGFiaWxpdHkgaW4gdGhlIHN1cmdpY2FsIGNvbW11bml0eS4gTW9kaWZpY2F0aW9ucyBtYWlubHkgZm9jdXNlZCBvbiB0aGUgbWFubmVyIG9mIHJlcG9ydGluZyBsaWZlLXRocmVhdGVuaW5nIGFuZCBwZXJtYW5lbnRseSBkaXNhYmxpbmcgY29tcGxpY2F0aW9ucy4gVGhlIG5ldyBncmFkaW5nIHN5c3RlbSBzdGlsbCBtb3N0bHkgcmVsaWVzIG9uIHRoZSB0aGVyYXB5IHVzZWQgdG8gdHJlYXQgdGhlIGNvbXBsaWNhdGlvbi4gVGhlIGNsYXNzaWZpY2F0aW9uIHdhcyB0ZXN0ZWQgaW4gYSBjb2hvcnQgb2YgNjMzNiBwYXRpZW50cyB3aG8gdW5kZXJ3ZW50IGVsZWN0aXZlIGdlbmVyYWwgc3VyZ2VyeSBhdCBvdXIgaW5zdGl0dXRpb24uIFRoZSByZXByb2R1Y2liaWxpdHkgYW5kIHBlcnNvbmFsIGp1ZGdtZW50IG9mIHRoZSBjbGFzc2lmaWNhdGlvbiB3ZXJlIGV2YWx1YXRlZCB0aHJvdWdoIGFuIGludGVybmF0aW9uYWwgc3VydmV5IHdpdGggMiBxdWVzdGlvbm5haXJlcyBzZW50IHRvIDEwIHN1cmdpY2FsIGNlbnRlcnMgd29ybGR3aWRlLiBSZXN1bHRzOiBUaGUgbmV3IHJhbmtpbmcgc3lzdGVtIHNpZ25pZmljYW50bHkgY29ycmVsYXRlZCB3aXRoIGNvbXBsZXhpdHkgb2Ygc3VyZ2VyeSAoUCA8IDAuMDAwMSkgYXMgd2VsbCBhcyB3aXRoIHRoZSBsZW5ndGggb2YgdGhlIGhvc3BpdGFsIHN0YXkgKFAgPCAwLjAwMDEpLiBBIHRvdGFsIG9mIDE0NCBzdXJnZW9ucyBmcm9tIDEwIGRpZmZlcmVudCBjZW50ZXJzIGFyb3VuZCB0aGUgd29ybGQgYW5kIGF0IGRpZmZlcmVudCBsZXZlbHMgb2YgdHJhaW5pbmcgcmV0dXJuZWQgdGhlIHN1cnZleS4gTmluZXR5IHBlcmNlbnQgb2YgdGhlIGNhc2UgcHJlc2VudGF0aW9ucyB3ZXJlIGNvcnJlY3RseSBncmFkZWQuIFRoZSBjbGFzc2lmaWNhdGlvbiB3YXMgY29uc2lkZXJlZCB0byBiZSBzaW1wbGUgKDkyJSBvZiB0aGUgcmVzcG9uZGVudHMpLCByZXByb2R1Y2libGUgKDkxJSksIGxvZ2ljYWwgKDkyJSksIHVzZWZ1bCAoOTAlKSwgYW5kIGNvbXByZWhlbnNpdmUgKDg5JSkuIFRoZSBhbnN3ZXJzIG9mIGJvdGggcXVlc3Rpb25uYWlyZXMgd2VyZSBub3QgZGVwZW5kZW50IG9uIHRoZSBvcmlnaW4gb2YgdGhlIHJlcGx5IGFuZCB0aGUgbGV2ZWwgb2YgdHJhaW5pbmcgb2YgdGhlIHN1cmdlb25zLiBDb25jbHVzaW9uczogVGhlIG5ldyBjb21wbGljYXRpb24gY2xhc3NpZmljYXRpb24gYXBwZWFycyByZWxpYWJsZSBhbmQgbWF5IHJlcHJlc2VudCBhIGNvbXBlbGxpbmcgdG9vbCBmb3IgcXVhbGl0eSBhc3Nlc3NtZW50IGluIHN1cmdlcnkgaW4gYWxsIHBhcnRzIG9mIHRoZSB3b3JsZC4iLCJhdXRob3IiOlt7ImRyb3BwaW5nLXBhcnRpY2xlIjoiIiwiZmFtaWx5IjoiRGluZG8iLCJnaXZlbiI6IkRhbmllbCIsIm5vbi1kcm9wcGluZy1wYXJ0aWNsZSI6IiIsInBhcnNlLW5hbWVzIjpmYWxzZSwic3VmZml4IjoiIn0seyJkcm9wcGluZy1wYXJ0aWNsZSI6IiIsImZhbWlseSI6IkRlbWFydGluZXMiLCJnaXZlbiI6Ik5pY29sYXMiLCJub24tZHJvcHBpbmctcGFydGljbGUiOiIiLCJwYXJzZS1uYW1lcyI6ZmFsc2UsInN1ZmZpeCI6IiJ9LHsiZHJvcHBpbmctcGFydGljbGUiOiIiLCJmYW1pbHkiOiJDbGF2aWVuIiwiZ2l2ZW4iOiJQaWVycmUtQWxhaW4iLCJub24tZHJvcHBpbmctcGFydGljbGUiOiIiLCJwYXJzZS1uYW1lcyI6ZmFsc2UsInN1ZmZpeCI6IiJ9XSwiY29udGFpbmVyLXRpdGxlIjoiQW5uYWxzIG9mIFN1cmdlcnkiLCJpZCI6IjU5MTliZDkwLTNjNzgtMzYwNC1hOGFlLTY0MjMyMGI2ODdjNCIsImlzc3VlIjoiMiIsImlzc3VlZCI6eyJkYXRlLXBhcnRzIjpbWyIyMDA0IiwiOCJdXX0sInBhZ2UiOiIyMDUtMjEzIiwidGl0bGUiOiJDbGFzc2lmaWNhdGlvbiBvZiBTdXJnaWNhbCBDb21wbGljYXRpb25zIiwidHlwZSI6ImFydGljbGUtam91cm5hbCIsInZvbHVtZSI6IjI0MCIsImNvbnRhaW5lci10aXRsZS1zaG9ydCI6IkFubiBTdXJnIn0sInVyaXMiOlsiaHR0cDovL3d3dy5tZW5kZWxleS5jb20vZG9jdW1lbnRzLz91dWlkPTU0ZTlkNGNkLWQxN2ItNDI2OS04ZDQxLTRjZDM2NmM2MDY5MSJdLCJpc1RlbXBvcmFyeSI6ZmFsc2UsImxlZ2FjeURlc2t0b3BJZCI6IjU0ZTlkNGNkLWQxN2ItNDI2OS04ZDQxLTRjZDM2NmM2MDY5MSJ9XX0="/>
          <w:id w:val="175390403"/>
          <w:placeholder>
            <w:docPart w:val="DefaultPlaceholder_-1854013440"/>
          </w:placeholder>
        </w:sdtPr>
        <w:sdtEndPr/>
        <w:sdtContent>
          <w:r w:rsidR="00715402" w:rsidRPr="00A47775">
            <w:rPr>
              <w:rFonts w:cs="Arial"/>
              <w:color w:val="000000" w:themeColor="text1"/>
            </w:rPr>
            <w:t>[3, 4]</w:t>
          </w:r>
        </w:sdtContent>
      </w:sdt>
      <w:r w:rsidR="00B30FD5" w:rsidRPr="00A47775">
        <w:rPr>
          <w:rFonts w:cs="Arial"/>
          <w:color w:val="000000" w:themeColor="text1"/>
        </w:rPr>
        <w:t>.</w:t>
      </w:r>
    </w:p>
    <w:p w14:paraId="6370C3F0" w14:textId="66B4188F" w:rsidR="00B22568" w:rsidRPr="00A47775" w:rsidRDefault="00B22568" w:rsidP="00ED3FD4">
      <w:pPr>
        <w:pStyle w:val="Body"/>
        <w:widowControl w:val="0"/>
        <w:numPr>
          <w:ilvl w:val="0"/>
          <w:numId w:val="2"/>
        </w:numPr>
        <w:spacing w:line="480" w:lineRule="auto"/>
        <w:rPr>
          <w:rFonts w:cs="Arial"/>
          <w:color w:val="000000" w:themeColor="text1"/>
        </w:rPr>
      </w:pPr>
      <w:r w:rsidRPr="00A47775">
        <w:rPr>
          <w:rFonts w:cs="Arial"/>
          <w:color w:val="000000" w:themeColor="text1"/>
          <w:u w:val="single"/>
        </w:rPr>
        <w:t>Quality of life</w:t>
      </w:r>
      <w:r w:rsidRPr="00A47775">
        <w:rPr>
          <w:rFonts w:cs="Arial"/>
          <w:color w:val="000000" w:themeColor="text1"/>
        </w:rPr>
        <w:t xml:space="preserve"> will be measured by two cancer specific questionnaires (core-questionnaire EORTC QLQ-C30 supplemented with a disease-specific module EORTC QLQ-STO22 focusing on gastric complaints) to measure health related quality of life of cancer patients</w:t>
      </w:r>
      <w:r w:rsidR="00B30FD5" w:rsidRPr="00A47775">
        <w:rPr>
          <w:rFonts w:cs="Arial"/>
          <w:color w:val="000000" w:themeColor="text1"/>
        </w:rPr>
        <w:t xml:space="preserve"> </w:t>
      </w:r>
      <w:sdt>
        <w:sdtPr>
          <w:rPr>
            <w:rFonts w:cs="Arial"/>
            <w:color w:val="000000" w:themeColor="text1"/>
          </w:rPr>
          <w:tag w:val="MENDELEY_CITATION_v3_eyJjaXRhdGlvbklEIjoiTUVOREVMRVlfQ0lUQVRJT05fZmRjNWM5NDAtZmQxYy00YTNiLTk3ZmYtY2VjZTY4NDRmM2Y0IiwicHJvcGVydGllcyI6eyJub3RlSW5kZXgiOjB9LCJpc0VkaXRlZCI6ZmFsc2UsIm1hbnVhbE92ZXJyaWRlIjp7ImNpdGVwcm9jVGV4dCI6Ils1LCA2XSIsImlzTWFudWFsbHlPdmVycmlkZGVuIjpmYWxzZSwibWFudWFsT3ZlcnJpZGVUZXh0IjoiIn0sImNpdGF0aW9uSXRlbXMiOlt7ImlkIjoiMjkwY2E0ZDMtYjhmZC0zMDAxLWI0MGYtOTY0NDQxMmRiODMwIiwiaXRlbURhdGEiOnsiRE9JIjoiMTAuMTA5My9qbmNpLzg1LjUuMzY1IiwiSVNTTiI6IjAwMjctODg3NCIsImF1dGhvciI6W3siZHJvcHBpbmctcGFydGljbGUiOiIiLCJmYW1pbHkiOiJBYXJvbnNvbiIsImdpdmVuIjoiTi4gSy4iLCJub24tZHJvcHBpbmctcGFydGljbGUiOiIiLCJwYXJzZS1uYW1lcyI6ZmFsc2UsInN1ZmZpeCI6IiJ9LHsiZHJvcHBpbmctcGFydGljbGUiOiIiLCJmYW1pbHkiOiJBaG1lZHphaSIsImdpdmVuIjoiUy4iLCJub24tZHJvcHBpbmctcGFydGljbGUiOiIiLCJwYXJzZS1uYW1lcyI6ZmFsc2UsInN1ZmZpeCI6IiJ9LHsiZHJvcHBpbmctcGFydGljbGUiOiIiLCJmYW1pbHkiOiJCZXJnbWFuIiwiZ2l2ZW4iOiJCLiIsIm5vbi1kcm9wcGluZy1wYXJ0aWNsZSI6IiIsInBhcnNlLW5hbWVzIjpmYWxzZSwic3VmZml4IjoiIn0seyJkcm9wcGluZy1wYXJ0aWNsZSI6IiIsImZhbWlseSI6IkJ1bGxpbmdlciIsImdpdmVuIjoiTS4iLCJub24tZHJvcHBpbmctcGFydGljbGUiOiIiLCJwYXJzZS1uYW1lcyI6ZmFsc2UsInN1ZmZpeCI6IiJ9LHsiZHJvcHBpbmctcGFydGljbGUiOiIiLCJmYW1pbHkiOiJDdWxsIiwiZ2l2ZW4iOiJBLiIsIm5vbi1kcm9wcGluZy1wYXJ0aWNsZSI6IiIsInBhcnNlLW5hbWVzIjpmYWxzZSwic3VmZml4IjoiIn0seyJkcm9wcGluZy1wYXJ0aWNsZSI6IiIsImZhbWlseSI6IkR1ZXoiLCJnaXZlbiI6Ik4uIEouIiwibm9uLWRyb3BwaW5nLXBhcnRpY2xlIjoiIiwicGFyc2UtbmFtZXMiOmZhbHNlLCJzdWZmaXgiOiIifSx7ImRyb3BwaW5nLXBhcnRpY2xlIjoiIiwiZmFtaWx5IjoiRmlsaWJlcnRpIiwiZ2l2ZW4iOiJBLiIsIm5vbi1kcm9wcGluZy1wYXJ0aWNsZSI6IiIsInBhcnNlLW5hbWVzIjpmYWxzZSwic3VmZml4IjoiIn0seyJkcm9wcGluZy1wYXJ0aWNsZSI6IiIsImZhbWlseSI6IkZsZWNodG5lciIsImdpdmVuIjoiSC4iLCJub24tZHJvcHBpbmctcGFydGljbGUiOiIiLCJwYXJzZS1uYW1lcyI6ZmFsc2UsInN1ZmZpeCI6IiJ9LHsiZHJvcHBpbmctcGFydGljbGUiOiIiLCJmYW1pbHkiOiJGbGVpc2htYW4iLCJnaXZlbiI6IlMuIEIuIiwibm9uLWRyb3BwaW5nLXBhcnRpY2xlIjoiIiwicGFyc2UtbmFtZXMiOmZhbHNlLCJzdWZmaXgiOiIifSx7ImRyb3BwaW5nLXBhcnRpY2xlIjoiIiwiZmFtaWx5IjoiSGFlcyIsImdpdmVuIjoiSi4gQy4gSi4gTS4gZC4iLCJub24tZHJvcHBpbmctcGFydGljbGUiOiIiLCJwYXJzZS1uYW1lcyI6ZmFsc2UsInN1ZmZpeCI6IiJ9LHsiZHJvcHBpbmctcGFydGljbGUiOiIiLCJmYW1pbHkiOiJLYWFzYSIsImdpdmVuIjoiUy4iLCJub24tZHJvcHBpbmctcGFydGljbGUiOiIiLCJwYXJzZS1uYW1lcyI6ZmFsc2UsInN1ZmZpeCI6IiJ9LHsiZHJvcHBpbmctcGFydGljbGUiOiIiLCJmYW1pbHkiOiJLbGVlIiwiZ2l2ZW4iOiJNLiIsIm5vbi1kcm9wcGluZy1wYXJ0aWNsZSI6IiIsInBhcnNlLW5hbWVzIjpmYWxzZSwic3VmZml4IjoiIn0seyJkcm9wcGluZy1wYXJ0aWNsZSI6IiIsImZhbWlseSI6Ik9zb2JhIiwiZ2l2ZW4iOiJELiIsIm5vbi1kcm9wcGluZy1wYXJ0aWNsZSI6IiIsInBhcnNlLW5hbWVzIjpmYWxzZSwic3VmZml4IjoiIn0seyJkcm9wcGluZy1wYXJ0aWNsZSI6IiIsImZhbWlseSI6IlJhemF2aSIsImdpdmVuIjoiRC4iLCJub24tZHJvcHBpbmctcGFydGljbGUiOiIiLCJwYXJzZS1uYW1lcyI6ZmFsc2UsInN1ZmZpeCI6IiJ9LHsiZHJvcHBpbmctcGFydGljbGUiOiIiLCJmYW1pbHkiOiJSb2ZlIiwiZ2l2ZW4iOiJQLiBCLiIsIm5vbi1kcm9wcGluZy1wYXJ0aWNsZSI6IiIsInBhcnNlLW5hbWVzIjpmYWxzZSwic3VmZml4IjoiIn0seyJkcm9wcGluZy1wYXJ0aWNsZSI6IiIsImZhbWlseSI6IlNjaHJhdWIiLCJnaXZlbiI6IlMuIiwibm9uLWRyb3BwaW5nLXBhcnRpY2xlIjoiIiwicGFyc2UtbmFtZXMiOmZhbHNlLCJzdWZmaXgiOiIifSx7ImRyb3BwaW5nLXBhcnRpY2xlIjoiIiwiZmFtaWx5IjoiU25lZXV3IiwiZ2l2ZW4iOiJLLiIsIm5vbi1kcm9wcGluZy1wYXJ0aWNsZSI6IiIsInBhcnNlLW5hbWVzIjpmYWxzZSwic3VmZml4IjoiIn0seyJkcm9wcGluZy1wYXJ0aWNsZSI6IiIsImZhbWlseSI6IlN1bGxpdmFuIiwiZ2l2ZW4iOiJNLiIsIm5vbi1kcm9wcGluZy1wYXJ0aWNsZSI6IiIsInBhcnNlLW5hbWVzIjpmYWxzZSwic3VmZml4IjoiIn0seyJkcm9wcGluZy1wYXJ0aWNsZSI6IiIsImZhbWlseSI6IlRha2VkYSIsImdpdmVuIjoiRi4iLCJub24tZHJvcHBpbmctcGFydGljbGUiOiIiLCJwYXJzZS1uYW1lcyI6ZmFsc2UsInN1ZmZpeCI6IiJ9XSwiY29udGFpbmVyLXRpdGxlIjoiSk5DSSBKb3VybmFsIG9mIHRoZSBOYXRpb25hbCBDYW5jZXIgSW5zdGl0dXRlIiwiaWQiOiIyOTBjYTRkMy1iOGZkLTMwMDEtYjQwZi05NjQ0NDEyZGI4MzAiLCJpc3N1ZSI6IjUiLCJpc3N1ZWQiOnsiZGF0ZS1wYXJ0cyI6W1siMTk5MyIsIjMiLCIzIl1dfSwicGFnZSI6IjM2NS0zNzYiLCJ0aXRsZSI6IlRoZSBFdXJvcGVhbiBPcmdhbml6YXRpb24gZm9yIFJlc2VhcmNoIGFuZCBUcmVhdG1lbnQgb2YgQ2FuY2VyIFFMUS1DMzA6IEEgUXVhbGl0eS1vZi1MaWZlIEluc3RydW1lbnQgZm9yIFVzZSBpbiBJbnRlcm5hdGlvbmFsIENsaW5pY2FsIFRyaWFscyBpbiBPbmNvbG9neSIsInR5cGUiOiJhcnRpY2xlLWpvdXJuYWwiLCJ2b2x1bWUiOiI4NSIsImNvbnRhaW5lci10aXRsZS1zaG9ydCI6IiJ9LCJ1cmlzIjpbImh0dHA6Ly93d3cubWVuZGVsZXkuY29tL2RvY3VtZW50cy8/dXVpZD1hZTdiNGFkMS05OThmLTQwMGMtOWI0OS04MGQ3NTM5OTJlYjciXSwiaXNUZW1wb3JhcnkiOmZhbHNlLCJsZWdhY3lEZXNrdG9wSWQiOiJhZTdiNGFkMS05OThmLTQwMGMtOWI0OS04MGQ3NTM5OTJlYjcifSx7ImlkIjoiYzdhYjNiMDQtNWM4Yi0zNTQyLWFkZWQtNjU1MGFmZmE4ZGQ4IiwiaXRlbURhdGEiOnsiRE9JIjoiMTAuMTAxNi9TMDk1OS04MDQ5KDAwKTAwNDE3LTIiLCJJU1NOIjoiMDk1OTgwNDkiLCJhdXRob3IiOlt7ImRyb3BwaW5nLXBhcnRpY2xlIjoiIiwiZmFtaWx5IjoiVmlja2VyeSIsImdpdmVuIjoiQy5XIiwibm9uLWRyb3BwaW5nLXBhcnRpY2xlIjoiIiwicGFyc2UtbmFtZXMiOmZhbHNlLCJzdWZmaXgiOiIifSx7ImRyb3BwaW5nLXBhcnRpY2xlIjoiIiwiZmFtaWx5IjoiQmxhemVieSIsImdpdmVuIjoiSi5NIiwibm9uLWRyb3BwaW5nLXBhcnRpY2xlIjoiIiwicGFyc2UtbmFtZXMiOmZhbHNlLCJzdWZmaXgiOiIifSx7ImRyb3BwaW5nLXBhcnRpY2xlIjoiIiwiZmFtaWx5IjoiQ29ucm95IiwiZ2l2ZW4iOiJUIiwibm9uLWRyb3BwaW5nLXBhcnRpY2xlIjoiIiwicGFyc2UtbmFtZXMiOmZhbHNlLCJzdWZmaXgiOiIifSx7ImRyb3BwaW5nLXBhcnRpY2xlIjoiIiwiZmFtaWx5IjoiQXJyYXJhcyIsImdpdmVuIjoiSiIsIm5vbi1kcm9wcGluZy1wYXJ0aWNsZSI6IiIsInBhcnNlLW5hbWVzIjpmYWxzZSwic3VmZml4IjoiIn0seyJkcm9wcGluZy1wYXJ0aWNsZSI6IiIsImZhbWlseSI6IlNlemVyIiwiZ2l2ZW4iOiJPIiwibm9uLWRyb3BwaW5nLXBhcnRpY2xlIjoiIiwicGFyc2UtbmFtZXMiOmZhbHNlLCJzdWZmaXgiOiIifSx7ImRyb3BwaW5nLXBhcnRpY2xlIjoiIiwiZmFtaWx5IjoiS29sbGVyIiwiZ2l2ZW4iOiJNIiwibm9uLWRyb3BwaW5nLXBhcnRpY2xlIjoiIiwicGFyc2UtbmFtZXMiOmZhbHNlLCJzdWZmaXgiOiIifSx7ImRyb3BwaW5nLXBhcnRpY2xlIjoiIiwiZmFtaWx5IjoiUm9zZW1leWVyIiwiZ2l2ZW4iOiJEIiwibm9uLWRyb3BwaW5nLXBhcnRpY2xlIjoiIiwicGFyc2UtbmFtZXMiOmZhbHNlLCJzdWZmaXgiOiIifSx7ImRyb3BwaW5nLXBhcnRpY2xlIjoiIiwiZmFtaWx5IjoiSm9obnNvbiIsImdpdmVuIjoiQy5EIiwibm9uLWRyb3BwaW5nLXBhcnRpY2xlIjoiIiwicGFyc2UtbmFtZXMiOmZhbHNlLCJzdWZmaXgiOiIifSx7ImRyb3BwaW5nLXBhcnRpY2xlIjoiIiwiZmFtaWx5IjoiQWxkZXJzb24iLCJnaXZlbiI6IkQiLCJub24tZHJvcHBpbmctcGFydGljbGUiOiIiLCJwYXJzZS1uYW1lcyI6ZmFsc2UsInN1ZmZpeCI6IiJ9XSwiY29udGFpbmVyLXRpdGxlIjoiRXVyb3BlYW4gSm91cm5hbCBvZiBDYW5jZXIiLCJpZCI6ImM3YWIzYjA0LTVjOGItMzU0Mi1hZGVkLTY1NTBhZmZhOGRkOCIsImlzc3VlIjoiOCIsImlzc3VlZCI6eyJkYXRlLXBhcnRzIjpbWyIyMDAxIiwiNSJdXX0sInBhZ2UiOiI5NjYtOTcxIiwidGl0bGUiOiJEZXZlbG9wbWVudCBvZiBhbiBFT1JUQyBkaXNlYXNlLXNwZWNpZmljIHF1YWxpdHkgb2YgbGlmZSBtb2R1bGUgZm9yIHVzZSBpbiBwYXRpZW50cyB3aXRoIGdhc3RyaWMgY2FuY2VyIiwidHlwZSI6ImFydGljbGUtam91cm5hbCIsInZvbHVtZSI6IjM3IiwiY29udGFpbmVyLXRpdGxlLXNob3J0IjoiRXVyIEogQ2FuY2VyIn0sInVyaXMiOlsiaHR0cDovL3d3dy5tZW5kZWxleS5jb20vZG9jdW1lbnRzLz91dWlkPTBkYWQxNDE5LWY4MWUtNGI1Mi1iOTY1LWM2MDExNTdhMWMyZCJdLCJpc1RlbXBvcmFyeSI6ZmFsc2UsImxlZ2FjeURlc2t0b3BJZCI6IjBkYWQxNDE5LWY4MWUtNGI1Mi1iOTY1LWM2MDExNTdhMWMyZCJ9XX0="/>
          <w:id w:val="1100763139"/>
          <w:placeholder>
            <w:docPart w:val="DefaultPlaceholder_-1854013440"/>
          </w:placeholder>
        </w:sdtPr>
        <w:sdtEndPr/>
        <w:sdtContent>
          <w:r w:rsidR="00715402" w:rsidRPr="00A47775">
            <w:rPr>
              <w:rFonts w:cs="Arial"/>
              <w:color w:val="000000" w:themeColor="text1"/>
            </w:rPr>
            <w:t>[5, 6]</w:t>
          </w:r>
        </w:sdtContent>
      </w:sdt>
      <w:r w:rsidR="00B30FD5" w:rsidRPr="00A47775">
        <w:rPr>
          <w:rFonts w:cs="Arial"/>
          <w:color w:val="000000" w:themeColor="text1"/>
        </w:rPr>
        <w:t>.</w:t>
      </w:r>
      <w:r w:rsidRPr="00A47775">
        <w:rPr>
          <w:rFonts w:cs="Arial"/>
          <w:color w:val="000000" w:themeColor="text1"/>
        </w:rPr>
        <w:t xml:space="preserve"> In addition, the EQ-5D-3L questionnaire is used in cost-effectiveness analysis</w:t>
      </w:r>
      <w:r w:rsidR="00B30FD5" w:rsidRPr="00A47775">
        <w:rPr>
          <w:rFonts w:cs="Arial"/>
          <w:color w:val="000000" w:themeColor="text1"/>
        </w:rPr>
        <w:t xml:space="preserve"> </w:t>
      </w:r>
      <w:sdt>
        <w:sdtPr>
          <w:rPr>
            <w:rFonts w:cs="Arial"/>
            <w:color w:val="000000" w:themeColor="text1"/>
          </w:rPr>
          <w:tag w:val="MENDELEY_CITATION_v3_eyJjaXRhdGlvbklEIjoiTUVOREVMRVlfQ0lUQVRJT05fYTVkZDNkOGEtN2Q0OS00MTQxLWIwZjktYzVlYzMzZWRmNjYwIiwicHJvcGVydGllcyI6eyJub3RlSW5kZXgiOjB9LCJpc0VkaXRlZCI6ZmFsc2UsIm1hbnVhbE92ZXJyaWRlIjp7ImNpdGVwcm9jVGV4dCI6Ils3XSIsImlzTWFudWFsbHlPdmVycmlkZGVuIjpmYWxzZSwibWFudWFsT3ZlcnJpZGVUZXh0IjoiIn0sImNpdGF0aW9uSXRlbXMiOlt7ImlkIjoiMmFjNGE3NDctNTcyZC0zNDg0LTk1ZGEtNWI1OGY0ZWQ4NjYxIiwiaXRlbURhdGEiOnsiRE9JIjoiMTAuMzEwOS8wNzg1Mzg5MDEwOTAwMjA4NyIsIklTU04iOiIwNzg1LTM4OTAiLCJhdXRob3IiOlt7ImRyb3BwaW5nLXBhcnRpY2xlIjoiIiwiZmFtaWx5IjoiUmFiaW4iLCJnaXZlbiI6IlJvc2FsaW5kIiwibm9uLWRyb3BwaW5nLXBhcnRpY2xlIjoiIiwicGFyc2UtbmFtZXMiOmZhbHNlLCJzdWZmaXgiOiIifSx7ImRyb3BwaW5nLXBhcnRpY2xlIjoiZGUiLCJmYW1pbHkiOiJDaGFycm8iLCJnaXZlbiI6IkZyYW5rIiwibm9uLWRyb3BwaW5nLXBhcnRpY2xlIjoiIiwicGFyc2UtbmFtZXMiOmZhbHNlLCJzdWZmaXgiOiIifV0sImNvbnRhaW5lci10aXRsZSI6IkFubmFscyBvZiBNZWRpY2luZSIsImlkIjoiMmFjNGE3NDctNTcyZC0zNDg0LTk1ZGEtNWI1OGY0ZWQ4NjYxIiwiaXNzdWUiOiI1IiwiaXNzdWVkIjp7ImRhdGUtcGFydHMiOltbIjIwMDEiLCIxIiwiOCJdXX0sInBhZ2UiOiIzMzctMzQzIiwidGl0bGUiOiJFUS1TRDogYSBtZWFzdXJlIG9mIGhlYWx0aCBzdGF0dXMgZnJvbSB0aGUgRXVyb1FvbCBHcm91cCIsInR5cGUiOiJhcnRpY2xlLWpvdXJuYWwiLCJ2b2x1bWUiOiIzMyIsImNvbnRhaW5lci10aXRsZS1zaG9ydCI6IkFubiBNZWQifSwidXJpcyI6WyJodHRwOi8vd3d3Lm1lbmRlbGV5LmNvbS9kb2N1bWVudHMvP3V1aWQ9ZmQyYTU3YjQtYjg5MC00ZjMzLTk1OTYtNWU1ODdkYmU0NjZjIl0sImlzVGVtcG9yYXJ5IjpmYWxzZSwibGVnYWN5RGVza3RvcElkIjoiZmQyYTU3YjQtYjg5MC00ZjMzLTk1OTYtNWU1ODdkYmU0NjZjIn1dfQ=="/>
          <w:id w:val="-1231381953"/>
          <w:placeholder>
            <w:docPart w:val="DefaultPlaceholder_-1854013440"/>
          </w:placeholder>
        </w:sdtPr>
        <w:sdtEndPr/>
        <w:sdtContent>
          <w:r w:rsidR="00715402" w:rsidRPr="00A47775">
            <w:rPr>
              <w:rFonts w:cs="Arial"/>
              <w:color w:val="000000" w:themeColor="text1"/>
            </w:rPr>
            <w:t>[7]</w:t>
          </w:r>
        </w:sdtContent>
      </w:sdt>
      <w:r w:rsidR="00B30FD5" w:rsidRPr="00A47775">
        <w:rPr>
          <w:rFonts w:cs="Arial"/>
          <w:color w:val="000000" w:themeColor="text1"/>
        </w:rPr>
        <w:t>.</w:t>
      </w:r>
    </w:p>
    <w:p w14:paraId="7819C41F" w14:textId="77777777" w:rsidR="00B22568" w:rsidRPr="00A47775" w:rsidRDefault="00B22568" w:rsidP="00ED3FD4">
      <w:pPr>
        <w:pStyle w:val="Body"/>
        <w:widowControl w:val="0"/>
        <w:numPr>
          <w:ilvl w:val="0"/>
          <w:numId w:val="2"/>
        </w:numPr>
        <w:spacing w:line="480" w:lineRule="auto"/>
        <w:rPr>
          <w:rFonts w:cs="Arial"/>
          <w:color w:val="000000" w:themeColor="text1"/>
        </w:rPr>
      </w:pPr>
      <w:r w:rsidRPr="00A47775">
        <w:rPr>
          <w:rFonts w:cs="Arial"/>
          <w:color w:val="000000" w:themeColor="text1"/>
          <w:u w:val="single"/>
        </w:rPr>
        <w:lastRenderedPageBreak/>
        <w:t>Time to start chemotherapy</w:t>
      </w:r>
      <w:r w:rsidRPr="00A47775">
        <w:rPr>
          <w:rFonts w:cs="Arial"/>
          <w:color w:val="000000" w:themeColor="text1"/>
        </w:rPr>
        <w:t xml:space="preserve"> is defined as the number of days after EUS-GE/SGJ until</w:t>
      </w:r>
    </w:p>
    <w:p w14:paraId="0F85D5B9" w14:textId="77777777" w:rsidR="00B22568" w:rsidRPr="00A47775" w:rsidRDefault="00B22568" w:rsidP="00ED3FD4">
      <w:pPr>
        <w:pStyle w:val="Body"/>
        <w:widowControl w:val="0"/>
        <w:spacing w:line="480" w:lineRule="auto"/>
        <w:ind w:firstLine="360"/>
        <w:rPr>
          <w:rFonts w:cs="Arial"/>
          <w:color w:val="000000" w:themeColor="text1"/>
        </w:rPr>
      </w:pPr>
      <w:r w:rsidRPr="00A47775">
        <w:rPr>
          <w:rFonts w:cs="Arial"/>
          <w:color w:val="000000" w:themeColor="text1"/>
        </w:rPr>
        <w:t>chemotherapy is started (if applicable).</w:t>
      </w:r>
    </w:p>
    <w:p w14:paraId="1C64C272" w14:textId="77777777" w:rsidR="00B22568" w:rsidRPr="00A47775" w:rsidRDefault="00B22568" w:rsidP="00ED3FD4">
      <w:pPr>
        <w:pStyle w:val="Body"/>
        <w:widowControl w:val="0"/>
        <w:numPr>
          <w:ilvl w:val="0"/>
          <w:numId w:val="2"/>
        </w:numPr>
        <w:spacing w:line="480" w:lineRule="auto"/>
        <w:rPr>
          <w:rFonts w:cs="Arial"/>
          <w:color w:val="000000" w:themeColor="text1"/>
        </w:rPr>
      </w:pPr>
      <w:r w:rsidRPr="00A47775">
        <w:rPr>
          <w:rFonts w:cs="Arial"/>
          <w:color w:val="000000" w:themeColor="text1"/>
          <w:u w:val="single"/>
        </w:rPr>
        <w:t>Length of hospital stay</w:t>
      </w:r>
      <w:r w:rsidRPr="00A47775">
        <w:rPr>
          <w:rFonts w:cs="Arial"/>
          <w:color w:val="000000" w:themeColor="text1"/>
        </w:rPr>
        <w:t xml:space="preserve"> is defined as days of hospitalization between EUS-GE/SGJ and</w:t>
      </w:r>
    </w:p>
    <w:p w14:paraId="608457A5" w14:textId="77777777" w:rsidR="00B22568" w:rsidRPr="00A47775" w:rsidRDefault="00B22568" w:rsidP="00ED3FD4">
      <w:pPr>
        <w:pStyle w:val="Body"/>
        <w:widowControl w:val="0"/>
        <w:spacing w:line="480" w:lineRule="auto"/>
        <w:ind w:left="360"/>
        <w:rPr>
          <w:rFonts w:cs="Arial"/>
          <w:color w:val="000000" w:themeColor="text1"/>
        </w:rPr>
      </w:pPr>
      <w:r w:rsidRPr="00A47775">
        <w:rPr>
          <w:rFonts w:cs="Arial"/>
          <w:color w:val="000000" w:themeColor="text1"/>
        </w:rPr>
        <w:t>hospital discharge. If patients are transferred back to a referring hospital, the final date of</w:t>
      </w:r>
    </w:p>
    <w:p w14:paraId="502332AD" w14:textId="77777777" w:rsidR="00B22568" w:rsidRPr="00A47775" w:rsidRDefault="00B22568" w:rsidP="00ED3FD4">
      <w:pPr>
        <w:pStyle w:val="Body"/>
        <w:widowControl w:val="0"/>
        <w:spacing w:line="480" w:lineRule="auto"/>
        <w:ind w:left="360"/>
        <w:rPr>
          <w:rFonts w:cs="Arial"/>
          <w:color w:val="000000" w:themeColor="text1"/>
        </w:rPr>
      </w:pPr>
      <w:r w:rsidRPr="00A47775">
        <w:rPr>
          <w:rFonts w:cs="Arial"/>
          <w:color w:val="000000" w:themeColor="text1"/>
        </w:rPr>
        <w:t>discharge from their referring hospital will be registered.</w:t>
      </w:r>
    </w:p>
    <w:p w14:paraId="715BF99A" w14:textId="77777777" w:rsidR="00B22568" w:rsidRPr="00A47775" w:rsidRDefault="00B22568" w:rsidP="00ED3FD4">
      <w:pPr>
        <w:pStyle w:val="Body"/>
        <w:widowControl w:val="0"/>
        <w:numPr>
          <w:ilvl w:val="0"/>
          <w:numId w:val="2"/>
        </w:numPr>
        <w:spacing w:line="480" w:lineRule="auto"/>
        <w:rPr>
          <w:rFonts w:cs="Arial"/>
          <w:color w:val="000000" w:themeColor="text1"/>
        </w:rPr>
      </w:pPr>
      <w:r w:rsidRPr="00A47775">
        <w:rPr>
          <w:rFonts w:cs="Arial"/>
          <w:color w:val="000000" w:themeColor="text1"/>
          <w:u w:val="single"/>
        </w:rPr>
        <w:t>Readmission</w:t>
      </w:r>
      <w:r w:rsidRPr="00A47775">
        <w:rPr>
          <w:rFonts w:cs="Arial"/>
          <w:color w:val="000000" w:themeColor="text1"/>
        </w:rPr>
        <w:t>: number and duration of hospital readmissions within 30 days after EUS-GE/</w:t>
      </w:r>
    </w:p>
    <w:p w14:paraId="70837238" w14:textId="77777777" w:rsidR="00B22568" w:rsidRPr="00A47775" w:rsidRDefault="00B22568" w:rsidP="00ED3FD4">
      <w:pPr>
        <w:pStyle w:val="Body"/>
        <w:widowControl w:val="0"/>
        <w:spacing w:line="480" w:lineRule="auto"/>
        <w:ind w:firstLine="360"/>
        <w:rPr>
          <w:rFonts w:cs="Arial"/>
          <w:color w:val="000000" w:themeColor="text1"/>
        </w:rPr>
      </w:pPr>
      <w:r w:rsidRPr="00A47775">
        <w:rPr>
          <w:rFonts w:cs="Arial"/>
          <w:color w:val="000000" w:themeColor="text1"/>
        </w:rPr>
        <w:t>SGJ.</w:t>
      </w:r>
    </w:p>
    <w:p w14:paraId="7DC1B01F" w14:textId="77777777" w:rsidR="00B22568" w:rsidRPr="00A47775" w:rsidRDefault="00B22568" w:rsidP="00ED3FD4">
      <w:pPr>
        <w:pStyle w:val="Body"/>
        <w:widowControl w:val="0"/>
        <w:numPr>
          <w:ilvl w:val="0"/>
          <w:numId w:val="2"/>
        </w:numPr>
        <w:spacing w:line="480" w:lineRule="auto"/>
        <w:rPr>
          <w:rFonts w:cs="Arial"/>
          <w:color w:val="000000" w:themeColor="text1"/>
        </w:rPr>
      </w:pPr>
      <w:r w:rsidRPr="00A47775">
        <w:rPr>
          <w:rFonts w:cs="Arial"/>
          <w:color w:val="000000" w:themeColor="text1"/>
          <w:u w:val="single"/>
        </w:rPr>
        <w:t>Weight</w:t>
      </w:r>
      <w:r w:rsidRPr="00A47775">
        <w:rPr>
          <w:rFonts w:cs="Arial"/>
          <w:color w:val="000000" w:themeColor="text1"/>
        </w:rPr>
        <w:t xml:space="preserve"> is defined as patients’ weight in kilograms. Comparison is made between weight</w:t>
      </w:r>
    </w:p>
    <w:p w14:paraId="0A8E971E" w14:textId="77777777" w:rsidR="00B22568" w:rsidRPr="00A47775" w:rsidRDefault="00B22568" w:rsidP="00ED3FD4">
      <w:pPr>
        <w:pStyle w:val="Body"/>
        <w:widowControl w:val="0"/>
        <w:spacing w:line="480" w:lineRule="auto"/>
        <w:ind w:firstLine="360"/>
        <w:rPr>
          <w:rFonts w:cs="Arial"/>
          <w:color w:val="000000" w:themeColor="text1"/>
        </w:rPr>
      </w:pPr>
      <w:r w:rsidRPr="00A47775">
        <w:rPr>
          <w:rFonts w:cs="Arial"/>
          <w:color w:val="000000" w:themeColor="text1"/>
        </w:rPr>
        <w:t>at baseline and weight one month after EUS-GE/SGJ.</w:t>
      </w:r>
    </w:p>
    <w:p w14:paraId="1B480522" w14:textId="77777777" w:rsidR="00B22568" w:rsidRPr="00A47775" w:rsidRDefault="00B22568" w:rsidP="00ED3FD4">
      <w:pPr>
        <w:pStyle w:val="Body"/>
        <w:widowControl w:val="0"/>
        <w:numPr>
          <w:ilvl w:val="0"/>
          <w:numId w:val="2"/>
        </w:numPr>
        <w:spacing w:line="480" w:lineRule="auto"/>
        <w:rPr>
          <w:rFonts w:cs="Arial"/>
          <w:color w:val="000000" w:themeColor="text1"/>
        </w:rPr>
      </w:pPr>
      <w:r w:rsidRPr="00A47775">
        <w:rPr>
          <w:rFonts w:cs="Arial"/>
          <w:color w:val="000000" w:themeColor="text1"/>
          <w:u w:val="single"/>
        </w:rPr>
        <w:t>Survival</w:t>
      </w:r>
      <w:r w:rsidRPr="00A47775">
        <w:rPr>
          <w:rFonts w:cs="Arial"/>
          <w:color w:val="000000" w:themeColor="text1"/>
        </w:rPr>
        <w:t xml:space="preserve"> is defined by the number of days after EUS-GE/SGJ until death. The cause of</w:t>
      </w:r>
    </w:p>
    <w:p w14:paraId="34F9BBC6" w14:textId="77777777" w:rsidR="00B22568" w:rsidRPr="00A47775" w:rsidRDefault="00B22568" w:rsidP="00ED3FD4">
      <w:pPr>
        <w:pStyle w:val="Body"/>
        <w:widowControl w:val="0"/>
        <w:spacing w:line="480" w:lineRule="auto"/>
        <w:ind w:firstLine="360"/>
        <w:rPr>
          <w:rFonts w:cs="Arial"/>
          <w:color w:val="000000" w:themeColor="text1"/>
        </w:rPr>
      </w:pPr>
      <w:r w:rsidRPr="00A47775">
        <w:rPr>
          <w:rFonts w:cs="Arial"/>
          <w:color w:val="000000" w:themeColor="text1"/>
        </w:rPr>
        <w:t>death will be registered.</w:t>
      </w:r>
    </w:p>
    <w:p w14:paraId="6BA56D46" w14:textId="77777777" w:rsidR="00B22568" w:rsidRPr="00A47775" w:rsidRDefault="00B22568" w:rsidP="00ED3FD4">
      <w:pPr>
        <w:pStyle w:val="Body"/>
        <w:widowControl w:val="0"/>
        <w:numPr>
          <w:ilvl w:val="0"/>
          <w:numId w:val="2"/>
        </w:numPr>
        <w:spacing w:line="480" w:lineRule="auto"/>
        <w:rPr>
          <w:rFonts w:cs="Arial"/>
          <w:color w:val="000000" w:themeColor="text1"/>
        </w:rPr>
      </w:pPr>
      <w:r w:rsidRPr="00A47775">
        <w:rPr>
          <w:rFonts w:cs="Arial"/>
          <w:color w:val="000000" w:themeColor="text1"/>
          <w:u w:val="single"/>
        </w:rPr>
        <w:t>Costs</w:t>
      </w:r>
      <w:r w:rsidRPr="00A47775">
        <w:rPr>
          <w:rFonts w:cs="Arial"/>
          <w:color w:val="000000" w:themeColor="text1"/>
        </w:rPr>
        <w:t xml:space="preserve"> are defined as the intramural costs that were involved with EUS-GE/SGJ, collected</w:t>
      </w:r>
    </w:p>
    <w:p w14:paraId="445E082C" w14:textId="77777777" w:rsidR="00B22568" w:rsidRPr="00A47775" w:rsidRDefault="00B22568" w:rsidP="00ED3FD4">
      <w:pPr>
        <w:pStyle w:val="Body"/>
        <w:widowControl w:val="0"/>
        <w:spacing w:line="480" w:lineRule="auto"/>
        <w:ind w:left="360"/>
        <w:rPr>
          <w:rFonts w:cs="Arial"/>
          <w:color w:val="000000" w:themeColor="text1"/>
        </w:rPr>
      </w:pPr>
      <w:r w:rsidRPr="00A47775">
        <w:rPr>
          <w:rFonts w:cs="Arial"/>
          <w:color w:val="000000" w:themeColor="text1"/>
        </w:rPr>
        <w:t>from the electronic hospital records and linked to the Dutch unit costs. Primary outcome</w:t>
      </w:r>
    </w:p>
    <w:p w14:paraId="666C4FA2" w14:textId="77777777" w:rsidR="00B22568" w:rsidRPr="00A47775" w:rsidRDefault="00B22568" w:rsidP="00ED3FD4">
      <w:pPr>
        <w:pStyle w:val="Body"/>
        <w:widowControl w:val="0"/>
        <w:spacing w:line="480" w:lineRule="auto"/>
        <w:ind w:left="360"/>
        <w:rPr>
          <w:rFonts w:cs="Arial"/>
          <w:color w:val="000000" w:themeColor="text1"/>
        </w:rPr>
      </w:pPr>
      <w:r w:rsidRPr="00A47775">
        <w:rPr>
          <w:rFonts w:cs="Arial"/>
          <w:color w:val="000000" w:themeColor="text1"/>
        </w:rPr>
        <w:t>measures from our economic evaluation are Quality Adjusted Life Years (QALY) and</w:t>
      </w:r>
    </w:p>
    <w:p w14:paraId="6437D6E9" w14:textId="77777777" w:rsidR="00B22568" w:rsidRPr="00A47775" w:rsidRDefault="00B22568" w:rsidP="00ED3FD4">
      <w:pPr>
        <w:pStyle w:val="Body"/>
        <w:widowControl w:val="0"/>
        <w:spacing w:line="480" w:lineRule="auto"/>
        <w:ind w:left="360"/>
        <w:rPr>
          <w:rFonts w:cs="Arial"/>
          <w:color w:val="000000" w:themeColor="text1"/>
        </w:rPr>
      </w:pPr>
      <w:r w:rsidRPr="00A47775">
        <w:rPr>
          <w:rFonts w:cs="Arial"/>
          <w:color w:val="000000" w:themeColor="text1"/>
        </w:rPr>
        <w:t>Incremental Cost Effectiveness Ratios (ICERs).</w:t>
      </w:r>
    </w:p>
    <w:p w14:paraId="4D3C9969" w14:textId="77777777" w:rsidR="00B22568" w:rsidRPr="00A47775" w:rsidRDefault="00B22568" w:rsidP="00ED3FD4">
      <w:pPr>
        <w:pStyle w:val="Geenafstand"/>
        <w:spacing w:line="480" w:lineRule="auto"/>
        <w:rPr>
          <w:rFonts w:ascii="Arial" w:hAnsi="Arial" w:cs="Arial"/>
          <w:color w:val="000000" w:themeColor="text1"/>
          <w:sz w:val="20"/>
          <w:szCs w:val="20"/>
          <w:lang w:val="en-GB"/>
        </w:rPr>
      </w:pPr>
    </w:p>
    <w:p w14:paraId="28D63926" w14:textId="77777777" w:rsidR="00B22568" w:rsidRPr="00A47775" w:rsidRDefault="00B22568" w:rsidP="00ED3FD4">
      <w:pPr>
        <w:pStyle w:val="Geenafstand"/>
        <w:spacing w:line="480" w:lineRule="auto"/>
        <w:rPr>
          <w:rFonts w:ascii="Arial" w:hAnsi="Arial" w:cs="Arial"/>
          <w:b/>
          <w:color w:val="000000" w:themeColor="text1"/>
          <w:sz w:val="20"/>
          <w:szCs w:val="20"/>
          <w:lang w:val="en-GB"/>
        </w:rPr>
      </w:pPr>
      <w:r w:rsidRPr="00A47775">
        <w:rPr>
          <w:rFonts w:ascii="Arial" w:hAnsi="Arial" w:cs="Arial"/>
          <w:b/>
          <w:color w:val="000000" w:themeColor="text1"/>
          <w:sz w:val="20"/>
          <w:szCs w:val="20"/>
          <w:lang w:val="en-GB"/>
        </w:rPr>
        <w:t>References</w:t>
      </w:r>
    </w:p>
    <w:sdt>
      <w:sdtPr>
        <w:rPr>
          <w:rFonts w:ascii="Arial" w:hAnsi="Arial" w:cs="Arial"/>
          <w:color w:val="000000" w:themeColor="text1"/>
          <w:sz w:val="20"/>
          <w:szCs w:val="20"/>
        </w:rPr>
        <w:tag w:val="MENDELEY_BIBLIOGRAPHY"/>
        <w:id w:val="502004841"/>
        <w:placeholder>
          <w:docPart w:val="DefaultPlaceholder_-1854013440"/>
        </w:placeholder>
      </w:sdtPr>
      <w:sdtEndPr/>
      <w:sdtContent>
        <w:p w14:paraId="4CB5076D" w14:textId="77777777" w:rsidR="00715402" w:rsidRPr="00A47775" w:rsidRDefault="00715402" w:rsidP="00ED3FD4">
          <w:pPr>
            <w:spacing w:after="0" w:line="480" w:lineRule="auto"/>
            <w:divId w:val="1759516955"/>
            <w:rPr>
              <w:rFonts w:ascii="Arial" w:eastAsia="Times New Roman" w:hAnsi="Arial" w:cs="Arial"/>
              <w:color w:val="000000" w:themeColor="text1"/>
              <w:sz w:val="20"/>
              <w:szCs w:val="20"/>
              <w:lang w:val="en-US"/>
            </w:rPr>
          </w:pPr>
          <w:r w:rsidRPr="00A47775">
            <w:rPr>
              <w:rFonts w:ascii="Arial" w:eastAsia="Times New Roman" w:hAnsi="Arial" w:cs="Arial"/>
              <w:color w:val="000000" w:themeColor="text1"/>
              <w:sz w:val="20"/>
              <w:szCs w:val="20"/>
              <w:lang w:val="en-US"/>
            </w:rPr>
            <w:t>1. Adler DG, Baron TH. Endoscopic palliation of malignant gastric outlet obstruction using self-expanding metal stents: experience in 36 patients. Am J Gastroenterol. 2002;97:72–8.</w:t>
          </w:r>
        </w:p>
        <w:p w14:paraId="57EACED1" w14:textId="77777777" w:rsidR="00715402" w:rsidRPr="00A47775" w:rsidRDefault="00715402" w:rsidP="00ED3FD4">
          <w:pPr>
            <w:spacing w:after="0" w:line="480" w:lineRule="auto"/>
            <w:divId w:val="969824623"/>
            <w:rPr>
              <w:rFonts w:ascii="Arial" w:eastAsia="Times New Roman" w:hAnsi="Arial" w:cs="Arial"/>
              <w:color w:val="000000" w:themeColor="text1"/>
              <w:sz w:val="20"/>
              <w:szCs w:val="20"/>
              <w:lang w:val="en-US"/>
            </w:rPr>
          </w:pPr>
          <w:r w:rsidRPr="00A47775">
            <w:rPr>
              <w:rFonts w:ascii="Arial" w:eastAsia="Times New Roman" w:hAnsi="Arial" w:cs="Arial"/>
              <w:color w:val="000000" w:themeColor="text1"/>
              <w:sz w:val="20"/>
              <w:szCs w:val="20"/>
              <w:lang w:val="en-US"/>
            </w:rPr>
            <w:t xml:space="preserve">2. Cotton PB, Eisen GM, </w:t>
          </w:r>
          <w:proofErr w:type="spellStart"/>
          <w:r w:rsidRPr="00A47775">
            <w:rPr>
              <w:rFonts w:ascii="Arial" w:eastAsia="Times New Roman" w:hAnsi="Arial" w:cs="Arial"/>
              <w:color w:val="000000" w:themeColor="text1"/>
              <w:sz w:val="20"/>
              <w:szCs w:val="20"/>
              <w:lang w:val="en-US"/>
            </w:rPr>
            <w:t>Aabakken</w:t>
          </w:r>
          <w:proofErr w:type="spellEnd"/>
          <w:r w:rsidRPr="00A47775">
            <w:rPr>
              <w:rFonts w:ascii="Arial" w:eastAsia="Times New Roman" w:hAnsi="Arial" w:cs="Arial"/>
              <w:color w:val="000000" w:themeColor="text1"/>
              <w:sz w:val="20"/>
              <w:szCs w:val="20"/>
              <w:lang w:val="en-US"/>
            </w:rPr>
            <w:t xml:space="preserve"> L, Baron TH, </w:t>
          </w:r>
          <w:proofErr w:type="spellStart"/>
          <w:r w:rsidRPr="00A47775">
            <w:rPr>
              <w:rFonts w:ascii="Arial" w:eastAsia="Times New Roman" w:hAnsi="Arial" w:cs="Arial"/>
              <w:color w:val="000000" w:themeColor="text1"/>
              <w:sz w:val="20"/>
              <w:szCs w:val="20"/>
              <w:lang w:val="en-US"/>
            </w:rPr>
            <w:t>Hutter</w:t>
          </w:r>
          <w:proofErr w:type="spellEnd"/>
          <w:r w:rsidRPr="00A47775">
            <w:rPr>
              <w:rFonts w:ascii="Arial" w:eastAsia="Times New Roman" w:hAnsi="Arial" w:cs="Arial"/>
              <w:color w:val="000000" w:themeColor="text1"/>
              <w:sz w:val="20"/>
              <w:szCs w:val="20"/>
              <w:lang w:val="en-US"/>
            </w:rPr>
            <w:t xml:space="preserve"> MM, Jacobson BC, et al. A lexicon for endoscopic adverse events: report of an ASGE workshop. </w:t>
          </w:r>
          <w:proofErr w:type="spellStart"/>
          <w:r w:rsidRPr="00A47775">
            <w:rPr>
              <w:rFonts w:ascii="Arial" w:eastAsia="Times New Roman" w:hAnsi="Arial" w:cs="Arial"/>
              <w:color w:val="000000" w:themeColor="text1"/>
              <w:sz w:val="20"/>
              <w:szCs w:val="20"/>
              <w:lang w:val="en-US"/>
            </w:rPr>
            <w:t>Gastrointest</w:t>
          </w:r>
          <w:proofErr w:type="spellEnd"/>
          <w:r w:rsidRPr="00A47775">
            <w:rPr>
              <w:rFonts w:ascii="Arial" w:eastAsia="Times New Roman" w:hAnsi="Arial" w:cs="Arial"/>
              <w:color w:val="000000" w:themeColor="text1"/>
              <w:sz w:val="20"/>
              <w:szCs w:val="20"/>
              <w:lang w:val="en-US"/>
            </w:rPr>
            <w:t xml:space="preserve"> </w:t>
          </w:r>
          <w:proofErr w:type="spellStart"/>
          <w:r w:rsidRPr="00A47775">
            <w:rPr>
              <w:rFonts w:ascii="Arial" w:eastAsia="Times New Roman" w:hAnsi="Arial" w:cs="Arial"/>
              <w:color w:val="000000" w:themeColor="text1"/>
              <w:sz w:val="20"/>
              <w:szCs w:val="20"/>
              <w:lang w:val="en-US"/>
            </w:rPr>
            <w:t>Endosc</w:t>
          </w:r>
          <w:proofErr w:type="spellEnd"/>
          <w:r w:rsidRPr="00A47775">
            <w:rPr>
              <w:rFonts w:ascii="Arial" w:eastAsia="Times New Roman" w:hAnsi="Arial" w:cs="Arial"/>
              <w:color w:val="000000" w:themeColor="text1"/>
              <w:sz w:val="20"/>
              <w:szCs w:val="20"/>
              <w:lang w:val="en-US"/>
            </w:rPr>
            <w:t>. 2010;71:446–54.</w:t>
          </w:r>
        </w:p>
        <w:p w14:paraId="660D092E" w14:textId="77777777" w:rsidR="00715402" w:rsidRPr="00A47775" w:rsidRDefault="00715402" w:rsidP="00ED3FD4">
          <w:pPr>
            <w:spacing w:after="0" w:line="480" w:lineRule="auto"/>
            <w:divId w:val="756905857"/>
            <w:rPr>
              <w:rFonts w:ascii="Arial" w:eastAsia="Times New Roman" w:hAnsi="Arial" w:cs="Arial"/>
              <w:color w:val="000000" w:themeColor="text1"/>
              <w:sz w:val="20"/>
              <w:szCs w:val="20"/>
              <w:lang w:val="en-US"/>
            </w:rPr>
          </w:pPr>
          <w:r w:rsidRPr="00A47775">
            <w:rPr>
              <w:rFonts w:ascii="Arial" w:eastAsia="Times New Roman" w:hAnsi="Arial" w:cs="Arial"/>
              <w:color w:val="000000" w:themeColor="text1"/>
              <w:sz w:val="20"/>
              <w:szCs w:val="20"/>
              <w:lang w:val="en-US"/>
            </w:rPr>
            <w:t xml:space="preserve">3. </w:t>
          </w:r>
          <w:proofErr w:type="spellStart"/>
          <w:r w:rsidRPr="00A47775">
            <w:rPr>
              <w:rFonts w:ascii="Arial" w:eastAsia="Times New Roman" w:hAnsi="Arial" w:cs="Arial"/>
              <w:color w:val="000000" w:themeColor="text1"/>
              <w:sz w:val="20"/>
              <w:szCs w:val="20"/>
              <w:lang w:val="en-US"/>
            </w:rPr>
            <w:t>Clavien</w:t>
          </w:r>
          <w:proofErr w:type="spellEnd"/>
          <w:r w:rsidRPr="00A47775">
            <w:rPr>
              <w:rFonts w:ascii="Arial" w:eastAsia="Times New Roman" w:hAnsi="Arial" w:cs="Arial"/>
              <w:color w:val="000000" w:themeColor="text1"/>
              <w:sz w:val="20"/>
              <w:szCs w:val="20"/>
              <w:lang w:val="en-US"/>
            </w:rPr>
            <w:t xml:space="preserve"> PA, Sanabria JR, Strasberg SM. Proposed classification of complications of surgery with examples of utility in cholecystectomy. Surgery. 1992;111:518–26.</w:t>
          </w:r>
        </w:p>
        <w:p w14:paraId="1D262113" w14:textId="77777777" w:rsidR="00715402" w:rsidRPr="00A47775" w:rsidRDefault="00715402" w:rsidP="00ED3FD4">
          <w:pPr>
            <w:spacing w:after="0" w:line="480" w:lineRule="auto"/>
            <w:divId w:val="796530888"/>
            <w:rPr>
              <w:rFonts w:ascii="Arial" w:eastAsia="Times New Roman" w:hAnsi="Arial" w:cs="Arial"/>
              <w:color w:val="000000" w:themeColor="text1"/>
              <w:sz w:val="20"/>
              <w:szCs w:val="20"/>
              <w:lang w:val="en-US"/>
            </w:rPr>
          </w:pPr>
          <w:r w:rsidRPr="00A47775">
            <w:rPr>
              <w:rFonts w:ascii="Arial" w:eastAsia="Times New Roman" w:hAnsi="Arial" w:cs="Arial"/>
              <w:color w:val="000000" w:themeColor="text1"/>
              <w:sz w:val="20"/>
              <w:szCs w:val="20"/>
              <w:lang w:val="en-US"/>
            </w:rPr>
            <w:t xml:space="preserve">4. </w:t>
          </w:r>
          <w:proofErr w:type="spellStart"/>
          <w:r w:rsidRPr="00A47775">
            <w:rPr>
              <w:rFonts w:ascii="Arial" w:eastAsia="Times New Roman" w:hAnsi="Arial" w:cs="Arial"/>
              <w:color w:val="000000" w:themeColor="text1"/>
              <w:sz w:val="20"/>
              <w:szCs w:val="20"/>
              <w:lang w:val="en-US"/>
            </w:rPr>
            <w:t>Dindo</w:t>
          </w:r>
          <w:proofErr w:type="spellEnd"/>
          <w:r w:rsidRPr="00A47775">
            <w:rPr>
              <w:rFonts w:ascii="Arial" w:eastAsia="Times New Roman" w:hAnsi="Arial" w:cs="Arial"/>
              <w:color w:val="000000" w:themeColor="text1"/>
              <w:sz w:val="20"/>
              <w:szCs w:val="20"/>
              <w:lang w:val="en-US"/>
            </w:rPr>
            <w:t xml:space="preserve"> D, </w:t>
          </w:r>
          <w:proofErr w:type="spellStart"/>
          <w:r w:rsidRPr="00A47775">
            <w:rPr>
              <w:rFonts w:ascii="Arial" w:eastAsia="Times New Roman" w:hAnsi="Arial" w:cs="Arial"/>
              <w:color w:val="000000" w:themeColor="text1"/>
              <w:sz w:val="20"/>
              <w:szCs w:val="20"/>
              <w:lang w:val="en-US"/>
            </w:rPr>
            <w:t>Demartines</w:t>
          </w:r>
          <w:proofErr w:type="spellEnd"/>
          <w:r w:rsidRPr="00A47775">
            <w:rPr>
              <w:rFonts w:ascii="Arial" w:eastAsia="Times New Roman" w:hAnsi="Arial" w:cs="Arial"/>
              <w:color w:val="000000" w:themeColor="text1"/>
              <w:sz w:val="20"/>
              <w:szCs w:val="20"/>
              <w:lang w:val="en-US"/>
            </w:rPr>
            <w:t xml:space="preserve"> N, </w:t>
          </w:r>
          <w:proofErr w:type="spellStart"/>
          <w:r w:rsidRPr="00A47775">
            <w:rPr>
              <w:rFonts w:ascii="Arial" w:eastAsia="Times New Roman" w:hAnsi="Arial" w:cs="Arial"/>
              <w:color w:val="000000" w:themeColor="text1"/>
              <w:sz w:val="20"/>
              <w:szCs w:val="20"/>
              <w:lang w:val="en-US"/>
            </w:rPr>
            <w:t>Clavien</w:t>
          </w:r>
          <w:proofErr w:type="spellEnd"/>
          <w:r w:rsidRPr="00A47775">
            <w:rPr>
              <w:rFonts w:ascii="Arial" w:eastAsia="Times New Roman" w:hAnsi="Arial" w:cs="Arial"/>
              <w:color w:val="000000" w:themeColor="text1"/>
              <w:sz w:val="20"/>
              <w:szCs w:val="20"/>
              <w:lang w:val="en-US"/>
            </w:rPr>
            <w:t xml:space="preserve"> P-A. Classification of Surgical Complications. Ann Surg. 2004;240:205–13.</w:t>
          </w:r>
        </w:p>
        <w:p w14:paraId="5ACF96F0" w14:textId="77777777" w:rsidR="00715402" w:rsidRPr="00A47775" w:rsidRDefault="00715402" w:rsidP="00ED3FD4">
          <w:pPr>
            <w:spacing w:after="0" w:line="480" w:lineRule="auto"/>
            <w:divId w:val="1094939615"/>
            <w:rPr>
              <w:rFonts w:ascii="Arial" w:eastAsia="Times New Roman" w:hAnsi="Arial" w:cs="Arial"/>
              <w:color w:val="000000" w:themeColor="text1"/>
              <w:sz w:val="20"/>
              <w:szCs w:val="20"/>
              <w:lang w:val="en-US"/>
            </w:rPr>
          </w:pPr>
          <w:r w:rsidRPr="00A47775">
            <w:rPr>
              <w:rFonts w:ascii="Arial" w:eastAsia="Times New Roman" w:hAnsi="Arial" w:cs="Arial"/>
              <w:color w:val="000000" w:themeColor="text1"/>
              <w:sz w:val="20"/>
              <w:szCs w:val="20"/>
              <w:lang w:val="en-US"/>
            </w:rPr>
            <w:t xml:space="preserve">5. Aaronson NK, </w:t>
          </w:r>
          <w:proofErr w:type="spellStart"/>
          <w:r w:rsidRPr="00A47775">
            <w:rPr>
              <w:rFonts w:ascii="Arial" w:eastAsia="Times New Roman" w:hAnsi="Arial" w:cs="Arial"/>
              <w:color w:val="000000" w:themeColor="text1"/>
              <w:sz w:val="20"/>
              <w:szCs w:val="20"/>
              <w:lang w:val="en-US"/>
            </w:rPr>
            <w:t>Ahmedzai</w:t>
          </w:r>
          <w:proofErr w:type="spellEnd"/>
          <w:r w:rsidRPr="00A47775">
            <w:rPr>
              <w:rFonts w:ascii="Arial" w:eastAsia="Times New Roman" w:hAnsi="Arial" w:cs="Arial"/>
              <w:color w:val="000000" w:themeColor="text1"/>
              <w:sz w:val="20"/>
              <w:szCs w:val="20"/>
              <w:lang w:val="en-US"/>
            </w:rPr>
            <w:t xml:space="preserve"> S, Bergman B, Bullinger M, Cull A, </w:t>
          </w:r>
          <w:proofErr w:type="spellStart"/>
          <w:r w:rsidRPr="00A47775">
            <w:rPr>
              <w:rFonts w:ascii="Arial" w:eastAsia="Times New Roman" w:hAnsi="Arial" w:cs="Arial"/>
              <w:color w:val="000000" w:themeColor="text1"/>
              <w:sz w:val="20"/>
              <w:szCs w:val="20"/>
              <w:lang w:val="en-US"/>
            </w:rPr>
            <w:t>Duez</w:t>
          </w:r>
          <w:proofErr w:type="spellEnd"/>
          <w:r w:rsidRPr="00A47775">
            <w:rPr>
              <w:rFonts w:ascii="Arial" w:eastAsia="Times New Roman" w:hAnsi="Arial" w:cs="Arial"/>
              <w:color w:val="000000" w:themeColor="text1"/>
              <w:sz w:val="20"/>
              <w:szCs w:val="20"/>
              <w:lang w:val="en-US"/>
            </w:rPr>
            <w:t xml:space="preserve"> NJ, et al. The European Organization for Research and Treatment of Cancer QLQ-C30: A Quality-of-Life Instrument for Use in International Clinical Trials in Oncology. JNCI Journal of the National Cancer Institute. 1993;85:365–76.</w:t>
          </w:r>
        </w:p>
        <w:p w14:paraId="68DE6880" w14:textId="77777777" w:rsidR="00715402" w:rsidRPr="00A47775" w:rsidRDefault="00715402" w:rsidP="00ED3FD4">
          <w:pPr>
            <w:spacing w:after="0" w:line="480" w:lineRule="auto"/>
            <w:divId w:val="1822576186"/>
            <w:rPr>
              <w:rFonts w:ascii="Arial" w:eastAsia="Times New Roman" w:hAnsi="Arial" w:cs="Arial"/>
              <w:color w:val="000000" w:themeColor="text1"/>
              <w:sz w:val="20"/>
              <w:szCs w:val="20"/>
              <w:lang w:val="en-US"/>
            </w:rPr>
          </w:pPr>
          <w:r w:rsidRPr="00A47775">
            <w:rPr>
              <w:rFonts w:ascii="Arial" w:eastAsia="Times New Roman" w:hAnsi="Arial" w:cs="Arial"/>
              <w:color w:val="000000" w:themeColor="text1"/>
              <w:sz w:val="20"/>
              <w:szCs w:val="20"/>
              <w:lang w:val="en-US"/>
            </w:rPr>
            <w:lastRenderedPageBreak/>
            <w:t xml:space="preserve">6. Vickery CW, </w:t>
          </w:r>
          <w:proofErr w:type="spellStart"/>
          <w:r w:rsidRPr="00A47775">
            <w:rPr>
              <w:rFonts w:ascii="Arial" w:eastAsia="Times New Roman" w:hAnsi="Arial" w:cs="Arial"/>
              <w:color w:val="000000" w:themeColor="text1"/>
              <w:sz w:val="20"/>
              <w:szCs w:val="20"/>
              <w:lang w:val="en-US"/>
            </w:rPr>
            <w:t>Blazeby</w:t>
          </w:r>
          <w:proofErr w:type="spellEnd"/>
          <w:r w:rsidRPr="00A47775">
            <w:rPr>
              <w:rFonts w:ascii="Arial" w:eastAsia="Times New Roman" w:hAnsi="Arial" w:cs="Arial"/>
              <w:color w:val="000000" w:themeColor="text1"/>
              <w:sz w:val="20"/>
              <w:szCs w:val="20"/>
              <w:lang w:val="en-US"/>
            </w:rPr>
            <w:t xml:space="preserve"> JM, Conroy T, </w:t>
          </w:r>
          <w:proofErr w:type="spellStart"/>
          <w:r w:rsidRPr="00A47775">
            <w:rPr>
              <w:rFonts w:ascii="Arial" w:eastAsia="Times New Roman" w:hAnsi="Arial" w:cs="Arial"/>
              <w:color w:val="000000" w:themeColor="text1"/>
              <w:sz w:val="20"/>
              <w:szCs w:val="20"/>
              <w:lang w:val="en-US"/>
            </w:rPr>
            <w:t>Arraras</w:t>
          </w:r>
          <w:proofErr w:type="spellEnd"/>
          <w:r w:rsidRPr="00A47775">
            <w:rPr>
              <w:rFonts w:ascii="Arial" w:eastAsia="Times New Roman" w:hAnsi="Arial" w:cs="Arial"/>
              <w:color w:val="000000" w:themeColor="text1"/>
              <w:sz w:val="20"/>
              <w:szCs w:val="20"/>
              <w:lang w:val="en-US"/>
            </w:rPr>
            <w:t xml:space="preserve"> J, </w:t>
          </w:r>
          <w:proofErr w:type="spellStart"/>
          <w:r w:rsidRPr="00A47775">
            <w:rPr>
              <w:rFonts w:ascii="Arial" w:eastAsia="Times New Roman" w:hAnsi="Arial" w:cs="Arial"/>
              <w:color w:val="000000" w:themeColor="text1"/>
              <w:sz w:val="20"/>
              <w:szCs w:val="20"/>
              <w:lang w:val="en-US"/>
            </w:rPr>
            <w:t>Sezer</w:t>
          </w:r>
          <w:proofErr w:type="spellEnd"/>
          <w:r w:rsidRPr="00A47775">
            <w:rPr>
              <w:rFonts w:ascii="Arial" w:eastAsia="Times New Roman" w:hAnsi="Arial" w:cs="Arial"/>
              <w:color w:val="000000" w:themeColor="text1"/>
              <w:sz w:val="20"/>
              <w:szCs w:val="20"/>
              <w:lang w:val="en-US"/>
            </w:rPr>
            <w:t xml:space="preserve"> O, Koller M, et al. Development of an EORTC disease-specific quality of life module for use in patients with gastric cancer. </w:t>
          </w:r>
          <w:proofErr w:type="spellStart"/>
          <w:r w:rsidRPr="00A47775">
            <w:rPr>
              <w:rFonts w:ascii="Arial" w:eastAsia="Times New Roman" w:hAnsi="Arial" w:cs="Arial"/>
              <w:color w:val="000000" w:themeColor="text1"/>
              <w:sz w:val="20"/>
              <w:szCs w:val="20"/>
              <w:lang w:val="en-US"/>
            </w:rPr>
            <w:t>Eur</w:t>
          </w:r>
          <w:proofErr w:type="spellEnd"/>
          <w:r w:rsidRPr="00A47775">
            <w:rPr>
              <w:rFonts w:ascii="Arial" w:eastAsia="Times New Roman" w:hAnsi="Arial" w:cs="Arial"/>
              <w:color w:val="000000" w:themeColor="text1"/>
              <w:sz w:val="20"/>
              <w:szCs w:val="20"/>
              <w:lang w:val="en-US"/>
            </w:rPr>
            <w:t xml:space="preserve"> J Cancer. 2001;37:966–71.</w:t>
          </w:r>
        </w:p>
        <w:p w14:paraId="6BB88611" w14:textId="4642723C" w:rsidR="00B22568" w:rsidRPr="00B70F64" w:rsidRDefault="00715402" w:rsidP="00ED3FD4">
          <w:pPr>
            <w:spacing w:after="0" w:line="480" w:lineRule="auto"/>
            <w:divId w:val="456337151"/>
            <w:rPr>
              <w:rFonts w:ascii="Arial" w:eastAsia="Times New Roman" w:hAnsi="Arial" w:cs="Arial"/>
              <w:color w:val="000000" w:themeColor="text1"/>
              <w:sz w:val="20"/>
              <w:szCs w:val="20"/>
            </w:rPr>
          </w:pPr>
          <w:r w:rsidRPr="00A47775">
            <w:rPr>
              <w:rFonts w:ascii="Arial" w:eastAsia="Times New Roman" w:hAnsi="Arial" w:cs="Arial"/>
              <w:color w:val="000000" w:themeColor="text1"/>
              <w:sz w:val="20"/>
              <w:szCs w:val="20"/>
              <w:lang w:val="en-US"/>
            </w:rPr>
            <w:t xml:space="preserve">7. Rabin R, Charro F de. EQ-5D: a measure of health status from the </w:t>
          </w:r>
          <w:proofErr w:type="spellStart"/>
          <w:r w:rsidRPr="00A47775">
            <w:rPr>
              <w:rFonts w:ascii="Arial" w:eastAsia="Times New Roman" w:hAnsi="Arial" w:cs="Arial"/>
              <w:color w:val="000000" w:themeColor="text1"/>
              <w:sz w:val="20"/>
              <w:szCs w:val="20"/>
              <w:lang w:val="en-US"/>
            </w:rPr>
            <w:t>EuroQol</w:t>
          </w:r>
          <w:proofErr w:type="spellEnd"/>
          <w:r w:rsidRPr="00A47775">
            <w:rPr>
              <w:rFonts w:ascii="Arial" w:eastAsia="Times New Roman" w:hAnsi="Arial" w:cs="Arial"/>
              <w:color w:val="000000" w:themeColor="text1"/>
              <w:sz w:val="20"/>
              <w:szCs w:val="20"/>
              <w:lang w:val="en-US"/>
            </w:rPr>
            <w:t xml:space="preserve"> Group. </w:t>
          </w:r>
          <w:r w:rsidRPr="00A47775">
            <w:rPr>
              <w:rFonts w:ascii="Arial" w:eastAsia="Times New Roman" w:hAnsi="Arial" w:cs="Arial"/>
              <w:color w:val="000000" w:themeColor="text1"/>
              <w:sz w:val="20"/>
              <w:szCs w:val="20"/>
            </w:rPr>
            <w:t xml:space="preserve">Ann </w:t>
          </w:r>
          <w:proofErr w:type="spellStart"/>
          <w:r w:rsidRPr="00A47775">
            <w:rPr>
              <w:rFonts w:ascii="Arial" w:eastAsia="Times New Roman" w:hAnsi="Arial" w:cs="Arial"/>
              <w:color w:val="000000" w:themeColor="text1"/>
              <w:sz w:val="20"/>
              <w:szCs w:val="20"/>
            </w:rPr>
            <w:t>Med</w:t>
          </w:r>
          <w:proofErr w:type="spellEnd"/>
          <w:r w:rsidRPr="00A47775">
            <w:rPr>
              <w:rFonts w:ascii="Arial" w:eastAsia="Times New Roman" w:hAnsi="Arial" w:cs="Arial"/>
              <w:color w:val="000000" w:themeColor="text1"/>
              <w:sz w:val="20"/>
              <w:szCs w:val="20"/>
            </w:rPr>
            <w:t>. 2001;33:337–43.</w:t>
          </w:r>
        </w:p>
      </w:sdtContent>
    </w:sdt>
    <w:sectPr w:rsidR="00B22568" w:rsidRPr="00B70F64" w:rsidSect="00803538">
      <w:footerReference w:type="default" r:id="rId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96D87" w14:textId="77777777" w:rsidR="00ED3FD4" w:rsidRDefault="00ED3FD4" w:rsidP="00ED3FD4">
      <w:pPr>
        <w:spacing w:after="0" w:line="240" w:lineRule="auto"/>
      </w:pPr>
      <w:r>
        <w:separator/>
      </w:r>
    </w:p>
  </w:endnote>
  <w:endnote w:type="continuationSeparator" w:id="0">
    <w:p w14:paraId="772DAE97" w14:textId="77777777" w:rsidR="00ED3FD4" w:rsidRDefault="00ED3FD4" w:rsidP="00ED3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956805"/>
      <w:docPartObj>
        <w:docPartGallery w:val="Page Numbers (Bottom of Page)"/>
        <w:docPartUnique/>
      </w:docPartObj>
    </w:sdtPr>
    <w:sdtContent>
      <w:p w14:paraId="24CE1CE6" w14:textId="7190EE60" w:rsidR="00ED3FD4" w:rsidRDefault="00ED3FD4">
        <w:pPr>
          <w:pStyle w:val="Voettekst"/>
          <w:jc w:val="right"/>
        </w:pPr>
        <w:r>
          <w:fldChar w:fldCharType="begin"/>
        </w:r>
        <w:r>
          <w:instrText>PAGE   \* MERGEFORMAT</w:instrText>
        </w:r>
        <w:r>
          <w:fldChar w:fldCharType="separate"/>
        </w:r>
        <w:r>
          <w:t>2</w:t>
        </w:r>
        <w:r>
          <w:fldChar w:fldCharType="end"/>
        </w:r>
      </w:p>
    </w:sdtContent>
  </w:sdt>
  <w:p w14:paraId="4E951EA4" w14:textId="77777777" w:rsidR="00ED3FD4" w:rsidRDefault="00ED3F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0D164" w14:textId="77777777" w:rsidR="00ED3FD4" w:rsidRDefault="00ED3FD4" w:rsidP="00ED3FD4">
      <w:pPr>
        <w:spacing w:after="0" w:line="240" w:lineRule="auto"/>
      </w:pPr>
      <w:r>
        <w:separator/>
      </w:r>
    </w:p>
  </w:footnote>
  <w:footnote w:type="continuationSeparator" w:id="0">
    <w:p w14:paraId="27B658C0" w14:textId="77777777" w:rsidR="00ED3FD4" w:rsidRDefault="00ED3FD4" w:rsidP="00ED3F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53731"/>
    <w:multiLevelType w:val="hybridMultilevel"/>
    <w:tmpl w:val="D7EE6B8C"/>
    <w:lvl w:ilvl="0" w:tplc="0A3A9E3A">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A337290"/>
    <w:multiLevelType w:val="hybridMultilevel"/>
    <w:tmpl w:val="B66838E6"/>
    <w:lvl w:ilvl="0" w:tplc="80362C6E">
      <w:numFmt w:val="bullet"/>
      <w:lvlText w:val="-"/>
      <w:lvlJc w:val="left"/>
      <w:pPr>
        <w:ind w:left="360" w:hanging="360"/>
      </w:pPr>
      <w:rPr>
        <w:rFonts w:ascii="Segoe UI" w:eastAsia="Calibr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B71"/>
    <w:rsid w:val="00044668"/>
    <w:rsid w:val="000F5DB2"/>
    <w:rsid w:val="002F69BE"/>
    <w:rsid w:val="00340F1F"/>
    <w:rsid w:val="004175AA"/>
    <w:rsid w:val="00492AA9"/>
    <w:rsid w:val="006136F7"/>
    <w:rsid w:val="00645DF3"/>
    <w:rsid w:val="00690747"/>
    <w:rsid w:val="00690A6B"/>
    <w:rsid w:val="00715402"/>
    <w:rsid w:val="007A12BB"/>
    <w:rsid w:val="007E5196"/>
    <w:rsid w:val="00803538"/>
    <w:rsid w:val="00821BC7"/>
    <w:rsid w:val="00891B71"/>
    <w:rsid w:val="008A6CA3"/>
    <w:rsid w:val="008F41EC"/>
    <w:rsid w:val="009524B6"/>
    <w:rsid w:val="00A336CA"/>
    <w:rsid w:val="00A33F33"/>
    <w:rsid w:val="00A47775"/>
    <w:rsid w:val="00A519E5"/>
    <w:rsid w:val="00AF3635"/>
    <w:rsid w:val="00B22568"/>
    <w:rsid w:val="00B30FD5"/>
    <w:rsid w:val="00B32EC6"/>
    <w:rsid w:val="00B70F64"/>
    <w:rsid w:val="00BA3C1B"/>
    <w:rsid w:val="00BE6D0A"/>
    <w:rsid w:val="00BF01E9"/>
    <w:rsid w:val="00C06095"/>
    <w:rsid w:val="00C13291"/>
    <w:rsid w:val="00C13DC7"/>
    <w:rsid w:val="00CB536F"/>
    <w:rsid w:val="00CC568D"/>
    <w:rsid w:val="00EC4D3E"/>
    <w:rsid w:val="00ED3FD4"/>
    <w:rsid w:val="00F11C06"/>
    <w:rsid w:val="00F64A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CEC5"/>
  <w15:chartTrackingRefBased/>
  <w15:docId w15:val="{05AFB16E-4F7A-43EF-8F7A-F58CAC77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44668"/>
    <w:pPr>
      <w:spacing w:after="0" w:line="240" w:lineRule="auto"/>
    </w:pPr>
  </w:style>
  <w:style w:type="paragraph" w:customStyle="1" w:styleId="Body">
    <w:name w:val="Body"/>
    <w:rsid w:val="00BE6D0A"/>
    <w:pPr>
      <w:pBdr>
        <w:top w:val="nil"/>
        <w:left w:val="nil"/>
        <w:bottom w:val="nil"/>
        <w:right w:val="nil"/>
        <w:between w:val="nil"/>
        <w:bar w:val="nil"/>
      </w:pBdr>
      <w:spacing w:after="0" w:line="240" w:lineRule="auto"/>
    </w:pPr>
    <w:rPr>
      <w:rFonts w:ascii="Arial" w:eastAsia="Arial Unicode MS" w:hAnsi="Arial" w:cs="Arial Unicode MS"/>
      <w:color w:val="000000"/>
      <w:sz w:val="20"/>
      <w:szCs w:val="20"/>
      <w:u w:color="000000"/>
      <w:bdr w:val="nil"/>
      <w:lang w:val="en-GB"/>
    </w:rPr>
  </w:style>
  <w:style w:type="paragraph" w:styleId="Ballontekst">
    <w:name w:val="Balloon Text"/>
    <w:basedOn w:val="Standaard"/>
    <w:link w:val="BallontekstChar"/>
    <w:uiPriority w:val="99"/>
    <w:semiHidden/>
    <w:unhideWhenUsed/>
    <w:rsid w:val="0069074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90747"/>
    <w:rPr>
      <w:rFonts w:ascii="Segoe UI" w:hAnsi="Segoe UI" w:cs="Segoe UI"/>
      <w:sz w:val="18"/>
      <w:szCs w:val="18"/>
    </w:rPr>
  </w:style>
  <w:style w:type="table" w:styleId="Rastertabel1licht-Accent3">
    <w:name w:val="Grid Table 1 Light Accent 3"/>
    <w:basedOn w:val="Standaardtabel"/>
    <w:uiPriority w:val="46"/>
    <w:rsid w:val="004175A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jsttabel7kleurrijk-Accent6">
    <w:name w:val="List Table 7 Colorful Accent 6"/>
    <w:basedOn w:val="Standaardtabel"/>
    <w:uiPriority w:val="52"/>
    <w:rsid w:val="004175A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4175AA"/>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4175AA"/>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4175AA"/>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3-Accent3">
    <w:name w:val="List Table 3 Accent 3"/>
    <w:basedOn w:val="Standaardtabel"/>
    <w:uiPriority w:val="48"/>
    <w:rsid w:val="004175A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1licht-Accent3">
    <w:name w:val="List Table 1 Light Accent 3"/>
    <w:basedOn w:val="Standaardtabel"/>
    <w:uiPriority w:val="46"/>
    <w:rsid w:val="004175AA"/>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5donker-Accent3">
    <w:name w:val="Grid Table 5 Dark Accent 3"/>
    <w:basedOn w:val="Standaardtabel"/>
    <w:uiPriority w:val="50"/>
    <w:rsid w:val="004175A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Onopgemaaktetabel3">
    <w:name w:val="Plain Table 3"/>
    <w:basedOn w:val="Standaardtabel"/>
    <w:uiPriority w:val="43"/>
    <w:rsid w:val="004175A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raster">
    <w:name w:val="Table Grid"/>
    <w:basedOn w:val="Standaardtabel"/>
    <w:uiPriority w:val="39"/>
    <w:rsid w:val="00417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6kleurrijk-Accent3">
    <w:name w:val="List Table 6 Colorful Accent 3"/>
    <w:basedOn w:val="Standaardtabel"/>
    <w:uiPriority w:val="51"/>
    <w:rsid w:val="004175A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Onopgemaaktetabel4">
    <w:name w:val="Plain Table 4"/>
    <w:basedOn w:val="Standaardtabel"/>
    <w:uiPriority w:val="44"/>
    <w:rsid w:val="004175A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B22568"/>
    <w:rPr>
      <w:color w:val="808080"/>
    </w:rPr>
  </w:style>
  <w:style w:type="character" w:styleId="Regelnummer">
    <w:name w:val="line number"/>
    <w:basedOn w:val="Standaardalinea-lettertype"/>
    <w:uiPriority w:val="99"/>
    <w:semiHidden/>
    <w:unhideWhenUsed/>
    <w:rsid w:val="00803538"/>
  </w:style>
  <w:style w:type="paragraph" w:styleId="Koptekst">
    <w:name w:val="header"/>
    <w:basedOn w:val="Standaard"/>
    <w:link w:val="KoptekstChar"/>
    <w:uiPriority w:val="99"/>
    <w:unhideWhenUsed/>
    <w:rsid w:val="00ED3F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3FD4"/>
  </w:style>
  <w:style w:type="paragraph" w:styleId="Voettekst">
    <w:name w:val="footer"/>
    <w:basedOn w:val="Standaard"/>
    <w:link w:val="VoettekstChar"/>
    <w:uiPriority w:val="99"/>
    <w:unhideWhenUsed/>
    <w:rsid w:val="00ED3F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3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99908">
      <w:bodyDiv w:val="1"/>
      <w:marLeft w:val="0"/>
      <w:marRight w:val="0"/>
      <w:marTop w:val="0"/>
      <w:marBottom w:val="0"/>
      <w:divBdr>
        <w:top w:val="none" w:sz="0" w:space="0" w:color="auto"/>
        <w:left w:val="none" w:sz="0" w:space="0" w:color="auto"/>
        <w:bottom w:val="none" w:sz="0" w:space="0" w:color="auto"/>
        <w:right w:val="none" w:sz="0" w:space="0" w:color="auto"/>
      </w:divBdr>
      <w:divsChild>
        <w:div w:id="1759516955">
          <w:marLeft w:val="0"/>
          <w:marRight w:val="0"/>
          <w:marTop w:val="0"/>
          <w:marBottom w:val="0"/>
          <w:divBdr>
            <w:top w:val="none" w:sz="0" w:space="0" w:color="auto"/>
            <w:left w:val="none" w:sz="0" w:space="0" w:color="auto"/>
            <w:bottom w:val="none" w:sz="0" w:space="0" w:color="auto"/>
            <w:right w:val="none" w:sz="0" w:space="0" w:color="auto"/>
          </w:divBdr>
        </w:div>
        <w:div w:id="969824623">
          <w:marLeft w:val="0"/>
          <w:marRight w:val="0"/>
          <w:marTop w:val="0"/>
          <w:marBottom w:val="0"/>
          <w:divBdr>
            <w:top w:val="none" w:sz="0" w:space="0" w:color="auto"/>
            <w:left w:val="none" w:sz="0" w:space="0" w:color="auto"/>
            <w:bottom w:val="none" w:sz="0" w:space="0" w:color="auto"/>
            <w:right w:val="none" w:sz="0" w:space="0" w:color="auto"/>
          </w:divBdr>
        </w:div>
        <w:div w:id="756905857">
          <w:marLeft w:val="0"/>
          <w:marRight w:val="0"/>
          <w:marTop w:val="0"/>
          <w:marBottom w:val="0"/>
          <w:divBdr>
            <w:top w:val="none" w:sz="0" w:space="0" w:color="auto"/>
            <w:left w:val="none" w:sz="0" w:space="0" w:color="auto"/>
            <w:bottom w:val="none" w:sz="0" w:space="0" w:color="auto"/>
            <w:right w:val="none" w:sz="0" w:space="0" w:color="auto"/>
          </w:divBdr>
        </w:div>
        <w:div w:id="796530888">
          <w:marLeft w:val="0"/>
          <w:marRight w:val="0"/>
          <w:marTop w:val="0"/>
          <w:marBottom w:val="0"/>
          <w:divBdr>
            <w:top w:val="none" w:sz="0" w:space="0" w:color="auto"/>
            <w:left w:val="none" w:sz="0" w:space="0" w:color="auto"/>
            <w:bottom w:val="none" w:sz="0" w:space="0" w:color="auto"/>
            <w:right w:val="none" w:sz="0" w:space="0" w:color="auto"/>
          </w:divBdr>
        </w:div>
        <w:div w:id="1094939615">
          <w:marLeft w:val="0"/>
          <w:marRight w:val="0"/>
          <w:marTop w:val="0"/>
          <w:marBottom w:val="0"/>
          <w:divBdr>
            <w:top w:val="none" w:sz="0" w:space="0" w:color="auto"/>
            <w:left w:val="none" w:sz="0" w:space="0" w:color="auto"/>
            <w:bottom w:val="none" w:sz="0" w:space="0" w:color="auto"/>
            <w:right w:val="none" w:sz="0" w:space="0" w:color="auto"/>
          </w:divBdr>
        </w:div>
        <w:div w:id="1822576186">
          <w:marLeft w:val="0"/>
          <w:marRight w:val="0"/>
          <w:marTop w:val="0"/>
          <w:marBottom w:val="0"/>
          <w:divBdr>
            <w:top w:val="none" w:sz="0" w:space="0" w:color="auto"/>
            <w:left w:val="none" w:sz="0" w:space="0" w:color="auto"/>
            <w:bottom w:val="none" w:sz="0" w:space="0" w:color="auto"/>
            <w:right w:val="none" w:sz="0" w:space="0" w:color="auto"/>
          </w:divBdr>
        </w:div>
        <w:div w:id="456337151">
          <w:marLeft w:val="0"/>
          <w:marRight w:val="0"/>
          <w:marTop w:val="0"/>
          <w:marBottom w:val="0"/>
          <w:divBdr>
            <w:top w:val="none" w:sz="0" w:space="0" w:color="auto"/>
            <w:left w:val="none" w:sz="0" w:space="0" w:color="auto"/>
            <w:bottom w:val="none" w:sz="0" w:space="0" w:color="auto"/>
            <w:right w:val="none" w:sz="0" w:space="0" w:color="auto"/>
          </w:divBdr>
        </w:div>
      </w:divsChild>
    </w:div>
    <w:div w:id="657002030">
      <w:bodyDiv w:val="1"/>
      <w:marLeft w:val="0"/>
      <w:marRight w:val="0"/>
      <w:marTop w:val="0"/>
      <w:marBottom w:val="0"/>
      <w:divBdr>
        <w:top w:val="none" w:sz="0" w:space="0" w:color="auto"/>
        <w:left w:val="none" w:sz="0" w:space="0" w:color="auto"/>
        <w:bottom w:val="none" w:sz="0" w:space="0" w:color="auto"/>
        <w:right w:val="none" w:sz="0" w:space="0" w:color="auto"/>
      </w:divBdr>
      <w:divsChild>
        <w:div w:id="1502694700">
          <w:marLeft w:val="0"/>
          <w:marRight w:val="0"/>
          <w:marTop w:val="0"/>
          <w:marBottom w:val="0"/>
          <w:divBdr>
            <w:top w:val="none" w:sz="0" w:space="0" w:color="auto"/>
            <w:left w:val="none" w:sz="0" w:space="0" w:color="auto"/>
            <w:bottom w:val="none" w:sz="0" w:space="0" w:color="auto"/>
            <w:right w:val="none" w:sz="0" w:space="0" w:color="auto"/>
          </w:divBdr>
        </w:div>
        <w:div w:id="622081402">
          <w:marLeft w:val="0"/>
          <w:marRight w:val="0"/>
          <w:marTop w:val="0"/>
          <w:marBottom w:val="0"/>
          <w:divBdr>
            <w:top w:val="none" w:sz="0" w:space="0" w:color="auto"/>
            <w:left w:val="none" w:sz="0" w:space="0" w:color="auto"/>
            <w:bottom w:val="none" w:sz="0" w:space="0" w:color="auto"/>
            <w:right w:val="none" w:sz="0" w:space="0" w:color="auto"/>
          </w:divBdr>
        </w:div>
        <w:div w:id="828136471">
          <w:marLeft w:val="0"/>
          <w:marRight w:val="0"/>
          <w:marTop w:val="0"/>
          <w:marBottom w:val="0"/>
          <w:divBdr>
            <w:top w:val="none" w:sz="0" w:space="0" w:color="auto"/>
            <w:left w:val="none" w:sz="0" w:space="0" w:color="auto"/>
            <w:bottom w:val="none" w:sz="0" w:space="0" w:color="auto"/>
            <w:right w:val="none" w:sz="0" w:space="0" w:color="auto"/>
          </w:divBdr>
        </w:div>
        <w:div w:id="2124375424">
          <w:marLeft w:val="0"/>
          <w:marRight w:val="0"/>
          <w:marTop w:val="0"/>
          <w:marBottom w:val="0"/>
          <w:divBdr>
            <w:top w:val="none" w:sz="0" w:space="0" w:color="auto"/>
            <w:left w:val="none" w:sz="0" w:space="0" w:color="auto"/>
            <w:bottom w:val="none" w:sz="0" w:space="0" w:color="auto"/>
            <w:right w:val="none" w:sz="0" w:space="0" w:color="auto"/>
          </w:divBdr>
        </w:div>
        <w:div w:id="129711566">
          <w:marLeft w:val="0"/>
          <w:marRight w:val="0"/>
          <w:marTop w:val="0"/>
          <w:marBottom w:val="0"/>
          <w:divBdr>
            <w:top w:val="none" w:sz="0" w:space="0" w:color="auto"/>
            <w:left w:val="none" w:sz="0" w:space="0" w:color="auto"/>
            <w:bottom w:val="none" w:sz="0" w:space="0" w:color="auto"/>
            <w:right w:val="none" w:sz="0" w:space="0" w:color="auto"/>
          </w:divBdr>
        </w:div>
        <w:div w:id="619340495">
          <w:marLeft w:val="0"/>
          <w:marRight w:val="0"/>
          <w:marTop w:val="0"/>
          <w:marBottom w:val="0"/>
          <w:divBdr>
            <w:top w:val="none" w:sz="0" w:space="0" w:color="auto"/>
            <w:left w:val="none" w:sz="0" w:space="0" w:color="auto"/>
            <w:bottom w:val="none" w:sz="0" w:space="0" w:color="auto"/>
            <w:right w:val="none" w:sz="0" w:space="0" w:color="auto"/>
          </w:divBdr>
        </w:div>
        <w:div w:id="1464958696">
          <w:marLeft w:val="0"/>
          <w:marRight w:val="0"/>
          <w:marTop w:val="0"/>
          <w:marBottom w:val="0"/>
          <w:divBdr>
            <w:top w:val="none" w:sz="0" w:space="0" w:color="auto"/>
            <w:left w:val="none" w:sz="0" w:space="0" w:color="auto"/>
            <w:bottom w:val="none" w:sz="0" w:space="0" w:color="auto"/>
            <w:right w:val="none" w:sz="0" w:space="0" w:color="auto"/>
          </w:divBdr>
        </w:div>
      </w:divsChild>
    </w:div>
    <w:div w:id="893662988">
      <w:bodyDiv w:val="1"/>
      <w:marLeft w:val="0"/>
      <w:marRight w:val="0"/>
      <w:marTop w:val="0"/>
      <w:marBottom w:val="0"/>
      <w:divBdr>
        <w:top w:val="none" w:sz="0" w:space="0" w:color="auto"/>
        <w:left w:val="none" w:sz="0" w:space="0" w:color="auto"/>
        <w:bottom w:val="none" w:sz="0" w:space="0" w:color="auto"/>
        <w:right w:val="none" w:sz="0" w:space="0" w:color="auto"/>
      </w:divBdr>
      <w:divsChild>
        <w:div w:id="1345592465">
          <w:marLeft w:val="0"/>
          <w:marRight w:val="0"/>
          <w:marTop w:val="0"/>
          <w:marBottom w:val="0"/>
          <w:divBdr>
            <w:top w:val="none" w:sz="0" w:space="0" w:color="auto"/>
            <w:left w:val="none" w:sz="0" w:space="0" w:color="auto"/>
            <w:bottom w:val="none" w:sz="0" w:space="0" w:color="auto"/>
            <w:right w:val="none" w:sz="0" w:space="0" w:color="auto"/>
          </w:divBdr>
        </w:div>
        <w:div w:id="1679886700">
          <w:marLeft w:val="0"/>
          <w:marRight w:val="0"/>
          <w:marTop w:val="0"/>
          <w:marBottom w:val="0"/>
          <w:divBdr>
            <w:top w:val="none" w:sz="0" w:space="0" w:color="auto"/>
            <w:left w:val="none" w:sz="0" w:space="0" w:color="auto"/>
            <w:bottom w:val="none" w:sz="0" w:space="0" w:color="auto"/>
            <w:right w:val="none" w:sz="0" w:space="0" w:color="auto"/>
          </w:divBdr>
        </w:div>
        <w:div w:id="280575856">
          <w:marLeft w:val="0"/>
          <w:marRight w:val="0"/>
          <w:marTop w:val="0"/>
          <w:marBottom w:val="0"/>
          <w:divBdr>
            <w:top w:val="none" w:sz="0" w:space="0" w:color="auto"/>
            <w:left w:val="none" w:sz="0" w:space="0" w:color="auto"/>
            <w:bottom w:val="none" w:sz="0" w:space="0" w:color="auto"/>
            <w:right w:val="none" w:sz="0" w:space="0" w:color="auto"/>
          </w:divBdr>
        </w:div>
        <w:div w:id="1411192250">
          <w:marLeft w:val="0"/>
          <w:marRight w:val="0"/>
          <w:marTop w:val="0"/>
          <w:marBottom w:val="0"/>
          <w:divBdr>
            <w:top w:val="none" w:sz="0" w:space="0" w:color="auto"/>
            <w:left w:val="none" w:sz="0" w:space="0" w:color="auto"/>
            <w:bottom w:val="none" w:sz="0" w:space="0" w:color="auto"/>
            <w:right w:val="none" w:sz="0" w:space="0" w:color="auto"/>
          </w:divBdr>
        </w:div>
        <w:div w:id="28268539">
          <w:marLeft w:val="0"/>
          <w:marRight w:val="0"/>
          <w:marTop w:val="0"/>
          <w:marBottom w:val="0"/>
          <w:divBdr>
            <w:top w:val="none" w:sz="0" w:space="0" w:color="auto"/>
            <w:left w:val="none" w:sz="0" w:space="0" w:color="auto"/>
            <w:bottom w:val="none" w:sz="0" w:space="0" w:color="auto"/>
            <w:right w:val="none" w:sz="0" w:space="0" w:color="auto"/>
          </w:divBdr>
        </w:div>
        <w:div w:id="1474299144">
          <w:marLeft w:val="0"/>
          <w:marRight w:val="0"/>
          <w:marTop w:val="0"/>
          <w:marBottom w:val="0"/>
          <w:divBdr>
            <w:top w:val="none" w:sz="0" w:space="0" w:color="auto"/>
            <w:left w:val="none" w:sz="0" w:space="0" w:color="auto"/>
            <w:bottom w:val="none" w:sz="0" w:space="0" w:color="auto"/>
            <w:right w:val="none" w:sz="0" w:space="0" w:color="auto"/>
          </w:divBdr>
        </w:div>
        <w:div w:id="405879053">
          <w:marLeft w:val="0"/>
          <w:marRight w:val="0"/>
          <w:marTop w:val="0"/>
          <w:marBottom w:val="0"/>
          <w:divBdr>
            <w:top w:val="none" w:sz="0" w:space="0" w:color="auto"/>
            <w:left w:val="none" w:sz="0" w:space="0" w:color="auto"/>
            <w:bottom w:val="none" w:sz="0" w:space="0" w:color="auto"/>
            <w:right w:val="none" w:sz="0" w:space="0" w:color="auto"/>
          </w:divBdr>
        </w:div>
      </w:divsChild>
    </w:div>
    <w:div w:id="1897206711">
      <w:bodyDiv w:val="1"/>
      <w:marLeft w:val="0"/>
      <w:marRight w:val="0"/>
      <w:marTop w:val="0"/>
      <w:marBottom w:val="0"/>
      <w:divBdr>
        <w:top w:val="none" w:sz="0" w:space="0" w:color="auto"/>
        <w:left w:val="none" w:sz="0" w:space="0" w:color="auto"/>
        <w:bottom w:val="none" w:sz="0" w:space="0" w:color="auto"/>
        <w:right w:val="none" w:sz="0" w:space="0" w:color="auto"/>
      </w:divBdr>
      <w:divsChild>
        <w:div w:id="1208101296">
          <w:marLeft w:val="0"/>
          <w:marRight w:val="0"/>
          <w:marTop w:val="0"/>
          <w:marBottom w:val="0"/>
          <w:divBdr>
            <w:top w:val="none" w:sz="0" w:space="0" w:color="auto"/>
            <w:left w:val="none" w:sz="0" w:space="0" w:color="auto"/>
            <w:bottom w:val="none" w:sz="0" w:space="0" w:color="auto"/>
            <w:right w:val="none" w:sz="0" w:space="0" w:color="auto"/>
          </w:divBdr>
        </w:div>
        <w:div w:id="1736119873">
          <w:marLeft w:val="0"/>
          <w:marRight w:val="0"/>
          <w:marTop w:val="0"/>
          <w:marBottom w:val="0"/>
          <w:divBdr>
            <w:top w:val="none" w:sz="0" w:space="0" w:color="auto"/>
            <w:left w:val="none" w:sz="0" w:space="0" w:color="auto"/>
            <w:bottom w:val="none" w:sz="0" w:space="0" w:color="auto"/>
            <w:right w:val="none" w:sz="0" w:space="0" w:color="auto"/>
          </w:divBdr>
        </w:div>
        <w:div w:id="1386873193">
          <w:marLeft w:val="0"/>
          <w:marRight w:val="0"/>
          <w:marTop w:val="0"/>
          <w:marBottom w:val="0"/>
          <w:divBdr>
            <w:top w:val="none" w:sz="0" w:space="0" w:color="auto"/>
            <w:left w:val="none" w:sz="0" w:space="0" w:color="auto"/>
            <w:bottom w:val="none" w:sz="0" w:space="0" w:color="auto"/>
            <w:right w:val="none" w:sz="0" w:space="0" w:color="auto"/>
          </w:divBdr>
        </w:div>
        <w:div w:id="538081333">
          <w:marLeft w:val="0"/>
          <w:marRight w:val="0"/>
          <w:marTop w:val="0"/>
          <w:marBottom w:val="0"/>
          <w:divBdr>
            <w:top w:val="none" w:sz="0" w:space="0" w:color="auto"/>
            <w:left w:val="none" w:sz="0" w:space="0" w:color="auto"/>
            <w:bottom w:val="none" w:sz="0" w:space="0" w:color="auto"/>
            <w:right w:val="none" w:sz="0" w:space="0" w:color="auto"/>
          </w:divBdr>
        </w:div>
        <w:div w:id="746221336">
          <w:marLeft w:val="0"/>
          <w:marRight w:val="0"/>
          <w:marTop w:val="0"/>
          <w:marBottom w:val="0"/>
          <w:divBdr>
            <w:top w:val="none" w:sz="0" w:space="0" w:color="auto"/>
            <w:left w:val="none" w:sz="0" w:space="0" w:color="auto"/>
            <w:bottom w:val="none" w:sz="0" w:space="0" w:color="auto"/>
            <w:right w:val="none" w:sz="0" w:space="0" w:color="auto"/>
          </w:divBdr>
        </w:div>
        <w:div w:id="72549050">
          <w:marLeft w:val="0"/>
          <w:marRight w:val="0"/>
          <w:marTop w:val="0"/>
          <w:marBottom w:val="0"/>
          <w:divBdr>
            <w:top w:val="none" w:sz="0" w:space="0" w:color="auto"/>
            <w:left w:val="none" w:sz="0" w:space="0" w:color="auto"/>
            <w:bottom w:val="none" w:sz="0" w:space="0" w:color="auto"/>
            <w:right w:val="none" w:sz="0" w:space="0" w:color="auto"/>
          </w:divBdr>
        </w:div>
        <w:div w:id="273440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35FB69B-71F0-400A-8E48-944CE26A9CA2}"/>
      </w:docPartPr>
      <w:docPartBody>
        <w:p w:rsidR="008B1DE4" w:rsidRDefault="00D23BB6">
          <w:r w:rsidRPr="00A7773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BB6"/>
    <w:rsid w:val="008B1DE4"/>
    <w:rsid w:val="00D23B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23BB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33723B2-C434-4CEA-8BD2-8F1586B2F1AB}">
  <we:reference id="f78a3046-9e99-4300-aa2b-5814002b01a2" version="1.46.0.0" store="EXCatalog" storeType="EXCatalog"/>
  <we:alternateReferences>
    <we:reference id="WA104382081" version="1.46.0.0" store="nl-NL" storeType="OMEX"/>
  </we:alternateReferences>
  <we:properties>
    <we:property name="MENDELEY_CITATIONS" value="[{&quot;citationID&quot;:&quot;MENDELEY_CITATION_f1367561-9094-47e4-bc06-b5bfcb004560&quot;,&quot;properties&quot;:{&quot;noteIndex&quot;:0},&quot;isEdited&quot;:false,&quot;manualOverride&quot;:{&quot;citeprocText&quot;:&quot;[1]&quot;,&quot;isManuallyOverridden&quot;:false,&quot;manualOverrideText&quot;:&quot;&quot;},&quot;citationTag&quot;:&quot;MENDELEY_CITATION_v3_eyJjaXRhdGlvbklEIjoiTUVOREVMRVlfQ0lUQVRJT05fZjEzNjc1NjEtOTA5NC00N2U0LWJjMDYtYjViZmNiMDA0NTYwIiwicHJvcGVydGllcyI6eyJub3RlSW5kZXgiOjB9LCJpc0VkaXRlZCI6ZmFsc2UsIm1hbnVhbE92ZXJyaWRlIjp7ImNpdGVwcm9jVGV4dCI6IlsxXSIsImlzTWFudWFsbHlPdmVycmlkZGVuIjpmYWxzZSwibWFudWFsT3ZlcnJpZGVUZXh0IjoiIn0sImNpdGF0aW9uSXRlbXMiOlt7ImlkIjoiOWE4ZDQzYzctOWMyNC0zODcwLWI2ZmItMmFmMjExYWJkNDdlIiwiaXRlbURhdGEiOnsiRE9JIjoiMTAuMTAxNi9TMDAwMi05MjcwKDAxKTAzOTg1LTUiLCJJU1NOIjoiMDAwMjkyNzAiLCJhdXRob3IiOlt7ImRyb3BwaW5nLXBhcnRpY2xlIjoiIiwiZmFtaWx5IjoiQWRsZXIiLCJnaXZlbiI6IkQiLCJub24tZHJvcHBpbmctcGFydGljbGUiOiIiLCJwYXJzZS1uYW1lcyI6ZmFsc2UsInN1ZmZpeCI6IiJ9XSwiY29udGFpbmVyLXRpdGxlIjoiVGhlIEFtZXJpY2FuIEpvdXJuYWwgb2YgR2FzdHJvZW50ZXJvbG9neSIsImlkIjoiOWE4ZDQzYzctOWMyNC0zODcwLWI2ZmItMmFmMjExYWJkNDdlIiwiaXNzdWUiOiIxIiwiaXNzdWVkIjp7ImRhdGUtcGFydHMiOltbIjIwMDIiLCIxIl1dfSwicGFnZSI6IjcyLTc4IiwidGl0bGUiOiJFbmRvc2NvcGljIHBhbGxpYXRpb24gb2YgbWFsaWduYW50IGdhc3RyaWMgb3V0bGV0IG9ic3RydWN0aW9uIHVzaW5nIHNlbGYtZXhwYW5kaW5nIG1ldGFsIHN0ZW50czogZXhwZXJpZW5jZSBpbiAzNiBwYXRpZW50cyIsInR5cGUiOiJhcnRpY2xlLWpvdXJuYWwiLCJ2b2x1bWUiOiI5NyIsImNvbnRhaW5lci10aXRsZS1zaG9ydCI6IkFtIEogR2FzdHJvZW50ZXJvbCJ9LCJ1cmlzIjpbImh0dHA6Ly93d3cubWVuZGVsZXkuY29tL2RvY3VtZW50cy8/dXVpZD0zY2E2YmY0NS1hYTEwLTQxNTMtOTk5YS1jMDVhNmJhZDkxMDQiXSwiaXNUZW1wb3JhcnkiOmZhbHNlLCJsZWdhY3lEZXNrdG9wSWQiOiIzY2E2YmY0NS1hYTEwLTQxNTMtOTk5YS1jMDVhNmJhZDkxMDQifV19&quot;,&quot;citationItems&quot;:[{&quot;id&quot;:&quot;9a8d43c7-9c24-3870-b6fb-2af211abd47e&quot;,&quot;itemData&quot;:{&quot;DOI&quot;:&quot;10.1016/S0002-9270(01)03985-5&quot;,&quot;ISSN&quot;:&quot;00029270&quot;,&quot;author&quot;:[{&quot;dropping-particle&quot;:&quot;&quot;,&quot;family&quot;:&quot;Adler&quot;,&quot;given&quot;:&quot;D&quot;,&quot;non-dropping-particle&quot;:&quot;&quot;,&quot;parse-names&quot;:false,&quot;suffix&quot;:&quot;&quot;}],&quot;container-title&quot;:&quot;The American Journal of Gastroenterology&quot;,&quot;id&quot;:&quot;9a8d43c7-9c24-3870-b6fb-2af211abd47e&quot;,&quot;issue&quot;:&quot;1&quot;,&quot;issued&quot;:{&quot;date-parts&quot;:[[&quot;2002&quot;,&quot;1&quot;]]},&quot;page&quot;:&quot;72-78&quot;,&quot;title&quot;:&quot;Endoscopic palliation of malignant gastric outlet obstruction using self-expanding metal stents: experience in 36 patients&quot;,&quot;type&quot;:&quot;article-journal&quot;,&quot;volume&quot;:&quot;97&quot;,&quot;container-title-short&quot;:&quot;Am J Gastroenterol&quot;},&quot;uris&quot;:[&quot;http://www.mendeley.com/documents/?uuid=3ca6bf45-aa10-4153-999a-c05a6bad9104&quot;],&quot;isTemporary&quot;:false,&quot;legacyDesktopId&quot;:&quot;3ca6bf45-aa10-4153-999a-c05a6bad9104&quot;}]},{&quot;citationID&quot;:&quot;MENDELEY_CITATION_308a3c07-fc19-4ea7-8f34-ec39b2658df1&quot;,&quot;properties&quot;:{&quot;noteIndex&quot;:0},&quot;isEdited&quot;:false,&quot;manualOverride&quot;:{&quot;citeprocText&quot;:&quot;[1]&quot;,&quot;isManuallyOverridden&quot;:false,&quot;manualOverrideText&quot;:&quot;&quot;},&quot;citationTag&quot;:&quot;MENDELEY_CITATION_v3_eyJjaXRhdGlvbklEIjoiTUVOREVMRVlfQ0lUQVRJT05fMzA4YTNjMDctZmMxOS00ZWE3LThmMzQtZWMzOWIyNjU4ZGYxIiwicHJvcGVydGllcyI6eyJub3RlSW5kZXgiOjB9LCJpc0VkaXRlZCI6ZmFsc2UsIm1hbnVhbE92ZXJyaWRlIjp7ImNpdGVwcm9jVGV4dCI6IlsxXSIsImlzTWFudWFsbHlPdmVycmlkZGVuIjpmYWxzZSwibWFudWFsT3ZlcnJpZGVUZXh0IjoiIn0sImNpdGF0aW9uSXRlbXMiOlt7ImlkIjoiOWE4ZDQzYzctOWMyNC0zODcwLWI2ZmItMmFmMjExYWJkNDdlIiwiaXRlbURhdGEiOnsiRE9JIjoiMTAuMTAxNi9TMDAwMi05MjcwKDAxKTAzOTg1LTUiLCJJU1NOIjoiMDAwMjkyNzAiLCJhdXRob3IiOlt7ImRyb3BwaW5nLXBhcnRpY2xlIjoiIiwiZmFtaWx5IjoiQWRsZXIiLCJnaXZlbiI6IkQiLCJub24tZHJvcHBpbmctcGFydGljbGUiOiIiLCJwYXJzZS1uYW1lcyI6ZmFsc2UsInN1ZmZpeCI6IiJ9XSwiY29udGFpbmVyLXRpdGxlIjoiVGhlIEFtZXJpY2FuIEpvdXJuYWwgb2YgR2FzdHJvZW50ZXJvbG9neSIsImlkIjoiOWE4ZDQzYzctOWMyNC0zODcwLWI2ZmItMmFmMjExYWJkNDdlIiwiaXNzdWUiOiIxIiwiaXNzdWVkIjp7ImRhdGUtcGFydHMiOltbIjIwMDIiLCIxIl1dfSwicGFnZSI6IjcyLTc4IiwidGl0bGUiOiJFbmRvc2NvcGljIHBhbGxpYXRpb24gb2YgbWFsaWduYW50IGdhc3RyaWMgb3V0bGV0IG9ic3RydWN0aW9uIHVzaW5nIHNlbGYtZXhwYW5kaW5nIG1ldGFsIHN0ZW50czogZXhwZXJpZW5jZSBpbiAzNiBwYXRpZW50cyIsInR5cGUiOiJhcnRpY2xlLWpvdXJuYWwiLCJ2b2x1bWUiOiI5NyIsImNvbnRhaW5lci10aXRsZS1zaG9ydCI6IkFtIEogR2FzdHJvZW50ZXJvbCJ9LCJ1cmlzIjpbImh0dHA6Ly93d3cubWVuZGVsZXkuY29tL2RvY3VtZW50cy8/dXVpZD0zY2E2YmY0NS1hYTEwLTQxNTMtOTk5YS1jMDVhNmJhZDkxMDQiXSwiaXNUZW1wb3JhcnkiOmZhbHNlLCJsZWdhY3lEZXNrdG9wSWQiOiIzY2E2YmY0NS1hYTEwLTQxNTMtOTk5YS1jMDVhNmJhZDkxMDQifV19&quot;,&quot;citationItems&quot;:[{&quot;id&quot;:&quot;9a8d43c7-9c24-3870-b6fb-2af211abd47e&quot;,&quot;itemData&quot;:{&quot;DOI&quot;:&quot;10.1016/S0002-9270(01)03985-5&quot;,&quot;ISSN&quot;:&quot;00029270&quot;,&quot;author&quot;:[{&quot;dropping-particle&quot;:&quot;&quot;,&quot;family&quot;:&quot;Adler&quot;,&quot;given&quot;:&quot;D&quot;,&quot;non-dropping-particle&quot;:&quot;&quot;,&quot;parse-names&quot;:false,&quot;suffix&quot;:&quot;&quot;}],&quot;container-title&quot;:&quot;The American Journal of Gastroenterology&quot;,&quot;id&quot;:&quot;9a8d43c7-9c24-3870-b6fb-2af211abd47e&quot;,&quot;issue&quot;:&quot;1&quot;,&quot;issued&quot;:{&quot;date-parts&quot;:[[&quot;2002&quot;,&quot;1&quot;]]},&quot;page&quot;:&quot;72-78&quot;,&quot;title&quot;:&quot;Endoscopic palliation of malignant gastric outlet obstruction using self-expanding metal stents: experience in 36 patients&quot;,&quot;type&quot;:&quot;article-journal&quot;,&quot;volume&quot;:&quot;97&quot;,&quot;container-title-short&quot;:&quot;Am J Gastroenterol&quot;},&quot;uris&quot;:[&quot;http://www.mendeley.com/documents/?uuid=3ca6bf45-aa10-4153-999a-c05a6bad9104&quot;],&quot;isTemporary&quot;:false,&quot;legacyDesktopId&quot;:&quot;3ca6bf45-aa10-4153-999a-c05a6bad9104&quot;}]},{&quot;citationID&quot;:&quot;MENDELEY_CITATION_3cf30598-bf91-44ca-a5e8-5f34a13d0ba9&quot;,&quot;properties&quot;:{&quot;noteIndex&quot;:0},&quot;isEdited&quot;:false,&quot;manualOverride&quot;:{&quot;citeprocText&quot;:&quot;[2]&quot;,&quot;isManuallyOverridden&quot;:false,&quot;manualOverrideText&quot;:&quot;&quot;},&quot;citationTag&quot;:&quot;MENDELEY_CITATION_v3_eyJjaXRhdGlvbklEIjoiTUVOREVMRVlfQ0lUQVRJT05fM2NmMzA1OTgtYmY5MS00NGNhLWE1ZTgtNWYzNGExM2QwYmE5IiwicHJvcGVydGllcyI6eyJub3RlSW5kZXgiOjB9LCJpc0VkaXRlZCI6ZmFsc2UsIm1hbnVhbE92ZXJyaWRlIjp7ImNpdGVwcm9jVGV4dCI6IlsyXSIsImlzTWFudWFsbHlPdmVycmlkZGVuIjpmYWxzZSwibWFudWFsT3ZlcnJpZGVUZXh0IjoiIn0sImNpdGF0aW9uSXRlbXMiOlt7ImlkIjoiZmE2ZGQyMmUtNTkxZC0zNDE4LTgzM2UtMzQ1YWRlZGZkYWRmIiwiaXRlbURhdGEiOnsiRE9JIjoiMTAuMTAxNi9qLmdpZS4yMDA5LjEwLjAyNyIsIklTU04iOiIwMDE2NTEwNyIsIlBNSUQiOiIyMDE4OTUwMyIsImF1dGhvciI6W3siZHJvcHBpbmctcGFydGljbGUiOiIiLCJmYW1pbHkiOiJDb3R0b24iLCJnaXZlbiI6IlBldGVyIEIuIiwibm9uLWRyb3BwaW5nLXBhcnRpY2xlIjoiIiwicGFyc2UtbmFtZXMiOmZhbHNlLCJzdWZmaXgiOiIifSx7ImRyb3BwaW5nLXBhcnRpY2xlIjoiIiwiZmFtaWx5IjoiRWlzZW4iLCJnaXZlbiI6IkdsZW5uIE0uIiwibm9uLWRyb3BwaW5nLXBhcnRpY2xlIjoiIiwicGFyc2UtbmFtZXMiOmZhbHNlLCJzdWZmaXgiOiIifSx7ImRyb3BwaW5nLXBhcnRpY2xlIjoiIiwiZmFtaWx5IjoiQWFiYWtrZW4iLCJnaXZlbiI6IkxhcnMiLCJub24tZHJvcHBpbmctcGFydGljbGUiOiIiLCJwYXJzZS1uYW1lcyI6ZmFsc2UsInN1ZmZpeCI6IiJ9LHsiZHJvcHBpbmctcGFydGljbGUiOiIiLCJmYW1pbHkiOiJCYXJvbiIsImdpdmVuIjoiVG9kZCBILiIsIm5vbi1kcm9wcGluZy1wYXJ0aWNsZSI6IiIsInBhcnNlLW5hbWVzIjpmYWxzZSwic3VmZml4IjoiIn0seyJkcm9wcGluZy1wYXJ0aWNsZSI6IiIsImZhbWlseSI6Ikh1dHRlciIsImdpdmVuIjoiTWF0dCBNLiIsIm5vbi1kcm9wcGluZy1wYXJ0aWNsZSI6IiIsInBhcnNlLW5hbWVzIjpmYWxzZSwic3VmZml4IjoiIn0seyJkcm9wcGluZy1wYXJ0aWNsZSI6IiIsImZhbWlseSI6IkphY29ic29uIiwiZ2l2ZW4iOiJCcmlhbiBDLiIsIm5vbi1kcm9wcGluZy1wYXJ0aWNsZSI6IiIsInBhcnNlLW5hbWVzIjpmYWxzZSwic3VmZml4IjoiIn0seyJkcm9wcGluZy1wYXJ0aWNsZSI6IiIsImZhbWlseSI6Ik1lcmdlbmVyIiwiZ2l2ZW4iOiJLbGF1cyIsIm5vbi1kcm9wcGluZy1wYXJ0aWNsZSI6IiIsInBhcnNlLW5hbWVzIjpmYWxzZSwic3VmZml4IjoiIn0seyJkcm9wcGluZy1wYXJ0aWNsZSI6IiIsImZhbWlseSI6Ik5lbWNlayIsImdpdmVuIjoiQWxiZXJ0Iiwibm9uLWRyb3BwaW5nLXBhcnRpY2xlIjoiIiwicGFyc2UtbmFtZXMiOmZhbHNlLCJzdWZmaXgiOiIifSx7ImRyb3BwaW5nLXBhcnRpY2xlIjoiIiwiZmFtaWx5IjoiUGV0ZXJzZW4iLCJnaXZlbiI6IkJyZXQgVC4iLCJub24tZHJvcHBpbmctcGFydGljbGUiOiIiLCJwYXJzZS1uYW1lcyI6ZmFsc2UsInN1ZmZpeCI6IiJ9LHsiZHJvcHBpbmctcGFydGljbGUiOiIiLCJmYW1pbHkiOiJQZXRyaW5pIiwiZ2l2ZW4iOiJKb2huIEwuIiwibm9uLWRyb3BwaW5nLXBhcnRpY2xlIjoiIiwicGFyc2UtbmFtZXMiOmZhbHNlLCJzdWZmaXgiOiIifSx7ImRyb3BwaW5nLXBhcnRpY2xlIjoiIiwiZmFtaWx5IjoiUGlrZSIsImdpdmVuIjoiSXJ2aW5nIE0uIiwibm9uLWRyb3BwaW5nLXBhcnRpY2xlIjoiIiwicGFyc2UtbmFtZXMiOmZhbHNlLCJzdWZmaXgiOiIifSx7ImRyb3BwaW5nLXBhcnRpY2xlIjoiIiwiZmFtaWx5IjoiUmFiZW5lY2siLCJnaXZlbiI6IkxpbmRhIiwibm9uLWRyb3BwaW5nLXBhcnRpY2xlIjoiIiwicGFyc2UtbmFtZXMiOmZhbHNlLCJzdWZmaXgiOiIifSx7ImRyb3BwaW5nLXBhcnRpY2xlIjoiIiwiZmFtaWx5IjoiUm9tYWdudW9sbyIsImdpdmVuIjoiSm9zZXBoIiwibm9uLWRyb3BwaW5nLXBhcnRpY2xlIjoiIiwicGFyc2UtbmFtZXMiOmZhbHNlLCJzdWZmaXgiOiIifSx7ImRyb3BwaW5nLXBhcnRpY2xlIjoiIiwiZmFtaWx5IjoiVmFyZ28iLCJnaXZlbiI6IkpvaG4gSi4iLCJub24tZHJvcHBpbmctcGFydGljbGUiOiIiLCJwYXJzZS1uYW1lcyI6ZmFsc2UsInN1ZmZpeCI6IiJ9XSwiY29udGFpbmVyLXRpdGxlIjoiR2FzdHJvaW50ZXN0aW5hbCBFbmRvc2NvcHkiLCJpZCI6ImZhNmRkMjJlLTU5MWQtMzQxOC04MzNlLTM0NWFkZWRmZGFkZiIsImlzc3VlIjoiMyIsImlzc3VlZCI6eyJkYXRlLXBhcnRzIjpbWyIyMDEwIiwiMyJdXX0sInBhZ2UiOiI0NDYtNDU0IiwicHVibGlzaGVyIjoiQW1lcmljYW4gU29jaWV0eSBmb3IgR2FzdHJvaW50ZXN0aW5hbCBFbmRvc2NvcHkiLCJ0aXRsZSI6IkEgbGV4aWNvbiBmb3IgZW5kb3Njb3BpYyBhZHZlcnNlIGV2ZW50czogcmVwb3J0IG9mIGFuIEFTR0Ugd29ya3Nob3AiLCJ0eXBlIjoiYXJ0aWNsZS1qb3VybmFsIiwidm9sdW1lIjoiNzEiLCJjb250YWluZXItdGl0bGUtc2hvcnQiOiJHYXN0cm9pbnRlc3QgRW5kb3NjIn0sInVyaXMiOlsiaHR0cDovL3d3dy5tZW5kZWxleS5jb20vZG9jdW1lbnRzLz91dWlkPTdiOGQ0ZjNjLTNiMTctNGIyOS05MDU3LWVjZDc2OTVlNzU3MCJdLCJpc1RlbXBvcmFyeSI6ZmFsc2UsImxlZ2FjeURlc2t0b3BJZCI6IjdiOGQ0ZjNjLTNiMTctNGIyOS05MDU3LWVjZDc2OTVlNzU3MCJ9XX0=&quot;,&quot;citationItems&quot;:[{&quot;id&quot;:&quot;fa6dd22e-591d-3418-833e-345adedfdadf&quot;,&quot;itemData&quot;:{&quot;DOI&quot;:&quot;10.1016/j.gie.2009.10.027&quot;,&quot;ISSN&quot;:&quot;00165107&quot;,&quot;PMID&quot;:&quot;20189503&quot;,&quot;author&quot;:[{&quot;dropping-particle&quot;:&quot;&quot;,&quot;family&quot;:&quot;Cotton&quot;,&quot;given&quot;:&quot;Peter B.&quot;,&quot;non-dropping-particle&quot;:&quot;&quot;,&quot;parse-names&quot;:false,&quot;suffix&quot;:&quot;&quot;},{&quot;dropping-particle&quot;:&quot;&quot;,&quot;family&quot;:&quot;Eisen&quot;,&quot;given&quot;:&quot;Glenn M.&quot;,&quot;non-dropping-particle&quot;:&quot;&quot;,&quot;parse-names&quot;:false,&quot;suffix&quot;:&quot;&quot;},{&quot;dropping-particle&quot;:&quot;&quot;,&quot;family&quot;:&quot;Aabakken&quot;,&quot;given&quot;:&quot;Lars&quot;,&quot;non-dropping-particle&quot;:&quot;&quot;,&quot;parse-names&quot;:false,&quot;suffix&quot;:&quot;&quot;},{&quot;dropping-particle&quot;:&quot;&quot;,&quot;family&quot;:&quot;Baron&quot;,&quot;given&quot;:&quot;Todd H.&quot;,&quot;non-dropping-particle&quot;:&quot;&quot;,&quot;parse-names&quot;:false,&quot;suffix&quot;:&quot;&quot;},{&quot;dropping-particle&quot;:&quot;&quot;,&quot;family&quot;:&quot;Hutter&quot;,&quot;given&quot;:&quot;Matt M.&quot;,&quot;non-dropping-particle&quot;:&quot;&quot;,&quot;parse-names&quot;:false,&quot;suffix&quot;:&quot;&quot;},{&quot;dropping-particle&quot;:&quot;&quot;,&quot;family&quot;:&quot;Jacobson&quot;,&quot;given&quot;:&quot;Brian C.&quot;,&quot;non-dropping-particle&quot;:&quot;&quot;,&quot;parse-names&quot;:false,&quot;suffix&quot;:&quot;&quot;},{&quot;dropping-particle&quot;:&quot;&quot;,&quot;family&quot;:&quot;Mergener&quot;,&quot;given&quot;:&quot;Klaus&quot;,&quot;non-dropping-particle&quot;:&quot;&quot;,&quot;parse-names&quot;:false,&quot;suffix&quot;:&quot;&quot;},{&quot;dropping-particle&quot;:&quot;&quot;,&quot;family&quot;:&quot;Nemcek&quot;,&quot;given&quot;:&quot;Albert&quot;,&quot;non-dropping-particle&quot;:&quot;&quot;,&quot;parse-names&quot;:false,&quot;suffix&quot;:&quot;&quot;},{&quot;dropping-particle&quot;:&quot;&quot;,&quot;family&quot;:&quot;Petersen&quot;,&quot;given&quot;:&quot;Bret T.&quot;,&quot;non-dropping-particle&quot;:&quot;&quot;,&quot;parse-names&quot;:false,&quot;suffix&quot;:&quot;&quot;},{&quot;dropping-particle&quot;:&quot;&quot;,&quot;family&quot;:&quot;Petrini&quot;,&quot;given&quot;:&quot;John L.&quot;,&quot;non-dropping-particle&quot;:&quot;&quot;,&quot;parse-names&quot;:false,&quot;suffix&quot;:&quot;&quot;},{&quot;dropping-particle&quot;:&quot;&quot;,&quot;family&quot;:&quot;Pike&quot;,&quot;given&quot;:&quot;Irving M.&quot;,&quot;non-dropping-particle&quot;:&quot;&quot;,&quot;parse-names&quot;:false,&quot;suffix&quot;:&quot;&quot;},{&quot;dropping-particle&quot;:&quot;&quot;,&quot;family&quot;:&quot;Rabeneck&quot;,&quot;given&quot;:&quot;Linda&quot;,&quot;non-dropping-particle&quot;:&quot;&quot;,&quot;parse-names&quot;:false,&quot;suffix&quot;:&quot;&quot;},{&quot;dropping-particle&quot;:&quot;&quot;,&quot;family&quot;:&quot;Romagnuolo&quot;,&quot;given&quot;:&quot;Joseph&quot;,&quot;non-dropping-particle&quot;:&quot;&quot;,&quot;parse-names&quot;:false,&quot;suffix&quot;:&quot;&quot;},{&quot;dropping-particle&quot;:&quot;&quot;,&quot;family&quot;:&quot;Vargo&quot;,&quot;given&quot;:&quot;John J.&quot;,&quot;non-dropping-particle&quot;:&quot;&quot;,&quot;parse-names&quot;:false,&quot;suffix&quot;:&quot;&quot;}],&quot;container-title&quot;:&quot;Gastrointestinal Endoscopy&quot;,&quot;id&quot;:&quot;fa6dd22e-591d-3418-833e-345adedfdadf&quot;,&quot;issue&quot;:&quot;3&quot;,&quot;issued&quot;:{&quot;date-parts&quot;:[[&quot;2010&quot;,&quot;3&quot;]]},&quot;page&quot;:&quot;446-454&quot;,&quot;publisher&quot;:&quot;American Society for Gastrointestinal Endoscopy&quot;,&quot;title&quot;:&quot;A lexicon for endoscopic adverse events: report of an ASGE workshop&quot;,&quot;type&quot;:&quot;article-journal&quot;,&quot;volume&quot;:&quot;71&quot;,&quot;container-title-short&quot;:&quot;Gastrointest Endosc&quot;},&quot;uris&quot;:[&quot;http://www.mendeley.com/documents/?uuid=7b8d4f3c-3b17-4b29-9057-ecd7695e7570&quot;],&quot;isTemporary&quot;:false,&quot;legacyDesktopId&quot;:&quot;7b8d4f3c-3b17-4b29-9057-ecd7695e7570&quot;}]},{&quot;citationID&quot;:&quot;MENDELEY_CITATION_9a959786-fffe-4486-82d2-0653745cc7a5&quot;,&quot;properties&quot;:{&quot;noteIndex&quot;:0},&quot;isEdited&quot;:false,&quot;manualOverride&quot;:{&quot;citeprocText&quot;:&quot;[3, 4]&quot;,&quot;isManuallyOverridden&quot;:false,&quot;manualOverrideText&quot;:&quot;&quot;},&quot;citationTag&quot;:&quot;MENDELEY_CITATION_v3_eyJjaXRhdGlvbklEIjoiTUVOREVMRVlfQ0lUQVRJT05fOWE5NTk3ODYtZmZmZS00NDg2LTgyZDItMDY1Mzc0NWNjN2E1IiwicHJvcGVydGllcyI6eyJub3RlSW5kZXgiOjB9LCJpc0VkaXRlZCI6ZmFsc2UsIm1hbnVhbE92ZXJyaWRlIjp7ImNpdGVwcm9jVGV4dCI6IlszLCA0XSIsImlzTWFudWFsbHlPdmVycmlkZGVuIjpmYWxzZSwibWFudWFsT3ZlcnJpZGVUZXh0IjoiIn0sImNpdGF0aW9uSXRlbXMiOlt7ImlkIjoiY2E4ZTliZWEtZjc5Yi0zMGQyLTg4NTUtOTM2ZTE1MTRjYmY4IiwiaXRlbURhdGEiOnsiSVNCTiI6IjAwMzktNjA2MCAoUHJpbnQpXHIwMDM5LTYwNjAiLCJQTUlEIjoiMTU5ODY3MSIsImFic3RyYWN0IjoiTGFjayBvZiB1bmlmb3JtIHJlcG9ydGluZyBvZiBuZWdhdGl2ZSBvdXRjb21lcyBtYWtlcyBpbnRlcnByZXRhdGlvbiBvZiBzdXJnaWNhbCBsaXRlcmF0dXJlIGRpZmZpY3VsdC4gV2UgYXR0ZW1wdCB0byBkZWZpbmUgYW5kIGNsYXNzaWZ5IG5lZ2F0aXZlIG91dGNvbWVzIGJ5IGRpZmZlcmVudGlhdGluZyBjb21wbGljYXRpb25zLCBzZXF1ZWxhZSwgYW5kIGZhaWx1cmVzLiBDb21wbGljYXRpb25zIGFuZCBzZXF1ZWxhZSByZXN1bHQgZnJvbSBwcm9jZWR1cmVzLCBhZGRpbmcgbmV3IHByb2JsZW1zIHRvIHRoZSB1bmRlcmx5aW5nIGRpc2Vhc2UuIEhvd2V2ZXIsIGNvbXBsaWNhdGlvbnMgYXJlIHVuZXhwZWN0ZWQgZXZlbnRzIG5vdCBpbnRyaW5zaWMgdG8gdGhlIHByb2NlZHVyZSwgd2hlcmVhcyBzZXF1ZWxhZSBhcmUgaW5oZXJlbnQgdG8gdGhlIHByb2NlZHVyZS4gRmFpbHVyZXMgYXJlIGV2ZW50cyBpbiB3aGljaCB0aGUgcHVycG9zZSBvZiB0aGUgcHJvY2VkdXJlIGlzIG5vdCBmdWxmaWxsZWQuIFdlIHByb3Bvc2UgYSBjbGFzc2lmaWNhdGlvbiBvZiBjb21wbGljYXRpb25zIGJhc2VkIG9uIGZvdXIgZ3JhZGVzOiBHcmFkZSBJIGNvbXBsaWNhdGlvbnMgYXJlIGFsdGVyYXRpb25zIGZyb20gdGhlIGlkZWFsIHBvc3RvcGVyYXRpdmUgY291cnNlLCBub24tbGlmZS10aHJlYXRlbmluZywgYW5kIHdpdGggbm8gbGFzdGluZyBkaXNhYmlsaXR5LiBDb21wbGljYXRpb25zIG9mIHRoaXMgZ3JhZGUgbmVjZXNzaXRhdGUgb25seSBiZWRzaWRlIHByb2NlZHVyZXMgYW5kIGRvIG5vdCBzaWduaWZpY2FudGx5IGV4dGVuZCBob3NwaXRhbCBzdGF5LiBHcmFkZSBJSSBjb21wbGljYXRpb25zIGFyZSBwb3RlbnRpYWxseSBsaWZlLXRocmVhdGVuaW5nIGJ1dCB3aXRob3V0IHJlc2lkdWFsIGRpc2FiaWxpdHkuIFdpdGhpbiBncmFkZSBJSSBjb21wbGljYXRpb25zIGEgc3ViZGl2aXNpb24gaXMgbWFkZSBhY2NvcmRpbmcgdG8gdGhlIHJlcXVpcmVtZW50IGZvciBpbnZhc2l2ZSBwcm9jZWR1cmVzLiBHcmFkZSBJSUkgY29tcGxpY2F0aW9ucyBhcmUgdGhvc2Ugd2l0aCByZXNpZHVhbCBkaXNhYmlsaXR5LCBpbmNsdWRpbmcgb3JnYW4gcmVzZWN0aW9uIG9yIHBlcnNpc3RlbmNlIG9mIGxpZmUtdGhyZWF0ZW5pbmcgY29uZGl0aW9ucy4gRmluYWxseSwgZ3JhZGUgSVYgY29tcGxpY2F0aW9ucyBhcmUgZGVhdGhzIGFzIGEgcmVzdWx0IG9mIGNvbXBsaWNhdGlvbnMuIFRvIGlsbHVzdHJhdGUgdGhlIHJlbGV2YW5jZSBvZiB0aGUgY2xhc3NpZmljYXRpb24sIHdlIHJldmlld2VkIDY1MCBjYXNlcyBvZiBlbGVjdGl2ZSBjaG9sZWN5c3RlY3RvbXkuIFJpc2sgZmFjdG9ycyBmb3IgZGV2ZWxvcG1lbnQgb2YgY29tcGxpY2F0aW9ucyB3ZXJlIGRldGVybWluZWQsIGFuZCB0aGUgY2xhc3NpZmljYXRpb24gd2FzIGFsc28gdXNlZCB0byBhbmFseXplIHRoZSB2YWx1ZSBvZiBhIG1vZGlmaWVkIEFQQUNIRSBJSSBhcyBhIHByZW9wZXJhdGl2ZSBwcm9nbm9zdGljIHNjb3JlLiBCb3RoIHN1cHBvcnRlZCB0aGUgcmVsZXZhbmNlIG9mIHRoZSBwcm9wb3NlZCBjbGFzc2lmaWNhdGlvbi4gVGhlIGFkdmFudGFnZXMgb2Ygc3VjaCBhIGNsYXNzaWZpY2F0aW9uIGFyZSAoMSkgaW5jcmVhc2VkIHVuaWZvcm1pdHkgaW4gcmVwb3J0aW5nIHJlc3VsdHMsICgyKSB0aGUgYWJpbGl0eSB0byBjb21wYXJlIHJlc3VsdHMgb2YgdHdvIGRpc3RpbmN0IHRpbWUgcGVyaW9kcyBpbiBhIHNpbmdsZSBjZW50ZXIsICgzKSB0aGUgYWJpbGl0eSB0byBjb21wYXJlIHJlc3VsdHMgb2Ygc3VyZ2VyeSBiZXR3ZWVuIGRpZmZlcmVudCBjZW50ZXJzLCAoNCkgdGhlIGFiaWxpdHkgdG8gY29tcGFyZSByZXN1bHRzIG9mIHN1cmdpY2FsIHZlcnN1cyBub25zdXJnaWNhbCBtZWFzdXJlcywgKDUpIHRoZSBhYmlsaXR5IHRvIHBlcmZvcm0gYWRlcXVhdGUgbWV0YWFuYWx5c2lzLCAoNikgdGhlIGFiaWxpdHkgdG8gaWRlbnRpZnkgb2JqZWN0aXZlIHByZW9wZXJhdGl2ZSByaXNrIGZhY3RvcnMsIGFuZCAoNykgdGhlIGFiaWxpdHkgdG8gZXN0YWJsaXNoIHByZW9wZXJhdGl2ZSBwcm9nbm9zdGljIHNjb3Jlcy4iLCJhdXRob3IiOlt7ImRyb3BwaW5nLXBhcnRpY2xlIjoiIiwiZmFtaWx5IjoiQ2xhdmllbiIsImdpdmVuIjoiUCBBIiwibm9uLWRyb3BwaW5nLXBhcnRpY2xlIjoiIiwicGFyc2UtbmFtZXMiOmZhbHNlLCJzdWZmaXgiOiIifSx7ImRyb3BwaW5nLXBhcnRpY2xlIjoiIiwiZmFtaWx5IjoiU2FuYWJyaWEiLCJnaXZlbiI6IkogUiIsIm5vbi1kcm9wcGluZy1wYXJ0aWNsZSI6IiIsInBhcnNlLW5hbWVzIjpmYWxzZSwic3VmZml4IjoiIn0seyJkcm9wcGluZy1wYXJ0aWNsZSI6IiIsImZhbWlseSI6IlN0cmFzYmVyZyIsImdpdmVuIjoiUyBNIiwibm9uLWRyb3BwaW5nLXBhcnRpY2xlIjoiIiwicGFyc2UtbmFtZXMiOmZhbHNlLCJzdWZmaXgiOiIifV0sImNvbnRhaW5lci10aXRsZSI6IlN1cmdlcnkiLCJlZGl0aW9uIjoiMTk5Mi8wNS8wMSIsImlkIjoiY2E4ZTliZWEtZjc5Yi0zMGQyLTg4NTUtOTM2ZTE1MTRjYmY4IiwiaXNzdWUiOiI1IiwiaXNzdWVkIjp7ImRhdGUtcGFydHMiOltbIjE5OTIiXV19LCJsYW5ndWFnZSI6ImVuZyIsIm5vdGUiOiJDbGF2aWVuLCBQIEFcblNhbmFicmlhLCBKIFJcblN0cmFzYmVyZywgUyBNXG5Kb3VybmFsIEFydGljbGVcblVuaXRlZCBTdGF0ZXNcblN1cmdlcnkuIDE5OTIgTWF5OzExMSg1KTo1MTgtMjYuIiwicGFnZSI6IjUxOC01MjYiLCJ0aXRsZSI6IlByb3Bvc2VkIGNsYXNzaWZpY2F0aW9uIG9mIGNvbXBsaWNhdGlvbnMgb2Ygc3VyZ2VyeSB3aXRoIGV4YW1wbGVzIG9mIHV0aWxpdHkgaW4gY2hvbGVjeXN0ZWN0b215IiwidHlwZSI6ImFydGljbGUtam91cm5hbCIsInZvbHVtZSI6IjExMSIsImNvbnRhaW5lci10aXRsZS1zaG9ydCI6IlN1cmdlcnkifSwidXJpcyI6WyJodHRwOi8vd3d3Lm1lbmRlbGV5LmNvbS9kb2N1bWVudHMvP3V1aWQ9NWJhYTRlMmQtZDBiOS00NWRjLWFmZGMtZDY3YjM5ZGM3MjY2Il0sImlzVGVtcG9yYXJ5IjpmYWxzZSwibGVnYWN5RGVza3RvcElkIjoiNWJhYTRlMmQtZDBiOS00NWRjLWFmZGMtZDY3YjM5ZGM3MjY2In0seyJpZCI6IjU5MTliZDkwLTNjNzgtMzYwNC1hOGFlLTY0MjMyMGI2ODdjNCIsIml0ZW1EYXRhIjp7IkRPSSI6IjEwLjEwOTcvMDEuc2xhLjAwMDAxMzMwODMuNTQ5MzQuYWUiLCJJU1NOIjoiMDAwMy00OTMyIiwiUE1JRCI6IjE1MjczNTQyIiwiYWJzdHJhY3QiOiJPYmplY3RpdmU6IEFsdGhvdWdoIHF1YWxpdHkgYXNzZXNzbWVudCBpcyBnYWluaW5nIGluY3JlYXNpbmcgYXR0ZW50aW9uLCB0aGVyZSBpcyBzdGlsbCBubyBjb25zZW5zdXMgb24gaG93IHRvIGRlZmluZSBhbmQgZ3JhZGUgcG9zdG9wZXJhdGl2ZSBjb21wbGljYXRpb25zLiBUaGlzIHNob3J0Y29taW5nIGhhbXBlcnMgY29tcGFyaXNvbiBvZiBvdXRjb21lIGRhdGEgYW1vbmcgZGlmZmVyZW50IGNlbnRlcnMgYW5kIHRoZXJhcGllcyBhbmQgb3ZlciB0aW1lLiBQYXRpZW50cyBhbmQgTWV0aG9kczogQSBjbGFzc2lmaWNhdGlvbiBvZiBjb21wbGljYXRpb25zIHB1Ymxpc2hlZCBieSBvbmUgb2YgdGhlIGF1dGhvcnMgaW4gMTk5MiB3YXMgY3JpdGljYWxseSByZS1ldmFsdWF0ZWQgYW5kIG1vZGlmaWVkIHRvIGluY3JlYXNlIGl0cyBhY2N1cmFjeSBhbmQgaXRzIGFjY2VwdGFiaWxpdHkgaW4gdGhlIHN1cmdpY2FsIGNvbW11bml0eS4gTW9kaWZpY2F0aW9ucyBtYWlubHkgZm9jdXNlZCBvbiB0aGUgbWFubmVyIG9mIHJlcG9ydGluZyBsaWZlLXRocmVhdGVuaW5nIGFuZCBwZXJtYW5lbnRseSBkaXNhYmxpbmcgY29tcGxpY2F0aW9ucy4gVGhlIG5ldyBncmFkaW5nIHN5c3RlbSBzdGlsbCBtb3N0bHkgcmVsaWVzIG9uIHRoZSB0aGVyYXB5IHVzZWQgdG8gdHJlYXQgdGhlIGNvbXBsaWNhdGlvbi4gVGhlIGNsYXNzaWZpY2F0aW9uIHdhcyB0ZXN0ZWQgaW4gYSBjb2hvcnQgb2YgNjMzNiBwYXRpZW50cyB3aG8gdW5kZXJ3ZW50IGVsZWN0aXZlIGdlbmVyYWwgc3VyZ2VyeSBhdCBvdXIgaW5zdGl0dXRpb24uIFRoZSByZXByb2R1Y2liaWxpdHkgYW5kIHBlcnNvbmFsIGp1ZGdtZW50IG9mIHRoZSBjbGFzc2lmaWNhdGlvbiB3ZXJlIGV2YWx1YXRlZCB0aHJvdWdoIGFuIGludGVybmF0aW9uYWwgc3VydmV5IHdpdGggMiBxdWVzdGlvbm5haXJlcyBzZW50IHRvIDEwIHN1cmdpY2FsIGNlbnRlcnMgd29ybGR3aWRlLiBSZXN1bHRzOiBUaGUgbmV3IHJhbmtpbmcgc3lzdGVtIHNpZ25pZmljYW50bHkgY29ycmVsYXRlZCB3aXRoIGNvbXBsZXhpdHkgb2Ygc3VyZ2VyeSAoUCA8IDAuMDAwMSkgYXMgd2VsbCBhcyB3aXRoIHRoZSBsZW5ndGggb2YgdGhlIGhvc3BpdGFsIHN0YXkgKFAgPCAwLjAwMDEpLiBBIHRvdGFsIG9mIDE0NCBzdXJnZW9ucyBmcm9tIDEwIGRpZmZlcmVudCBjZW50ZXJzIGFyb3VuZCB0aGUgd29ybGQgYW5kIGF0IGRpZmZlcmVudCBsZXZlbHMgb2YgdHJhaW5pbmcgcmV0dXJuZWQgdGhlIHN1cnZleS4gTmluZXR5IHBlcmNlbnQgb2YgdGhlIGNhc2UgcHJlc2VudGF0aW9ucyB3ZXJlIGNvcnJlY3RseSBncmFkZWQuIFRoZSBjbGFzc2lmaWNhdGlvbiB3YXMgY29uc2lkZXJlZCB0byBiZSBzaW1wbGUgKDkyJSBvZiB0aGUgcmVzcG9uZGVudHMpLCByZXByb2R1Y2libGUgKDkxJSksIGxvZ2ljYWwgKDkyJSksIHVzZWZ1bCAoOTAlKSwgYW5kIGNvbXByZWhlbnNpdmUgKDg5JSkuIFRoZSBhbnN3ZXJzIG9mIGJvdGggcXVlc3Rpb25uYWlyZXMgd2VyZSBub3QgZGVwZW5kZW50IG9uIHRoZSBvcmlnaW4gb2YgdGhlIHJlcGx5IGFuZCB0aGUgbGV2ZWwgb2YgdHJhaW5pbmcgb2YgdGhlIHN1cmdlb25zLiBDb25jbHVzaW9uczogVGhlIG5ldyBjb21wbGljYXRpb24gY2xhc3NpZmljYXRpb24gYXBwZWFycyByZWxpYWJsZSBhbmQgbWF5IHJlcHJlc2VudCBhIGNvbXBlbGxpbmcgdG9vbCBmb3IgcXVhbGl0eSBhc3Nlc3NtZW50IGluIHN1cmdlcnkgaW4gYWxsIHBhcnRzIG9mIHRoZSB3b3JsZC4iLCJhdXRob3IiOlt7ImRyb3BwaW5nLXBhcnRpY2xlIjoiIiwiZmFtaWx5IjoiRGluZG8iLCJnaXZlbiI6IkRhbmllbCIsIm5vbi1kcm9wcGluZy1wYXJ0aWNsZSI6IiIsInBhcnNlLW5hbWVzIjpmYWxzZSwic3VmZml4IjoiIn0seyJkcm9wcGluZy1wYXJ0aWNsZSI6IiIsImZhbWlseSI6IkRlbWFydGluZXMiLCJnaXZlbiI6Ik5pY29sYXMiLCJub24tZHJvcHBpbmctcGFydGljbGUiOiIiLCJwYXJzZS1uYW1lcyI6ZmFsc2UsInN1ZmZpeCI6IiJ9LHsiZHJvcHBpbmctcGFydGljbGUiOiIiLCJmYW1pbHkiOiJDbGF2aWVuIiwiZ2l2ZW4iOiJQaWVycmUtQWxhaW4iLCJub24tZHJvcHBpbmctcGFydGljbGUiOiIiLCJwYXJzZS1uYW1lcyI6ZmFsc2UsInN1ZmZpeCI6IiJ9XSwiY29udGFpbmVyLXRpdGxlIjoiQW5uYWxzIG9mIFN1cmdlcnkiLCJpZCI6IjU5MTliZDkwLTNjNzgtMzYwNC1hOGFlLTY0MjMyMGI2ODdjNCIsImlzc3VlIjoiMiIsImlzc3VlZCI6eyJkYXRlLXBhcnRzIjpbWyIyMDA0IiwiOCJdXX0sInBhZ2UiOiIyMDUtMjEzIiwidGl0bGUiOiJDbGFzc2lmaWNhdGlvbiBvZiBTdXJnaWNhbCBDb21wbGljYXRpb25zIiwidHlwZSI6ImFydGljbGUtam91cm5hbCIsInZvbHVtZSI6IjI0MCIsImNvbnRhaW5lci10aXRsZS1zaG9ydCI6IkFubiBTdXJnIn0sInVyaXMiOlsiaHR0cDovL3d3dy5tZW5kZWxleS5jb20vZG9jdW1lbnRzLz91dWlkPTU0ZTlkNGNkLWQxN2ItNDI2OS04ZDQxLTRjZDM2NmM2MDY5MSJdLCJpc1RlbXBvcmFyeSI6ZmFsc2UsImxlZ2FjeURlc2t0b3BJZCI6IjU0ZTlkNGNkLWQxN2ItNDI2OS04ZDQxLTRjZDM2NmM2MDY5MSJ9XX0=&quot;,&quot;citationItems&quot;:[{&quot;id&quot;:&quot;ca8e9bea-f79b-30d2-8855-936e1514cbf8&quot;,&quot;itemData&quot;:{&quot;ISBN&quot;:&quot;0039-6060 (Print)\r0039-6060&quot;,&quot;PMID&quot;:&quot;1598671&quot;,&quot;abstract&quot;:&quot;Lack of uniform reporting of negative outcomes makes interpretation of surgical literature difficult. We attempt to define and classify negative outcomes by differentiating complications, sequelae, and failures. Complications and sequelae result from procedures, adding new problems to the underlying disease. However, complications are unexpected events not intrinsic to the procedure, whereas sequelae are inherent to the procedure. Failures are events in which the purpose of the procedure is not fulfilled. We propose a classification of complications based on four grades: Grade I complications are alterations from the ideal postoperative course, non-life-threatening, and with no lasting disability. Complications of this grade necessitate only bedside procedures and do not significantly extend hospital stay. Grade II complications are potentially life-threatening but without residual disability. Within grade II complications a subdivision is made according to the requirement for invasive procedures. Grade III complications are those with residual disability, including organ resection or persistence of life-threatening conditions. Finally, grade IV complications are deaths as a result of complications. To illustrate the relevance of the classification, we reviewed 650 cases of elective cholecystectomy. Risk factors for development of complications were determined, and the classification was also used to analyze the value of a modified APACHE II as a preoperative prognostic score. Both supported the relevance of the proposed classification. The advantages of such a classification are (1) increased uniformity in reporting results, (2) the ability to compare results of two distinct time periods in a single center, (3) the ability to compare results of surgery between different centers, (4) the ability to compare results of surgical versus nonsurgical measures, (5) the ability to perform adequate metaanalysis, (6) the ability to identify objective preoperative risk factors, and (7) the ability to establish preoperative prognostic scores.&quot;,&quot;author&quot;:[{&quot;dropping-particle&quot;:&quot;&quot;,&quot;family&quot;:&quot;Clavien&quot;,&quot;given&quot;:&quot;P A&quot;,&quot;non-dropping-particle&quot;:&quot;&quot;,&quot;parse-names&quot;:false,&quot;suffix&quot;:&quot;&quot;},{&quot;dropping-particle&quot;:&quot;&quot;,&quot;family&quot;:&quot;Sanabria&quot;,&quot;given&quot;:&quot;J R&quot;,&quot;non-dropping-particle&quot;:&quot;&quot;,&quot;parse-names&quot;:false,&quot;suffix&quot;:&quot;&quot;},{&quot;dropping-particle&quot;:&quot;&quot;,&quot;family&quot;:&quot;Strasberg&quot;,&quot;given&quot;:&quot;S M&quot;,&quot;non-dropping-particle&quot;:&quot;&quot;,&quot;parse-names&quot;:false,&quot;suffix&quot;:&quot;&quot;}],&quot;container-title&quot;:&quot;Surgery&quot;,&quot;edition&quot;:&quot;1992/05/01&quot;,&quot;id&quot;:&quot;ca8e9bea-f79b-30d2-8855-936e1514cbf8&quot;,&quot;issue&quot;:&quot;5&quot;,&quot;issued&quot;:{&quot;date-parts&quot;:[[&quot;1992&quot;]]},&quot;language&quot;:&quot;eng&quot;,&quot;note&quot;:&quot;Clavien, P A\nSanabria, J R\nStrasberg, S M\nJournal Article\nUnited States\nSurgery. 1992 May;111(5):518-26.&quot;,&quot;page&quot;:&quot;518-526&quot;,&quot;title&quot;:&quot;Proposed classification of complications of surgery with examples of utility in cholecystectomy&quot;,&quot;type&quot;:&quot;article-journal&quot;,&quot;volume&quot;:&quot;111&quot;,&quot;container-title-short&quot;:&quot;Surgery&quot;},&quot;uris&quot;:[&quot;http://www.mendeley.com/documents/?uuid=5baa4e2d-d0b9-45dc-afdc-d67b39dc7266&quot;],&quot;isTemporary&quot;:false,&quot;legacyDesktopId&quot;:&quot;5baa4e2d-d0b9-45dc-afdc-d67b39dc7266&quot;},{&quot;id&quot;:&quot;5919bd90-3c78-3604-a8ae-642320b687c4&quot;,&quot;itemData&quot;:{&quot;DOI&quot;:&quot;10.1097/01.sla.0000133083.54934.ae&quot;,&quot;ISSN&quot;:&quot;0003-4932&quot;,&quot;PMID&quot;:&quot;15273542&quot;,&quot;abstract&quot;:&quot;Objective: Although quality assessment is gaining increasing attention, there is still no consensus on how to define and grade postoperative complications. This shortcoming hampers comparison of outcome data among different centers and therapies and over time. Patients and Methods: A classification of complications published by one of the authors in 1992 was critically re-evaluated and modified to increase its accuracy and its acceptability in the surgical community. Modifications mainly focused on the manner of reporting life-threatening and permanently disabling complications. The new grading system still mostly relies on the therapy used to treat the complication. The classification was tested in a cohort of 6336 patients who underwent elective general surgery at our institution. The reproducibility and personal judgment of the classification were evaluated through an international survey with 2 questionnaires sent to 10 surgical centers worldwide. Results: The new ranking system significantly correlated with complexity of surgery (P &lt; 0.0001) as well as with the length of the hospital stay (P &lt; 0.0001). A total of 144 surgeons from 10 different centers around the world and at different levels of training returned the survey. Ninety percent of the case presentations were correctly graded. The classification was considered to be simple (92% of the respondents), reproducible (91%), logical (92%), useful (90%), and comprehensive (89%). The answers of both questionnaires were not dependent on the origin of the reply and the level of training of the surgeons. Conclusions: The new complication classification appears reliable and may represent a compelling tool for quality assessment in surgery in all parts of the world.&quot;,&quot;author&quot;:[{&quot;dropping-particle&quot;:&quot;&quot;,&quot;family&quot;:&quot;Dindo&quot;,&quot;given&quot;:&quot;Daniel&quot;,&quot;non-dropping-particle&quot;:&quot;&quot;,&quot;parse-names&quot;:false,&quot;suffix&quot;:&quot;&quot;},{&quot;dropping-particle&quot;:&quot;&quot;,&quot;family&quot;:&quot;Demartines&quot;,&quot;given&quot;:&quot;Nicolas&quot;,&quot;non-dropping-particle&quot;:&quot;&quot;,&quot;parse-names&quot;:false,&quot;suffix&quot;:&quot;&quot;},{&quot;dropping-particle&quot;:&quot;&quot;,&quot;family&quot;:&quot;Clavien&quot;,&quot;given&quot;:&quot;Pierre-Alain&quot;,&quot;non-dropping-particle&quot;:&quot;&quot;,&quot;parse-names&quot;:false,&quot;suffix&quot;:&quot;&quot;}],&quot;container-title&quot;:&quot;Annals of Surgery&quot;,&quot;id&quot;:&quot;5919bd90-3c78-3604-a8ae-642320b687c4&quot;,&quot;issue&quot;:&quot;2&quot;,&quot;issued&quot;:{&quot;date-parts&quot;:[[&quot;2004&quot;,&quot;8&quot;]]},&quot;page&quot;:&quot;205-213&quot;,&quot;title&quot;:&quot;Classification of Surgical Complications&quot;,&quot;type&quot;:&quot;article-journal&quot;,&quot;volume&quot;:&quot;240&quot;,&quot;container-title-short&quot;:&quot;Ann Surg&quot;},&quot;uris&quot;:[&quot;http://www.mendeley.com/documents/?uuid=54e9d4cd-d17b-4269-8d41-4cd366c60691&quot;],&quot;isTemporary&quot;:false,&quot;legacyDesktopId&quot;:&quot;54e9d4cd-d17b-4269-8d41-4cd366c60691&quot;}]},{&quot;citationID&quot;:&quot;MENDELEY_CITATION_fdc5c940-fd1c-4a3b-97ff-cece6844f3f4&quot;,&quot;properties&quot;:{&quot;noteIndex&quot;:0},&quot;isEdited&quot;:false,&quot;manualOverride&quot;:{&quot;citeprocText&quot;:&quot;[5, 6]&quot;,&quot;isManuallyOverridden&quot;:false,&quot;manualOverrideText&quot;:&quot;&quot;},&quot;citationTag&quot;:&quot;MENDELEY_CITATION_v3_eyJjaXRhdGlvbklEIjoiTUVOREVMRVlfQ0lUQVRJT05fZmRjNWM5NDAtZmQxYy00YTNiLTk3ZmYtY2VjZTY4NDRmM2Y0IiwicHJvcGVydGllcyI6eyJub3RlSW5kZXgiOjB9LCJpc0VkaXRlZCI6ZmFsc2UsIm1hbnVhbE92ZXJyaWRlIjp7ImNpdGVwcm9jVGV4dCI6Ils1LCA2XSIsImlzTWFudWFsbHlPdmVycmlkZGVuIjpmYWxzZSwibWFudWFsT3ZlcnJpZGVUZXh0IjoiIn0sImNpdGF0aW9uSXRlbXMiOlt7ImlkIjoiMjkwY2E0ZDMtYjhmZC0zMDAxLWI0MGYtOTY0NDQxMmRiODMwIiwiaXRlbURhdGEiOnsiRE9JIjoiMTAuMTA5My9qbmNpLzg1LjUuMzY1IiwiSVNTTiI6IjAwMjctODg3NCIsImF1dGhvciI6W3siZHJvcHBpbmctcGFydGljbGUiOiIiLCJmYW1pbHkiOiJBYXJvbnNvbiIsImdpdmVuIjoiTi4gSy4iLCJub24tZHJvcHBpbmctcGFydGljbGUiOiIiLCJwYXJzZS1uYW1lcyI6ZmFsc2UsInN1ZmZpeCI6IiJ9LHsiZHJvcHBpbmctcGFydGljbGUiOiIiLCJmYW1pbHkiOiJBaG1lZHphaSIsImdpdmVuIjoiUy4iLCJub24tZHJvcHBpbmctcGFydGljbGUiOiIiLCJwYXJzZS1uYW1lcyI6ZmFsc2UsInN1ZmZpeCI6IiJ9LHsiZHJvcHBpbmctcGFydGljbGUiOiIiLCJmYW1pbHkiOiJCZXJnbWFuIiwiZ2l2ZW4iOiJCLiIsIm5vbi1kcm9wcGluZy1wYXJ0aWNsZSI6IiIsInBhcnNlLW5hbWVzIjpmYWxzZSwic3VmZml4IjoiIn0seyJkcm9wcGluZy1wYXJ0aWNsZSI6IiIsImZhbWlseSI6IkJ1bGxpbmdlciIsImdpdmVuIjoiTS4iLCJub24tZHJvcHBpbmctcGFydGljbGUiOiIiLCJwYXJzZS1uYW1lcyI6ZmFsc2UsInN1ZmZpeCI6IiJ9LHsiZHJvcHBpbmctcGFydGljbGUiOiIiLCJmYW1pbHkiOiJDdWxsIiwiZ2l2ZW4iOiJBLiIsIm5vbi1kcm9wcGluZy1wYXJ0aWNsZSI6IiIsInBhcnNlLW5hbWVzIjpmYWxzZSwic3VmZml4IjoiIn0seyJkcm9wcGluZy1wYXJ0aWNsZSI6IiIsImZhbWlseSI6IkR1ZXoiLCJnaXZlbiI6Ik4uIEouIiwibm9uLWRyb3BwaW5nLXBhcnRpY2xlIjoiIiwicGFyc2UtbmFtZXMiOmZhbHNlLCJzdWZmaXgiOiIifSx7ImRyb3BwaW5nLXBhcnRpY2xlIjoiIiwiZmFtaWx5IjoiRmlsaWJlcnRpIiwiZ2l2ZW4iOiJBLiIsIm5vbi1kcm9wcGluZy1wYXJ0aWNsZSI6IiIsInBhcnNlLW5hbWVzIjpmYWxzZSwic3VmZml4IjoiIn0seyJkcm9wcGluZy1wYXJ0aWNsZSI6IiIsImZhbWlseSI6IkZsZWNodG5lciIsImdpdmVuIjoiSC4iLCJub24tZHJvcHBpbmctcGFydGljbGUiOiIiLCJwYXJzZS1uYW1lcyI6ZmFsc2UsInN1ZmZpeCI6IiJ9LHsiZHJvcHBpbmctcGFydGljbGUiOiIiLCJmYW1pbHkiOiJGbGVpc2htYW4iLCJnaXZlbiI6IlMuIEIuIiwibm9uLWRyb3BwaW5nLXBhcnRpY2xlIjoiIiwicGFyc2UtbmFtZXMiOmZhbHNlLCJzdWZmaXgiOiIifSx7ImRyb3BwaW5nLXBhcnRpY2xlIjoiIiwiZmFtaWx5IjoiSGFlcyIsImdpdmVuIjoiSi4gQy4gSi4gTS4gZC4iLCJub24tZHJvcHBpbmctcGFydGljbGUiOiIiLCJwYXJzZS1uYW1lcyI6ZmFsc2UsInN1ZmZpeCI6IiJ9LHsiZHJvcHBpbmctcGFydGljbGUiOiIiLCJmYW1pbHkiOiJLYWFzYSIsImdpdmVuIjoiUy4iLCJub24tZHJvcHBpbmctcGFydGljbGUiOiIiLCJwYXJzZS1uYW1lcyI6ZmFsc2UsInN1ZmZpeCI6IiJ9LHsiZHJvcHBpbmctcGFydGljbGUiOiIiLCJmYW1pbHkiOiJLbGVlIiwiZ2l2ZW4iOiJNLiIsIm5vbi1kcm9wcGluZy1wYXJ0aWNsZSI6IiIsInBhcnNlLW5hbWVzIjpmYWxzZSwic3VmZml4IjoiIn0seyJkcm9wcGluZy1wYXJ0aWNsZSI6IiIsImZhbWlseSI6Ik9zb2JhIiwiZ2l2ZW4iOiJELiIsIm5vbi1kcm9wcGluZy1wYXJ0aWNsZSI6IiIsInBhcnNlLW5hbWVzIjpmYWxzZSwic3VmZml4IjoiIn0seyJkcm9wcGluZy1wYXJ0aWNsZSI6IiIsImZhbWlseSI6IlJhemF2aSIsImdpdmVuIjoiRC4iLCJub24tZHJvcHBpbmctcGFydGljbGUiOiIiLCJwYXJzZS1uYW1lcyI6ZmFsc2UsInN1ZmZpeCI6IiJ9LHsiZHJvcHBpbmctcGFydGljbGUiOiIiLCJmYW1pbHkiOiJSb2ZlIiwiZ2l2ZW4iOiJQLiBCLiIsIm5vbi1kcm9wcGluZy1wYXJ0aWNsZSI6IiIsInBhcnNlLW5hbWVzIjpmYWxzZSwic3VmZml4IjoiIn0seyJkcm9wcGluZy1wYXJ0aWNsZSI6IiIsImZhbWlseSI6IlNjaHJhdWIiLCJnaXZlbiI6IlMuIiwibm9uLWRyb3BwaW5nLXBhcnRpY2xlIjoiIiwicGFyc2UtbmFtZXMiOmZhbHNlLCJzdWZmaXgiOiIifSx7ImRyb3BwaW5nLXBhcnRpY2xlIjoiIiwiZmFtaWx5IjoiU25lZXV3IiwiZ2l2ZW4iOiJLLiIsIm5vbi1kcm9wcGluZy1wYXJ0aWNsZSI6IiIsInBhcnNlLW5hbWVzIjpmYWxzZSwic3VmZml4IjoiIn0seyJkcm9wcGluZy1wYXJ0aWNsZSI6IiIsImZhbWlseSI6IlN1bGxpdmFuIiwiZ2l2ZW4iOiJNLiIsIm5vbi1kcm9wcGluZy1wYXJ0aWNsZSI6IiIsInBhcnNlLW5hbWVzIjpmYWxzZSwic3VmZml4IjoiIn0seyJkcm9wcGluZy1wYXJ0aWNsZSI6IiIsImZhbWlseSI6IlRha2VkYSIsImdpdmVuIjoiRi4iLCJub24tZHJvcHBpbmctcGFydGljbGUiOiIiLCJwYXJzZS1uYW1lcyI6ZmFsc2UsInN1ZmZpeCI6IiJ9XSwiY29udGFpbmVyLXRpdGxlIjoiSk5DSSBKb3VybmFsIG9mIHRoZSBOYXRpb25hbCBDYW5jZXIgSW5zdGl0dXRlIiwiaWQiOiIyOTBjYTRkMy1iOGZkLTMwMDEtYjQwZi05NjQ0NDEyZGI4MzAiLCJpc3N1ZSI6IjUiLCJpc3N1ZWQiOnsiZGF0ZS1wYXJ0cyI6W1siMTk5MyIsIjMiLCIzIl1dfSwicGFnZSI6IjM2NS0zNzYiLCJ0aXRsZSI6IlRoZSBFdXJvcGVhbiBPcmdhbml6YXRpb24gZm9yIFJlc2VhcmNoIGFuZCBUcmVhdG1lbnQgb2YgQ2FuY2VyIFFMUS1DMzA6IEEgUXVhbGl0eS1vZi1MaWZlIEluc3RydW1lbnQgZm9yIFVzZSBpbiBJbnRlcm5hdGlvbmFsIENsaW5pY2FsIFRyaWFscyBpbiBPbmNvbG9neSIsInR5cGUiOiJhcnRpY2xlLWpvdXJuYWwiLCJ2b2x1bWUiOiI4NSIsImNvbnRhaW5lci10aXRsZS1zaG9ydCI6IiJ9LCJ1cmlzIjpbImh0dHA6Ly93d3cubWVuZGVsZXkuY29tL2RvY3VtZW50cy8/dXVpZD1hZTdiNGFkMS05OThmLTQwMGMtOWI0OS04MGQ3NTM5OTJlYjciXSwiaXNUZW1wb3JhcnkiOmZhbHNlLCJsZWdhY3lEZXNrdG9wSWQiOiJhZTdiNGFkMS05OThmLTQwMGMtOWI0OS04MGQ3NTM5OTJlYjcifSx7ImlkIjoiYzdhYjNiMDQtNWM4Yi0zNTQyLWFkZWQtNjU1MGFmZmE4ZGQ4IiwiaXRlbURhdGEiOnsiRE9JIjoiMTAuMTAxNi9TMDk1OS04MDQ5KDAwKTAwNDE3LTIiLCJJU1NOIjoiMDk1OTgwNDkiLCJhdXRob3IiOlt7ImRyb3BwaW5nLXBhcnRpY2xlIjoiIiwiZmFtaWx5IjoiVmlja2VyeSIsImdpdmVuIjoiQy5XIiwibm9uLWRyb3BwaW5nLXBhcnRpY2xlIjoiIiwicGFyc2UtbmFtZXMiOmZhbHNlLCJzdWZmaXgiOiIifSx7ImRyb3BwaW5nLXBhcnRpY2xlIjoiIiwiZmFtaWx5IjoiQmxhemVieSIsImdpdmVuIjoiSi5NIiwibm9uLWRyb3BwaW5nLXBhcnRpY2xlIjoiIiwicGFyc2UtbmFtZXMiOmZhbHNlLCJzdWZmaXgiOiIifSx7ImRyb3BwaW5nLXBhcnRpY2xlIjoiIiwiZmFtaWx5IjoiQ29ucm95IiwiZ2l2ZW4iOiJUIiwibm9uLWRyb3BwaW5nLXBhcnRpY2xlIjoiIiwicGFyc2UtbmFtZXMiOmZhbHNlLCJzdWZmaXgiOiIifSx7ImRyb3BwaW5nLXBhcnRpY2xlIjoiIiwiZmFtaWx5IjoiQXJyYXJhcyIsImdpdmVuIjoiSiIsIm5vbi1kcm9wcGluZy1wYXJ0aWNsZSI6IiIsInBhcnNlLW5hbWVzIjpmYWxzZSwic3VmZml4IjoiIn0seyJkcm9wcGluZy1wYXJ0aWNsZSI6IiIsImZhbWlseSI6IlNlemVyIiwiZ2l2ZW4iOiJPIiwibm9uLWRyb3BwaW5nLXBhcnRpY2xlIjoiIiwicGFyc2UtbmFtZXMiOmZhbHNlLCJzdWZmaXgiOiIifSx7ImRyb3BwaW5nLXBhcnRpY2xlIjoiIiwiZmFtaWx5IjoiS29sbGVyIiwiZ2l2ZW4iOiJNIiwibm9uLWRyb3BwaW5nLXBhcnRpY2xlIjoiIiwicGFyc2UtbmFtZXMiOmZhbHNlLCJzdWZmaXgiOiIifSx7ImRyb3BwaW5nLXBhcnRpY2xlIjoiIiwiZmFtaWx5IjoiUm9zZW1leWVyIiwiZ2l2ZW4iOiJEIiwibm9uLWRyb3BwaW5nLXBhcnRpY2xlIjoiIiwicGFyc2UtbmFtZXMiOmZhbHNlLCJzdWZmaXgiOiIifSx7ImRyb3BwaW5nLXBhcnRpY2xlIjoiIiwiZmFtaWx5IjoiSm9obnNvbiIsImdpdmVuIjoiQy5EIiwibm9uLWRyb3BwaW5nLXBhcnRpY2xlIjoiIiwicGFyc2UtbmFtZXMiOmZhbHNlLCJzdWZmaXgiOiIifSx7ImRyb3BwaW5nLXBhcnRpY2xlIjoiIiwiZmFtaWx5IjoiQWxkZXJzb24iLCJnaXZlbiI6IkQiLCJub24tZHJvcHBpbmctcGFydGljbGUiOiIiLCJwYXJzZS1uYW1lcyI6ZmFsc2UsInN1ZmZpeCI6IiJ9XSwiY29udGFpbmVyLXRpdGxlIjoiRXVyb3BlYW4gSm91cm5hbCBvZiBDYW5jZXIiLCJpZCI6ImM3YWIzYjA0LTVjOGItMzU0Mi1hZGVkLTY1NTBhZmZhOGRkOCIsImlzc3VlIjoiOCIsImlzc3VlZCI6eyJkYXRlLXBhcnRzIjpbWyIyMDAxIiwiNSJdXX0sInBhZ2UiOiI5NjYtOTcxIiwidGl0bGUiOiJEZXZlbG9wbWVudCBvZiBhbiBFT1JUQyBkaXNlYXNlLXNwZWNpZmljIHF1YWxpdHkgb2YgbGlmZSBtb2R1bGUgZm9yIHVzZSBpbiBwYXRpZW50cyB3aXRoIGdhc3RyaWMgY2FuY2VyIiwidHlwZSI6ImFydGljbGUtam91cm5hbCIsInZvbHVtZSI6IjM3IiwiY29udGFpbmVyLXRpdGxlLXNob3J0IjoiRXVyIEogQ2FuY2VyIn0sInVyaXMiOlsiaHR0cDovL3d3dy5tZW5kZWxleS5jb20vZG9jdW1lbnRzLz91dWlkPTBkYWQxNDE5LWY4MWUtNGI1Mi1iOTY1LWM2MDExNTdhMWMyZCJdLCJpc1RlbXBvcmFyeSI6ZmFsc2UsImxlZ2FjeURlc2t0b3BJZCI6IjBkYWQxNDE5LWY4MWUtNGI1Mi1iOTY1LWM2MDExNTdhMWMyZCJ9XX0=&quot;,&quot;citationItems&quot;:[{&quot;id&quot;:&quot;290ca4d3-b8fd-3001-b40f-9644412db830&quot;,&quot;itemData&quot;:{&quot;DOI&quot;:&quot;10.1093/jnci/85.5.365&quot;,&quot;ISSN&quot;:&quot;0027-8874&quot;,&quot;author&quot;:[{&quot;dropping-particle&quot;:&quot;&quot;,&quot;family&quot;:&quot;Aaronson&quot;,&quot;given&quot;:&quot;N. K.&quot;,&quot;non-dropping-particle&quot;:&quot;&quot;,&quot;parse-names&quot;:false,&quot;suffix&quot;:&quot;&quot;},{&quot;dropping-particle&quot;:&quot;&quot;,&quot;family&quot;:&quot;Ahmedzai&quot;,&quot;given&quot;:&quot;S.&quot;,&quot;non-dropping-particle&quot;:&quot;&quot;,&quot;parse-names&quot;:false,&quot;suffix&quot;:&quot;&quot;},{&quot;dropping-particle&quot;:&quot;&quot;,&quot;family&quot;:&quot;Bergman&quot;,&quot;given&quot;:&quot;B.&quot;,&quot;non-dropping-particle&quot;:&quot;&quot;,&quot;parse-names&quot;:false,&quot;suffix&quot;:&quot;&quot;},{&quot;dropping-particle&quot;:&quot;&quot;,&quot;family&quot;:&quot;Bullinger&quot;,&quot;given&quot;:&quot;M.&quot;,&quot;non-dropping-particle&quot;:&quot;&quot;,&quot;parse-names&quot;:false,&quot;suffix&quot;:&quot;&quot;},{&quot;dropping-particle&quot;:&quot;&quot;,&quot;family&quot;:&quot;Cull&quot;,&quot;given&quot;:&quot;A.&quot;,&quot;non-dropping-particle&quot;:&quot;&quot;,&quot;parse-names&quot;:false,&quot;suffix&quot;:&quot;&quot;},{&quot;dropping-particle&quot;:&quot;&quot;,&quot;family&quot;:&quot;Duez&quot;,&quot;given&quot;:&quot;N. J.&quot;,&quot;non-dropping-particle&quot;:&quot;&quot;,&quot;parse-names&quot;:false,&quot;suffix&quot;:&quot;&quot;},{&quot;dropping-particle&quot;:&quot;&quot;,&quot;family&quot;:&quot;Filiberti&quot;,&quot;given&quot;:&quot;A.&quot;,&quot;non-dropping-particle&quot;:&quot;&quot;,&quot;parse-names&quot;:false,&quot;suffix&quot;:&quot;&quot;},{&quot;dropping-particle&quot;:&quot;&quot;,&quot;family&quot;:&quot;Flechtner&quot;,&quot;given&quot;:&quot;H.&quot;,&quot;non-dropping-particle&quot;:&quot;&quot;,&quot;parse-names&quot;:false,&quot;suffix&quot;:&quot;&quot;},{&quot;dropping-particle&quot;:&quot;&quot;,&quot;family&quot;:&quot;Fleishman&quot;,&quot;given&quot;:&quot;S. B.&quot;,&quot;non-dropping-particle&quot;:&quot;&quot;,&quot;parse-names&quot;:false,&quot;suffix&quot;:&quot;&quot;},{&quot;dropping-particle&quot;:&quot;&quot;,&quot;family&quot;:&quot;Haes&quot;,&quot;given&quot;:&quot;J. C. J. M. d.&quot;,&quot;non-dropping-particle&quot;:&quot;&quot;,&quot;parse-names&quot;:false,&quot;suffix&quot;:&quot;&quot;},{&quot;dropping-particle&quot;:&quot;&quot;,&quot;family&quot;:&quot;Kaasa&quot;,&quot;given&quot;:&quot;S.&quot;,&quot;non-dropping-particle&quot;:&quot;&quot;,&quot;parse-names&quot;:false,&quot;suffix&quot;:&quot;&quot;},{&quot;dropping-particle&quot;:&quot;&quot;,&quot;family&quot;:&quot;Klee&quot;,&quot;given&quot;:&quot;M.&quot;,&quot;non-dropping-particle&quot;:&quot;&quot;,&quot;parse-names&quot;:false,&quot;suffix&quot;:&quot;&quot;},{&quot;dropping-particle&quot;:&quot;&quot;,&quot;family&quot;:&quot;Osoba&quot;,&quot;given&quot;:&quot;D.&quot;,&quot;non-dropping-particle&quot;:&quot;&quot;,&quot;parse-names&quot;:false,&quot;suffix&quot;:&quot;&quot;},{&quot;dropping-particle&quot;:&quot;&quot;,&quot;family&quot;:&quot;Razavi&quot;,&quot;given&quot;:&quot;D.&quot;,&quot;non-dropping-particle&quot;:&quot;&quot;,&quot;parse-names&quot;:false,&quot;suffix&quot;:&quot;&quot;},{&quot;dropping-particle&quot;:&quot;&quot;,&quot;family&quot;:&quot;Rofe&quot;,&quot;given&quot;:&quot;P. B.&quot;,&quot;non-dropping-particle&quot;:&quot;&quot;,&quot;parse-names&quot;:false,&quot;suffix&quot;:&quot;&quot;},{&quot;dropping-particle&quot;:&quot;&quot;,&quot;family&quot;:&quot;Schraub&quot;,&quot;given&quot;:&quot;S.&quot;,&quot;non-dropping-particle&quot;:&quot;&quot;,&quot;parse-names&quot;:false,&quot;suffix&quot;:&quot;&quot;},{&quot;dropping-particle&quot;:&quot;&quot;,&quot;family&quot;:&quot;Sneeuw&quot;,&quot;given&quot;:&quot;K.&quot;,&quot;non-dropping-particle&quot;:&quot;&quot;,&quot;parse-names&quot;:false,&quot;suffix&quot;:&quot;&quot;},{&quot;dropping-particle&quot;:&quot;&quot;,&quot;family&quot;:&quot;Sullivan&quot;,&quot;given&quot;:&quot;M.&quot;,&quot;non-dropping-particle&quot;:&quot;&quot;,&quot;parse-names&quot;:false,&quot;suffix&quot;:&quot;&quot;},{&quot;dropping-particle&quot;:&quot;&quot;,&quot;family&quot;:&quot;Takeda&quot;,&quot;given&quot;:&quot;F.&quot;,&quot;non-dropping-particle&quot;:&quot;&quot;,&quot;parse-names&quot;:false,&quot;suffix&quot;:&quot;&quot;}],&quot;container-title&quot;:&quot;JNCI Journal of the National Cancer Institute&quot;,&quot;id&quot;:&quot;290ca4d3-b8fd-3001-b40f-9644412db830&quot;,&quot;issue&quot;:&quot;5&quot;,&quot;issued&quot;:{&quot;date-parts&quot;:[[&quot;1993&quot;,&quot;3&quot;,&quot;3&quot;]]},&quot;page&quot;:&quot;365-376&quot;,&quot;title&quot;:&quot;The European Organization for Research and Treatment of Cancer QLQ-C30: A Quality-of-Life Instrument for Use in International Clinical Trials in Oncology&quot;,&quot;type&quot;:&quot;article-journal&quot;,&quot;volume&quot;:&quot;85&quot;,&quot;container-title-short&quot;:&quot;&quot;},&quot;uris&quot;:[&quot;http://www.mendeley.com/documents/?uuid=ae7b4ad1-998f-400c-9b49-80d753992eb7&quot;],&quot;isTemporary&quot;:false,&quot;legacyDesktopId&quot;:&quot;ae7b4ad1-998f-400c-9b49-80d753992eb7&quot;},{&quot;id&quot;:&quot;c7ab3b04-5c8b-3542-aded-6550affa8dd8&quot;,&quot;itemData&quot;:{&quot;DOI&quot;:&quot;10.1016/S0959-8049(00)00417-2&quot;,&quot;ISSN&quot;:&quot;09598049&quot;,&quot;author&quot;:[{&quot;dropping-particle&quot;:&quot;&quot;,&quot;family&quot;:&quot;Vickery&quot;,&quot;given&quot;:&quot;C.W&quot;,&quot;non-dropping-particle&quot;:&quot;&quot;,&quot;parse-names&quot;:false,&quot;suffix&quot;:&quot;&quot;},{&quot;dropping-particle&quot;:&quot;&quot;,&quot;family&quot;:&quot;Blazeby&quot;,&quot;given&quot;:&quot;J.M&quot;,&quot;non-dropping-particle&quot;:&quot;&quot;,&quot;parse-names&quot;:false,&quot;suffix&quot;:&quot;&quot;},{&quot;dropping-particle&quot;:&quot;&quot;,&quot;family&quot;:&quot;Conroy&quot;,&quot;given&quot;:&quot;T&quot;,&quot;non-dropping-particle&quot;:&quot;&quot;,&quot;parse-names&quot;:false,&quot;suffix&quot;:&quot;&quot;},{&quot;dropping-particle&quot;:&quot;&quot;,&quot;family&quot;:&quot;Arraras&quot;,&quot;given&quot;:&quot;J&quot;,&quot;non-dropping-particle&quot;:&quot;&quot;,&quot;parse-names&quot;:false,&quot;suffix&quot;:&quot;&quot;},{&quot;dropping-particle&quot;:&quot;&quot;,&quot;family&quot;:&quot;Sezer&quot;,&quot;given&quot;:&quot;O&quot;,&quot;non-dropping-particle&quot;:&quot;&quot;,&quot;parse-names&quot;:false,&quot;suffix&quot;:&quot;&quot;},{&quot;dropping-particle&quot;:&quot;&quot;,&quot;family&quot;:&quot;Koller&quot;,&quot;given&quot;:&quot;M&quot;,&quot;non-dropping-particle&quot;:&quot;&quot;,&quot;parse-names&quot;:false,&quot;suffix&quot;:&quot;&quot;},{&quot;dropping-particle&quot;:&quot;&quot;,&quot;family&quot;:&quot;Rosemeyer&quot;,&quot;given&quot;:&quot;D&quot;,&quot;non-dropping-particle&quot;:&quot;&quot;,&quot;parse-names&quot;:false,&quot;suffix&quot;:&quot;&quot;},{&quot;dropping-particle&quot;:&quot;&quot;,&quot;family&quot;:&quot;Johnson&quot;,&quot;given&quot;:&quot;C.D&quot;,&quot;non-dropping-particle&quot;:&quot;&quot;,&quot;parse-names&quot;:false,&quot;suffix&quot;:&quot;&quot;},{&quot;dropping-particle&quot;:&quot;&quot;,&quot;family&quot;:&quot;Alderson&quot;,&quot;given&quot;:&quot;D&quot;,&quot;non-dropping-particle&quot;:&quot;&quot;,&quot;parse-names&quot;:false,&quot;suffix&quot;:&quot;&quot;}],&quot;container-title&quot;:&quot;European Journal of Cancer&quot;,&quot;id&quot;:&quot;c7ab3b04-5c8b-3542-aded-6550affa8dd8&quot;,&quot;issue&quot;:&quot;8&quot;,&quot;issued&quot;:{&quot;date-parts&quot;:[[&quot;2001&quot;,&quot;5&quot;]]},&quot;page&quot;:&quot;966-971&quot;,&quot;title&quot;:&quot;Development of an EORTC disease-specific quality of life module for use in patients with gastric cancer&quot;,&quot;type&quot;:&quot;article-journal&quot;,&quot;volume&quot;:&quot;37&quot;,&quot;container-title-short&quot;:&quot;Eur J Cancer&quot;},&quot;uris&quot;:[&quot;http://www.mendeley.com/documents/?uuid=0dad1419-f81e-4b52-b965-c601157a1c2d&quot;],&quot;isTemporary&quot;:false,&quot;legacyDesktopId&quot;:&quot;0dad1419-f81e-4b52-b965-c601157a1c2d&quot;}]},{&quot;citationID&quot;:&quot;MENDELEY_CITATION_a5dd3d8a-7d49-4141-b0f9-c5ec33edf660&quot;,&quot;properties&quot;:{&quot;noteIndex&quot;:0},&quot;isEdited&quot;:false,&quot;manualOverride&quot;:{&quot;citeprocText&quot;:&quot;[7]&quot;,&quot;isManuallyOverridden&quot;:false,&quot;manualOverrideText&quot;:&quot;&quot;},&quot;citationTag&quot;:&quot;MENDELEY_CITATION_v3_eyJjaXRhdGlvbklEIjoiTUVOREVMRVlfQ0lUQVRJT05fYTVkZDNkOGEtN2Q0OS00MTQxLWIwZjktYzVlYzMzZWRmNjYwIiwicHJvcGVydGllcyI6eyJub3RlSW5kZXgiOjB9LCJpc0VkaXRlZCI6ZmFsc2UsIm1hbnVhbE92ZXJyaWRlIjp7ImNpdGVwcm9jVGV4dCI6Ils3XSIsImlzTWFudWFsbHlPdmVycmlkZGVuIjpmYWxzZSwibWFudWFsT3ZlcnJpZGVUZXh0IjoiIn0sImNpdGF0aW9uSXRlbXMiOlt7ImlkIjoiMmFjNGE3NDctNTcyZC0zNDg0LTk1ZGEtNWI1OGY0ZWQ4NjYxIiwiaXRlbURhdGEiOnsiRE9JIjoiMTAuMzEwOS8wNzg1Mzg5MDEwOTAwMjA4NyIsIklTU04iOiIwNzg1LTM4OTAiLCJhdXRob3IiOlt7ImRyb3BwaW5nLXBhcnRpY2xlIjoiIiwiZmFtaWx5IjoiUmFiaW4iLCJnaXZlbiI6IlJvc2FsaW5kIiwibm9uLWRyb3BwaW5nLXBhcnRpY2xlIjoiIiwicGFyc2UtbmFtZXMiOmZhbHNlLCJzdWZmaXgiOiIifSx7ImRyb3BwaW5nLXBhcnRpY2xlIjoiZGUiLCJmYW1pbHkiOiJDaGFycm8iLCJnaXZlbiI6IkZyYW5rIiwibm9uLWRyb3BwaW5nLXBhcnRpY2xlIjoiIiwicGFyc2UtbmFtZXMiOmZhbHNlLCJzdWZmaXgiOiIifV0sImNvbnRhaW5lci10aXRsZSI6IkFubmFscyBvZiBNZWRpY2luZSIsImlkIjoiMmFjNGE3NDctNTcyZC0zNDg0LTk1ZGEtNWI1OGY0ZWQ4NjYxIiwiaXNzdWUiOiI1IiwiaXNzdWVkIjp7ImRhdGUtcGFydHMiOltbIjIwMDEiLCIxIiwiOCJdXX0sInBhZ2UiOiIzMzctMzQzIiwidGl0bGUiOiJFUS1TRDogYSBtZWFzdXJlIG9mIGhlYWx0aCBzdGF0dXMgZnJvbSB0aGUgRXVyb1FvbCBHcm91cCIsInR5cGUiOiJhcnRpY2xlLWpvdXJuYWwiLCJ2b2x1bWUiOiIzMyIsImNvbnRhaW5lci10aXRsZS1zaG9ydCI6IkFubiBNZWQifSwidXJpcyI6WyJodHRwOi8vd3d3Lm1lbmRlbGV5LmNvbS9kb2N1bWVudHMvP3V1aWQ9ZmQyYTU3YjQtYjg5MC00ZjMzLTk1OTYtNWU1ODdkYmU0NjZjIl0sImlzVGVtcG9yYXJ5IjpmYWxzZSwibGVnYWN5RGVza3RvcElkIjoiZmQyYTU3YjQtYjg5MC00ZjMzLTk1OTYtNWU1ODdkYmU0NjZjIn1dfQ==&quot;,&quot;citationItems&quot;:[{&quot;id&quot;:&quot;2ac4a747-572d-3484-95da-5b58f4ed8661&quot;,&quot;itemData&quot;:{&quot;DOI&quot;:&quot;10.3109/07853890109002087&quot;,&quot;ISSN&quot;:&quot;0785-3890&quot;,&quot;author&quot;:[{&quot;dropping-particle&quot;:&quot;&quot;,&quot;family&quot;:&quot;Rabin&quot;,&quot;given&quot;:&quot;Rosalind&quot;,&quot;non-dropping-particle&quot;:&quot;&quot;,&quot;parse-names&quot;:false,&quot;suffix&quot;:&quot;&quot;},{&quot;dropping-particle&quot;:&quot;de&quot;,&quot;family&quot;:&quot;Charro&quot;,&quot;given&quot;:&quot;Frank&quot;,&quot;non-dropping-particle&quot;:&quot;&quot;,&quot;parse-names&quot;:false,&quot;suffix&quot;:&quot;&quot;}],&quot;container-title&quot;:&quot;Annals of Medicine&quot;,&quot;id&quot;:&quot;2ac4a747-572d-3484-95da-5b58f4ed8661&quot;,&quot;issue&quot;:&quot;5&quot;,&quot;issued&quot;:{&quot;date-parts&quot;:[[&quot;2001&quot;,&quot;1&quot;,&quot;8&quot;]]},&quot;page&quot;:&quot;337-343&quot;,&quot;title&quot;:&quot;EQ-SD: a measure of health status from the EuroQol Group&quot;,&quot;type&quot;:&quot;article-journal&quot;,&quot;volume&quot;:&quot;33&quot;,&quot;container-title-short&quot;:&quot;Ann Med&quot;},&quot;uris&quot;:[&quot;http://www.mendeley.com/documents/?uuid=fd2a57b4-b890-4f33-9596-5e587dbe466c&quot;],&quot;isTemporary&quot;:false,&quot;legacyDesktopId&quot;:&quot;fd2a57b4-b890-4f33-9596-5e587dbe466c&quot;}]}]"/>
    <we:property name="MENDELEY_CITATIONS_LOCALE_CODE" value="&quot;en-US&quot;"/>
    <we:property name="MENDELEY_CITATIONS_STYLE" value="{&quot;id&quot;:&quot;https://csl.mendeley.com/styles/516374651/biomed-central-2&quot;,&quot;title&quot;:&quot;BioMed Central - Yorick van de Pavert&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B75B1-2D30-4551-86A7-76FB2C541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982</Words>
  <Characters>5405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Pavert, Y.L. van de (Yorick)</dc:creator>
  <cp:keywords/>
  <dc:description/>
  <cp:lastModifiedBy>Pavert, Y.L. van de (Yorick)</cp:lastModifiedBy>
  <cp:revision>4</cp:revision>
  <dcterms:created xsi:type="dcterms:W3CDTF">2023-05-02T15:28:00Z</dcterms:created>
  <dcterms:modified xsi:type="dcterms:W3CDTF">2023-05-04T11:24:00Z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http://www.zotero.org/styles/trials</vt:lpwstr>
  </property>
  <property fmtid="{D5CDD505-2E9C-101B-9397-08002B2CF9AE}" pid="21" name="Mendeley Recent Style Name 9_1">
    <vt:lpwstr>Trials</vt:lpwstr>
  </property>
  <property fmtid="{D5CDD505-2E9C-101B-9397-08002B2CF9AE}" pid="22" name="Mendeley Document_1">
    <vt:lpwstr>True</vt:lpwstr>
  </property>
  <property fmtid="{D5CDD505-2E9C-101B-9397-08002B2CF9AE}" pid="23" name="Mendeley Unique User Id_1">
    <vt:lpwstr>8f91e6d8-fd22-377a-8507-9aad3d775b43</vt:lpwstr>
  </property>
  <property fmtid="{D5CDD505-2E9C-101B-9397-08002B2CF9AE}" pid="24" name="Mendeley Citation Style_1">
    <vt:lpwstr>http://www.zotero.org/styles/trials</vt:lpwstr>
  </property>
</Properties>
</file>