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85AE1" w14:textId="4E3FB7E1" w:rsidR="004B1B4B" w:rsidRPr="00EA07D1" w:rsidRDefault="004B1B4B" w:rsidP="0012185A">
      <w:pPr>
        <w:pStyle w:val="Body"/>
        <w:widowControl w:val="0"/>
        <w:spacing w:line="480" w:lineRule="auto"/>
        <w:rPr>
          <w:b/>
        </w:rPr>
      </w:pPr>
      <w:r w:rsidRPr="00EA07D1">
        <w:rPr>
          <w:b/>
        </w:rPr>
        <w:t xml:space="preserve">Additional file 2 – </w:t>
      </w:r>
      <w:r w:rsidR="00F32045">
        <w:rPr>
          <w:b/>
        </w:rPr>
        <w:t>Preprocedural and postprocedural</w:t>
      </w:r>
      <w:r w:rsidRPr="00EA07D1">
        <w:rPr>
          <w:b/>
        </w:rPr>
        <w:t xml:space="preserve"> </w:t>
      </w:r>
      <w:r w:rsidR="00F32045">
        <w:rPr>
          <w:b/>
        </w:rPr>
        <w:t>care</w:t>
      </w:r>
    </w:p>
    <w:p w14:paraId="7B034B84" w14:textId="77777777" w:rsidR="00EA07D1" w:rsidRDefault="00EA07D1" w:rsidP="0012185A">
      <w:pPr>
        <w:pStyle w:val="Body"/>
        <w:widowControl w:val="0"/>
        <w:spacing w:line="480" w:lineRule="auto"/>
        <w:rPr>
          <w:b/>
        </w:rPr>
      </w:pPr>
    </w:p>
    <w:p w14:paraId="487508BB" w14:textId="7AC07DCF" w:rsidR="00C0368A" w:rsidRPr="0082778C" w:rsidRDefault="00C0368A" w:rsidP="0012185A">
      <w:pPr>
        <w:pStyle w:val="Body"/>
        <w:widowControl w:val="0"/>
        <w:spacing w:line="480" w:lineRule="auto"/>
        <w:rPr>
          <w:b/>
          <w:szCs w:val="24"/>
        </w:rPr>
      </w:pPr>
      <w:r w:rsidRPr="0082778C">
        <w:rPr>
          <w:b/>
          <w:szCs w:val="24"/>
        </w:rPr>
        <w:t>Investigational treatment: EUS-GE</w:t>
      </w:r>
    </w:p>
    <w:p w14:paraId="4CDCB87D" w14:textId="3B9D7D32" w:rsidR="00EA07D1" w:rsidRPr="00DC03C6" w:rsidRDefault="00EA07D1" w:rsidP="0012185A">
      <w:pPr>
        <w:pStyle w:val="Body"/>
        <w:widowControl w:val="0"/>
        <w:spacing w:line="480" w:lineRule="auto"/>
        <w:rPr>
          <w:u w:val="single"/>
        </w:rPr>
      </w:pPr>
      <w:r w:rsidRPr="00DC03C6">
        <w:rPr>
          <w:u w:val="single"/>
        </w:rPr>
        <w:t>Preprocedural measures</w:t>
      </w:r>
    </w:p>
    <w:p w14:paraId="4A9E62FC" w14:textId="77777777" w:rsidR="00EA07D1" w:rsidRPr="00C35AD6" w:rsidRDefault="00EA07D1" w:rsidP="0012185A">
      <w:pPr>
        <w:pStyle w:val="Body"/>
        <w:widowControl w:val="0"/>
        <w:numPr>
          <w:ilvl w:val="0"/>
          <w:numId w:val="1"/>
        </w:numPr>
        <w:spacing w:line="480" w:lineRule="auto"/>
      </w:pPr>
      <w:r w:rsidRPr="00C35AD6">
        <w:t>Fasting: aim for an as empty as possible stomach, by 12 hours fasting for solid food, 6</w:t>
      </w:r>
      <w:r>
        <w:t xml:space="preserve"> </w:t>
      </w:r>
      <w:r w:rsidRPr="00C35AD6">
        <w:t>hours fasting for liquids.</w:t>
      </w:r>
    </w:p>
    <w:p w14:paraId="394833A4" w14:textId="3BD07A84" w:rsidR="00EA07D1" w:rsidRPr="00C35AD6" w:rsidRDefault="00EA07D1" w:rsidP="0012185A">
      <w:pPr>
        <w:pStyle w:val="Body"/>
        <w:widowControl w:val="0"/>
        <w:numPr>
          <w:ilvl w:val="0"/>
          <w:numId w:val="1"/>
        </w:numPr>
        <w:spacing w:line="480" w:lineRule="auto"/>
      </w:pPr>
      <w:r w:rsidRPr="00C35AD6">
        <w:t>Nasogastric tube: nasogastric tube placement to allow emptying of the stomach and limit</w:t>
      </w:r>
      <w:r>
        <w:t xml:space="preserve"> </w:t>
      </w:r>
      <w:r w:rsidRPr="00C35AD6">
        <w:t>gastric distension is obligatory prior to EUS-GE to reduc</w:t>
      </w:r>
      <w:r>
        <w:t xml:space="preserve">e risk of aspiration of gastric </w:t>
      </w:r>
      <w:r w:rsidRPr="00C35AD6">
        <w:t>contents. If indicated, plain abdominal radiography</w:t>
      </w:r>
      <w:r>
        <w:t xml:space="preserve"> will be performed to verify an </w:t>
      </w:r>
      <w:r w:rsidRPr="00C35AD6">
        <w:t>adequate position of the nasogastric tube.</w:t>
      </w:r>
    </w:p>
    <w:p w14:paraId="21F1E91B" w14:textId="71267345" w:rsidR="00EA07D1" w:rsidRPr="00C35AD6" w:rsidRDefault="00EA07D1" w:rsidP="0012185A">
      <w:pPr>
        <w:pStyle w:val="Body"/>
        <w:widowControl w:val="0"/>
        <w:numPr>
          <w:ilvl w:val="0"/>
          <w:numId w:val="1"/>
        </w:numPr>
        <w:spacing w:line="480" w:lineRule="auto"/>
      </w:pPr>
      <w:r w:rsidRPr="00C35AD6">
        <w:t>Jejunal feeding tube: if already placed for tube feeding, the tube will be left in situ to be</w:t>
      </w:r>
      <w:r>
        <w:t xml:space="preserve"> </w:t>
      </w:r>
      <w:r w:rsidRPr="00C35AD6">
        <w:t>used for flushing and filling the post-stenotic duodenal-</w:t>
      </w:r>
      <w:r>
        <w:t xml:space="preserve">jejunal loop during the EUS-GE </w:t>
      </w:r>
      <w:r w:rsidRPr="00C35AD6">
        <w:t>placement.</w:t>
      </w:r>
    </w:p>
    <w:p w14:paraId="58887212" w14:textId="4869A435" w:rsidR="00EA07D1" w:rsidRPr="00C35AD6" w:rsidRDefault="00EA07D1" w:rsidP="0012185A">
      <w:pPr>
        <w:pStyle w:val="Body"/>
        <w:widowControl w:val="0"/>
        <w:numPr>
          <w:ilvl w:val="0"/>
          <w:numId w:val="1"/>
        </w:numPr>
        <w:spacing w:line="480" w:lineRule="auto"/>
      </w:pPr>
      <w:r w:rsidRPr="00C35AD6">
        <w:t>Antibiotics: One dose of prophylactic intravenous antibiotics, covering intra-abdominal</w:t>
      </w:r>
      <w:r>
        <w:t xml:space="preserve"> </w:t>
      </w:r>
      <w:r w:rsidRPr="00C35AD6">
        <w:t>infections will be administered 30 minutes prior to o</w:t>
      </w:r>
      <w:r>
        <w:t xml:space="preserve">r during EUS-GE. For example, a </w:t>
      </w:r>
      <w:r w:rsidRPr="00C35AD6">
        <w:t xml:space="preserve">single dose of </w:t>
      </w:r>
      <w:r w:rsidR="00063F5A">
        <w:t>ceftriaxone</w:t>
      </w:r>
      <w:r w:rsidRPr="00C35AD6">
        <w:t xml:space="preserve"> 2000 mg and </w:t>
      </w:r>
      <w:r w:rsidR="00063F5A">
        <w:t>metronidazole</w:t>
      </w:r>
      <w:r>
        <w:t xml:space="preserve"> 500 mg, or an equivalent in </w:t>
      </w:r>
      <w:r w:rsidRPr="00C35AD6">
        <w:t>accordance with local protocol based on local resistance patterns.</w:t>
      </w:r>
    </w:p>
    <w:p w14:paraId="71209BDE" w14:textId="768A63F0" w:rsidR="00EA07D1" w:rsidRDefault="00EA07D1" w:rsidP="0012185A">
      <w:pPr>
        <w:pStyle w:val="Body"/>
        <w:widowControl w:val="0"/>
        <w:numPr>
          <w:ilvl w:val="0"/>
          <w:numId w:val="1"/>
        </w:numPr>
        <w:spacing w:line="480" w:lineRule="auto"/>
      </w:pPr>
      <w:r w:rsidRPr="00C35AD6">
        <w:t>Anticoagulants and antiplatelet drugs: In case vitamin K antagonists are used, INR needs</w:t>
      </w:r>
      <w:r>
        <w:t xml:space="preserve"> </w:t>
      </w:r>
      <w:r w:rsidRPr="00C35AD6">
        <w:t>to be &lt; 1.5. Direct acting oral anticoagulants need to be</w:t>
      </w:r>
      <w:r>
        <w:t xml:space="preserve"> discontinued 48 hours prior to </w:t>
      </w:r>
      <w:r w:rsidRPr="00C35AD6">
        <w:t>the procedure. Antiplatelet monotherapy is allowed. In cas</w:t>
      </w:r>
      <w:r>
        <w:t xml:space="preserve">e of dual antiplatelet therapy, </w:t>
      </w:r>
      <w:r w:rsidRPr="00C35AD6">
        <w:t>one of the two drugs need</w:t>
      </w:r>
      <w:r>
        <w:t>s</w:t>
      </w:r>
      <w:r w:rsidRPr="00C35AD6">
        <w:t xml:space="preserve"> to be discontinued </w:t>
      </w:r>
      <w:r>
        <w:t>five</w:t>
      </w:r>
      <w:r w:rsidRPr="00C35AD6">
        <w:t xml:space="preserve"> days prior to the procedure, in</w:t>
      </w:r>
      <w:r>
        <w:t xml:space="preserve"> </w:t>
      </w:r>
      <w:r w:rsidRPr="00C35AD6">
        <w:t>accordance with the intervention with high-bleeding risk g</w:t>
      </w:r>
      <w:r>
        <w:t xml:space="preserve">uideline. Anticoagulants and/or </w:t>
      </w:r>
      <w:r w:rsidRPr="00C35AD6">
        <w:t>antiplatelet agents are</w:t>
      </w:r>
      <w:r>
        <w:t xml:space="preserve"> typically</w:t>
      </w:r>
      <w:r w:rsidRPr="00C35AD6">
        <w:t xml:space="preserve"> restarted 24 hours post-procedurally.</w:t>
      </w:r>
    </w:p>
    <w:p w14:paraId="576167B0" w14:textId="49B3585A" w:rsidR="004C041E" w:rsidRPr="004C041E" w:rsidRDefault="004C041E" w:rsidP="0012185A">
      <w:pPr>
        <w:pStyle w:val="Body"/>
        <w:widowControl w:val="0"/>
        <w:spacing w:line="480" w:lineRule="auto"/>
      </w:pPr>
    </w:p>
    <w:p w14:paraId="0B0890C8" w14:textId="402A4E13" w:rsidR="00EA07D1" w:rsidRPr="00DD38BF" w:rsidRDefault="00EA07D1" w:rsidP="0012185A">
      <w:pPr>
        <w:pStyle w:val="Body"/>
        <w:widowControl w:val="0"/>
        <w:spacing w:line="480" w:lineRule="auto"/>
        <w:rPr>
          <w:u w:val="single"/>
        </w:rPr>
      </w:pPr>
      <w:r>
        <w:rPr>
          <w:u w:val="single"/>
        </w:rPr>
        <w:t>Post</w:t>
      </w:r>
      <w:r w:rsidRPr="00DD38BF">
        <w:rPr>
          <w:u w:val="single"/>
        </w:rPr>
        <w:t xml:space="preserve">procedural </w:t>
      </w:r>
      <w:r>
        <w:rPr>
          <w:u w:val="single"/>
        </w:rPr>
        <w:t>care</w:t>
      </w:r>
    </w:p>
    <w:p w14:paraId="62A70951" w14:textId="37B6BB42" w:rsidR="00EA07D1" w:rsidRDefault="00EA07D1" w:rsidP="0012185A">
      <w:pPr>
        <w:pStyle w:val="Body"/>
        <w:widowControl w:val="0"/>
        <w:numPr>
          <w:ilvl w:val="0"/>
          <w:numId w:val="1"/>
        </w:numPr>
        <w:spacing w:line="480" w:lineRule="auto"/>
      </w:pPr>
      <w:r>
        <w:t>Nasogastric tube or duodenal feeding tube: all tubes will be immediately removed after EUS-GE is completed. Tubes left in the gastrointestinal tract after EUS-GE pose a risk of stent dislodgement.</w:t>
      </w:r>
    </w:p>
    <w:p w14:paraId="3D1D5F43" w14:textId="2236F506" w:rsidR="00EA07D1" w:rsidRDefault="00EA07D1" w:rsidP="0012185A">
      <w:pPr>
        <w:pStyle w:val="Body"/>
        <w:widowControl w:val="0"/>
        <w:numPr>
          <w:ilvl w:val="0"/>
          <w:numId w:val="1"/>
        </w:numPr>
        <w:spacing w:line="480" w:lineRule="auto"/>
      </w:pPr>
      <w:r>
        <w:t>Diet: the day of the intervention a clear liquid diet can be initiated. The next day this will be advanced as tolerated, to an easily digestible/low residue food diet, and if this is accepted well, to solid food</w:t>
      </w:r>
      <w:r w:rsidR="00EC7355">
        <w:t xml:space="preserve"> (figure 1)</w:t>
      </w:r>
      <w:r>
        <w:t xml:space="preserve">. Since patients and/or caregivers tend to feel anxious to restart oral intake, this should be clearly communicated and encouraged. A skilled dietician can be contacted upon </w:t>
      </w:r>
      <w:r>
        <w:lastRenderedPageBreak/>
        <w:t>request to answer intake related questions.</w:t>
      </w:r>
    </w:p>
    <w:p w14:paraId="2ADC6A54" w14:textId="747BA402" w:rsidR="00EA07D1" w:rsidRDefault="00EA07D1" w:rsidP="0012185A">
      <w:pPr>
        <w:pStyle w:val="Body"/>
        <w:widowControl w:val="0"/>
        <w:numPr>
          <w:ilvl w:val="0"/>
          <w:numId w:val="1"/>
        </w:numPr>
        <w:spacing w:line="480" w:lineRule="auto"/>
      </w:pPr>
      <w:r>
        <w:t>Antibiotics: No post-procedural antibiotics are administered, unless indicated.</w:t>
      </w:r>
    </w:p>
    <w:p w14:paraId="64E7DBF3" w14:textId="2DF24F8E" w:rsidR="00EA07D1" w:rsidRDefault="00EA07D1" w:rsidP="0012185A">
      <w:pPr>
        <w:pStyle w:val="Body"/>
        <w:widowControl w:val="0"/>
        <w:numPr>
          <w:ilvl w:val="0"/>
          <w:numId w:val="1"/>
        </w:numPr>
        <w:spacing w:line="480" w:lineRule="auto"/>
      </w:pPr>
      <w:r>
        <w:t>Discharge: when judged clinically possible.</w:t>
      </w:r>
    </w:p>
    <w:p w14:paraId="6905E2E8" w14:textId="04FEAD56" w:rsidR="0012185A" w:rsidRDefault="00B82380" w:rsidP="0012185A">
      <w:pPr>
        <w:pStyle w:val="Body"/>
        <w:widowControl w:val="0"/>
        <w:spacing w:line="480" w:lineRule="auto"/>
      </w:pPr>
      <w:r>
        <w:t>Due to the limited prognosis of the research participants and the expected burden of recurrent endoscopic interventions, the LAMS will be left in place permanently.</w:t>
      </w:r>
    </w:p>
    <w:p w14:paraId="43E2B6E7" w14:textId="4131D614" w:rsidR="00B82380" w:rsidRPr="0012185A" w:rsidRDefault="0012185A" w:rsidP="0012185A">
      <w:pPr>
        <w:rPr>
          <w:rFonts w:ascii="Arial" w:eastAsia="Arial Unicode MS" w:hAnsi="Arial" w:cs="Arial Unicode MS"/>
          <w:color w:val="000000"/>
          <w:sz w:val="20"/>
          <w:szCs w:val="20"/>
          <w:u w:color="000000"/>
          <w:bdr w:val="nil"/>
          <w:lang w:val="en-GB"/>
        </w:rPr>
      </w:pPr>
      <w:r>
        <w:br w:type="page"/>
      </w:r>
    </w:p>
    <w:p w14:paraId="3FA0CA78" w14:textId="368BCE4F" w:rsidR="00367F71" w:rsidRPr="00367F71" w:rsidRDefault="00542F19" w:rsidP="00367F71">
      <w:pPr>
        <w:pStyle w:val="Body"/>
        <w:widowControl w:val="0"/>
        <w:spacing w:line="480" w:lineRule="auto"/>
      </w:pPr>
      <w:r w:rsidRPr="00542F19">
        <w:rPr>
          <w:noProof/>
          <w:lang w:val="nl-NL" w:eastAsia="nl-NL"/>
        </w:rPr>
        <w:lastRenderedPageBreak/>
        <w:drawing>
          <wp:inline distT="0" distB="0" distL="0" distR="0" wp14:anchorId="49F12F9D" wp14:editId="6F59EE01">
            <wp:extent cx="6120000" cy="2017728"/>
            <wp:effectExtent l="0" t="0" r="0" b="190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01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2380" w:rsidRPr="00D05A30">
        <w:rPr>
          <w:noProof/>
        </w:rPr>
        <mc:AlternateContent>
          <mc:Choice Requires="wps">
            <w:drawing>
              <wp:inline distT="0" distB="0" distL="0" distR="0" wp14:anchorId="313AC060" wp14:editId="35F2F6CC">
                <wp:extent cx="3792220" cy="246380"/>
                <wp:effectExtent l="0" t="0" r="0" b="1270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22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65699" w14:textId="77777777" w:rsidR="00B82380" w:rsidRPr="00150C88" w:rsidRDefault="00B82380" w:rsidP="00B8238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50C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Fig. 1</w:t>
                            </w:r>
                            <w:r w:rsidRPr="00150C8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Postprocedural care after EUS-GE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3AC06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width:298.6pt;height:1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KCZ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" stroked="f">
                <v:textbox>
                  <w:txbxContent>
                    <w:p w14:paraId="63565699" w14:textId="77777777" w:rsidR="00B82380" w:rsidRPr="00150C88" w:rsidRDefault="00B82380" w:rsidP="00B82380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150C8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Fig. 1</w:t>
                      </w:r>
                      <w:r w:rsidRPr="00150C88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Postprocedural care after EUS-GE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67F71">
        <w:rPr>
          <w:b/>
        </w:rPr>
        <w:br w:type="page"/>
      </w:r>
    </w:p>
    <w:p w14:paraId="17383CAA" w14:textId="53C1748B" w:rsidR="00EA07D1" w:rsidRDefault="00EA07D1" w:rsidP="0012185A">
      <w:pPr>
        <w:pStyle w:val="Body"/>
        <w:widowControl w:val="0"/>
        <w:spacing w:line="480" w:lineRule="auto"/>
        <w:rPr>
          <w:b/>
        </w:rPr>
      </w:pPr>
      <w:r>
        <w:rPr>
          <w:b/>
        </w:rPr>
        <w:lastRenderedPageBreak/>
        <w:t xml:space="preserve">Comparator: SGJ (standard treatment) </w:t>
      </w:r>
    </w:p>
    <w:p w14:paraId="637C0239" w14:textId="5E3D6DFD" w:rsidR="0059141E" w:rsidRDefault="0059141E" w:rsidP="0012185A">
      <w:pPr>
        <w:pStyle w:val="Body"/>
        <w:widowControl w:val="0"/>
        <w:spacing w:line="480" w:lineRule="auto"/>
      </w:pPr>
      <w:r>
        <w:t>Patients will be prepared for SGJ in a similar fashion to EUS-GE (</w:t>
      </w:r>
      <w:r w:rsidRPr="00906862">
        <w:rPr>
          <w:color w:val="auto"/>
        </w:rPr>
        <w:t>see paragraph on EUS</w:t>
      </w:r>
      <w:r>
        <w:t xml:space="preserve">-GE preprocedural measures). </w:t>
      </w:r>
    </w:p>
    <w:p w14:paraId="15A7B176" w14:textId="1E6BE0AC" w:rsidR="0059141E" w:rsidRDefault="0059141E" w:rsidP="0012185A">
      <w:pPr>
        <w:pStyle w:val="Body"/>
        <w:widowControl w:val="0"/>
        <w:spacing w:line="480" w:lineRule="auto"/>
      </w:pPr>
    </w:p>
    <w:p w14:paraId="5D4FABF8" w14:textId="73122859" w:rsidR="0059141E" w:rsidRDefault="0059141E" w:rsidP="0012185A">
      <w:pPr>
        <w:pStyle w:val="Body"/>
        <w:widowControl w:val="0"/>
        <w:spacing w:line="480" w:lineRule="auto"/>
        <w:rPr>
          <w:u w:val="single"/>
        </w:rPr>
      </w:pPr>
      <w:r w:rsidRPr="00690FA1">
        <w:rPr>
          <w:u w:val="single"/>
        </w:rPr>
        <w:t>Postoperative care</w:t>
      </w:r>
    </w:p>
    <w:p w14:paraId="54853A76" w14:textId="360F9337" w:rsidR="0059141E" w:rsidRPr="00CC76D2" w:rsidRDefault="0059141E" w:rsidP="0012185A">
      <w:pPr>
        <w:pStyle w:val="Body"/>
        <w:widowControl w:val="0"/>
        <w:numPr>
          <w:ilvl w:val="0"/>
          <w:numId w:val="2"/>
        </w:numPr>
        <w:spacing w:line="480" w:lineRule="auto"/>
      </w:pPr>
      <w:r w:rsidRPr="00CC76D2">
        <w:t>Nasogastric tube: According to medical protocol, all patients will receive a nasogastric</w:t>
      </w:r>
      <w:r>
        <w:t xml:space="preserve"> </w:t>
      </w:r>
      <w:r w:rsidRPr="00CC76D2">
        <w:t>tube after SGJ. The morning after the SGJ procedure, the nasogastric tube will be</w:t>
      </w:r>
      <w:r>
        <w:t xml:space="preserve"> </w:t>
      </w:r>
      <w:r w:rsidRPr="00CC76D2">
        <w:t xml:space="preserve">disconnected from the collection bag but remain in situ. </w:t>
      </w:r>
      <w:r w:rsidRPr="00906862">
        <w:rPr>
          <w:color w:val="auto"/>
        </w:rPr>
        <w:t>After 4 hours gastric residual volume will be determined. When the residual volume is less than 200</w:t>
      </w:r>
      <w:r w:rsidRPr="00380CD8">
        <w:rPr>
          <w:color w:val="auto"/>
        </w:rPr>
        <w:t xml:space="preserve">-300 </w:t>
      </w:r>
      <w:r w:rsidRPr="00906862">
        <w:rPr>
          <w:color w:val="auto"/>
        </w:rPr>
        <w:t>ml, the tube will be removed. When the volume exceeds this limit, every 24 hours gastric residual volume will be determined. When the residue is less than 200</w:t>
      </w:r>
      <w:r w:rsidRPr="00380CD8">
        <w:rPr>
          <w:color w:val="auto"/>
        </w:rPr>
        <w:t>-300</w:t>
      </w:r>
      <w:r w:rsidRPr="00906862">
        <w:rPr>
          <w:color w:val="auto"/>
        </w:rPr>
        <w:t xml:space="preserve"> ml measured over four hours, the tube will be removed</w:t>
      </w:r>
      <w:r w:rsidR="009C7D5D">
        <w:rPr>
          <w:color w:val="auto"/>
        </w:rPr>
        <w:t xml:space="preserve"> (figure 2)</w:t>
      </w:r>
      <w:r w:rsidRPr="00906862">
        <w:rPr>
          <w:color w:val="auto"/>
        </w:rPr>
        <w:t>.</w:t>
      </w:r>
    </w:p>
    <w:p w14:paraId="162093E4" w14:textId="0F536C17" w:rsidR="0059141E" w:rsidRPr="00CC76D2" w:rsidRDefault="0059141E" w:rsidP="0012185A">
      <w:pPr>
        <w:pStyle w:val="Body"/>
        <w:widowControl w:val="0"/>
        <w:numPr>
          <w:ilvl w:val="0"/>
          <w:numId w:val="2"/>
        </w:numPr>
        <w:spacing w:line="480" w:lineRule="auto"/>
      </w:pPr>
      <w:proofErr w:type="spellStart"/>
      <w:r w:rsidRPr="00CC76D2">
        <w:t>Nasojejunal</w:t>
      </w:r>
      <w:proofErr w:type="spellEnd"/>
      <w:r w:rsidRPr="00CC76D2">
        <w:t xml:space="preserve"> feeding tube: A </w:t>
      </w:r>
      <w:proofErr w:type="spellStart"/>
      <w:r w:rsidRPr="00CC76D2">
        <w:t>nasojejunal</w:t>
      </w:r>
      <w:proofErr w:type="spellEnd"/>
      <w:r w:rsidRPr="00CC76D2">
        <w:t xml:space="preserve"> feeding tube will not routinely be placed in</w:t>
      </w:r>
      <w:r>
        <w:t xml:space="preserve"> </w:t>
      </w:r>
      <w:r w:rsidRPr="00CC76D2">
        <w:t xml:space="preserve">patients after SGJ. In case of apparent delayed gastric emptying, a </w:t>
      </w:r>
      <w:proofErr w:type="spellStart"/>
      <w:r w:rsidRPr="00CC76D2">
        <w:t>nasojejunal</w:t>
      </w:r>
      <w:proofErr w:type="spellEnd"/>
      <w:r w:rsidRPr="00CC76D2">
        <w:t xml:space="preserve"> feeding</w:t>
      </w:r>
      <w:r>
        <w:t xml:space="preserve"> </w:t>
      </w:r>
      <w:r w:rsidRPr="00CC76D2">
        <w:t>tube will be placed under endoscopic guidance.</w:t>
      </w:r>
    </w:p>
    <w:p w14:paraId="7AD64F31" w14:textId="310509D8" w:rsidR="0059141E" w:rsidRDefault="0059141E" w:rsidP="0012185A">
      <w:pPr>
        <w:pStyle w:val="Body"/>
        <w:widowControl w:val="0"/>
        <w:numPr>
          <w:ilvl w:val="0"/>
          <w:numId w:val="2"/>
        </w:numPr>
        <w:spacing w:line="480" w:lineRule="auto"/>
      </w:pPr>
      <w:r w:rsidRPr="00CC76D2">
        <w:t>Diet: Patients will not commence oral intake unless the gastric residual volume is at an</w:t>
      </w:r>
      <w:r>
        <w:t xml:space="preserve"> </w:t>
      </w:r>
      <w:r w:rsidRPr="00CC76D2">
        <w:t>acceptable level (see nasogastric tube). However, a clear liquid diet is tolerated</w:t>
      </w:r>
      <w:r>
        <w:t xml:space="preserve"> </w:t>
      </w:r>
      <w:r w:rsidRPr="00CC76D2">
        <w:t>immediately after SGJ. When the gastric residual volume is acceptable, patients will start</w:t>
      </w:r>
      <w:r>
        <w:t xml:space="preserve"> with a soft solid food diet. This will be advanced in a stepwise manner, eventually – if tolerated – to a full solid diet</w:t>
      </w:r>
      <w:r w:rsidR="00CE43C7">
        <w:t xml:space="preserve"> (figure 2)</w:t>
      </w:r>
      <w:r>
        <w:t>.</w:t>
      </w:r>
    </w:p>
    <w:p w14:paraId="0AA901F1" w14:textId="0519D0AF" w:rsidR="0059141E" w:rsidRDefault="0059141E" w:rsidP="0012185A">
      <w:pPr>
        <w:pStyle w:val="Body"/>
        <w:widowControl w:val="0"/>
        <w:numPr>
          <w:ilvl w:val="0"/>
          <w:numId w:val="2"/>
        </w:numPr>
        <w:spacing w:line="480" w:lineRule="auto"/>
      </w:pPr>
      <w:r>
        <w:t>Antibiotics: No post-procedural antibiotics are administered, unless indicated.</w:t>
      </w:r>
    </w:p>
    <w:p w14:paraId="663262D2" w14:textId="0D9A7A63" w:rsidR="00367F71" w:rsidRDefault="0059141E" w:rsidP="00367F71">
      <w:pPr>
        <w:pStyle w:val="Body"/>
        <w:widowControl w:val="0"/>
        <w:numPr>
          <w:ilvl w:val="0"/>
          <w:numId w:val="2"/>
        </w:numPr>
        <w:spacing w:line="480" w:lineRule="auto"/>
      </w:pPr>
      <w:r>
        <w:t>Discharge: when judged clinically possible</w:t>
      </w:r>
      <w:r w:rsidR="00367F71">
        <w:t>.</w:t>
      </w:r>
    </w:p>
    <w:p w14:paraId="56A185E5" w14:textId="33DB724E" w:rsidR="00367F71" w:rsidRPr="00367F71" w:rsidRDefault="00367F71" w:rsidP="00367F71">
      <w:pPr>
        <w:rPr>
          <w:rFonts w:ascii="Arial" w:eastAsia="Arial Unicode MS" w:hAnsi="Arial" w:cs="Arial Unicode MS"/>
          <w:color w:val="000000"/>
          <w:sz w:val="20"/>
          <w:szCs w:val="20"/>
          <w:u w:color="000000"/>
          <w:bdr w:val="nil"/>
          <w:lang w:val="en-GB"/>
        </w:rPr>
      </w:pPr>
      <w:r>
        <w:br w:type="page"/>
      </w:r>
    </w:p>
    <w:p w14:paraId="076125DF" w14:textId="77777777" w:rsidR="00EA07D1" w:rsidRPr="00EA07D1" w:rsidRDefault="00FA196C" w:rsidP="0012185A">
      <w:pPr>
        <w:spacing w:line="480" w:lineRule="auto"/>
        <w:rPr>
          <w:lang w:val="en-GB"/>
        </w:rPr>
      </w:pPr>
      <w:r w:rsidRPr="00D05A30">
        <w:rPr>
          <w:noProof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64895" behindDoc="0" locked="0" layoutInCell="1" allowOverlap="1" wp14:anchorId="3D1C1E21" wp14:editId="3B69955A">
                <wp:simplePos x="0" y="0"/>
                <wp:positionH relativeFrom="margin">
                  <wp:align>left</wp:align>
                </wp:positionH>
                <wp:positionV relativeFrom="paragraph">
                  <wp:posOffset>2031613</wp:posOffset>
                </wp:positionV>
                <wp:extent cx="3792220" cy="246380"/>
                <wp:effectExtent l="0" t="0" r="0" b="12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22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B3997" w14:textId="29CD8AD3" w:rsidR="00D05A30" w:rsidRPr="00150C88" w:rsidRDefault="00810F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50C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Fig. 2</w:t>
                            </w:r>
                            <w:r w:rsidR="00D05A30" w:rsidRPr="00150C8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150C8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Postoperative care after SGJ. NGT nasogastric tube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E21" id="_x0000_s1027" type="#_x0000_t202" style="position:absolute;margin-left:0;margin-top:159.95pt;width:298.6pt;height:19.4pt;z-index:25166489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" stroked="f">
                <v:textbox>
                  <w:txbxContent>
                    <w:p w14:paraId="04BB3997" w14:textId="29CD8AD3" w:rsidR="00D05A30" w:rsidRPr="00150C88" w:rsidRDefault="00810FE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150C8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Fig. 2</w:t>
                      </w:r>
                      <w:r w:rsidR="00D05A30" w:rsidRPr="00150C88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150C88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Postoperative care after SGJ. NGT nasogastric tube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8EA9FB2" wp14:editId="0D4E632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20000" cy="2037068"/>
            <wp:effectExtent l="0" t="0" r="0" b="1905"/>
            <wp:wrapThrough wrapText="bothSides">
              <wp:wrapPolygon edited="0">
                <wp:start x="0" y="0"/>
                <wp:lineTo x="0" y="21418"/>
                <wp:lineTo x="21517" y="21418"/>
                <wp:lineTo x="21517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037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07D1" w:rsidRPr="00EA07D1" w:rsidSect="00851B28">
      <w:footerReference w:type="default" r:id="rId9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1741A" w14:textId="77777777" w:rsidR="0012185A" w:rsidRDefault="0012185A" w:rsidP="0012185A">
      <w:pPr>
        <w:spacing w:after="0" w:line="240" w:lineRule="auto"/>
      </w:pPr>
      <w:r>
        <w:separator/>
      </w:r>
    </w:p>
  </w:endnote>
  <w:endnote w:type="continuationSeparator" w:id="0">
    <w:p w14:paraId="22EA5605" w14:textId="77777777" w:rsidR="0012185A" w:rsidRDefault="0012185A" w:rsidP="00121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5197549"/>
      <w:docPartObj>
        <w:docPartGallery w:val="Page Numbers (Bottom of Page)"/>
        <w:docPartUnique/>
      </w:docPartObj>
    </w:sdtPr>
    <w:sdtContent>
      <w:p w14:paraId="76ACBFF9" w14:textId="2979C898" w:rsidR="0012185A" w:rsidRDefault="0012185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F044B0" w14:textId="77777777" w:rsidR="0012185A" w:rsidRDefault="001218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A03A3" w14:textId="77777777" w:rsidR="0012185A" w:rsidRDefault="0012185A" w:rsidP="0012185A">
      <w:pPr>
        <w:spacing w:after="0" w:line="240" w:lineRule="auto"/>
      </w:pPr>
      <w:r>
        <w:separator/>
      </w:r>
    </w:p>
  </w:footnote>
  <w:footnote w:type="continuationSeparator" w:id="0">
    <w:p w14:paraId="40D17D15" w14:textId="77777777" w:rsidR="0012185A" w:rsidRDefault="0012185A" w:rsidP="00121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320A1"/>
    <w:multiLevelType w:val="hybridMultilevel"/>
    <w:tmpl w:val="CE0EA864"/>
    <w:lvl w:ilvl="0" w:tplc="80362C6E">
      <w:numFmt w:val="bullet"/>
      <w:lvlText w:val="-"/>
      <w:lvlJc w:val="left"/>
      <w:pPr>
        <w:ind w:left="360" w:hanging="360"/>
      </w:pPr>
      <w:rPr>
        <w:rFonts w:ascii="Segoe UI" w:eastAsia="Calibr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E01E0"/>
    <w:multiLevelType w:val="hybridMultilevel"/>
    <w:tmpl w:val="33A6B468"/>
    <w:lvl w:ilvl="0" w:tplc="80362C6E">
      <w:numFmt w:val="bullet"/>
      <w:lvlText w:val="-"/>
      <w:lvlJc w:val="left"/>
      <w:pPr>
        <w:ind w:left="360" w:hanging="360"/>
      </w:pPr>
      <w:rPr>
        <w:rFonts w:ascii="Segoe UI" w:eastAsia="Calibr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4B"/>
    <w:rsid w:val="00063F5A"/>
    <w:rsid w:val="000F34E2"/>
    <w:rsid w:val="00112F3C"/>
    <w:rsid w:val="0012185A"/>
    <w:rsid w:val="00150C88"/>
    <w:rsid w:val="00283405"/>
    <w:rsid w:val="00324E11"/>
    <w:rsid w:val="00340F1F"/>
    <w:rsid w:val="00367F71"/>
    <w:rsid w:val="003B6D96"/>
    <w:rsid w:val="00407848"/>
    <w:rsid w:val="00450990"/>
    <w:rsid w:val="004B1B4B"/>
    <w:rsid w:val="004B6754"/>
    <w:rsid w:val="004C041E"/>
    <w:rsid w:val="00542F19"/>
    <w:rsid w:val="0059141E"/>
    <w:rsid w:val="0068385B"/>
    <w:rsid w:val="00810FED"/>
    <w:rsid w:val="00851B28"/>
    <w:rsid w:val="009242F5"/>
    <w:rsid w:val="009C7D5D"/>
    <w:rsid w:val="00A47DF9"/>
    <w:rsid w:val="00AF3635"/>
    <w:rsid w:val="00B82380"/>
    <w:rsid w:val="00BA66DD"/>
    <w:rsid w:val="00C0368A"/>
    <w:rsid w:val="00CB536F"/>
    <w:rsid w:val="00CE43C7"/>
    <w:rsid w:val="00D05A30"/>
    <w:rsid w:val="00D84578"/>
    <w:rsid w:val="00DB09D2"/>
    <w:rsid w:val="00EA07D1"/>
    <w:rsid w:val="00EC7355"/>
    <w:rsid w:val="00F32045"/>
    <w:rsid w:val="00F5176A"/>
    <w:rsid w:val="00FA0134"/>
    <w:rsid w:val="00FA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D1413"/>
  <w15:chartTrackingRefBased/>
  <w15:docId w15:val="{0123BD63-B1F5-4115-8FCB-BECBDB2D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0FE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">
    <w:name w:val="Body"/>
    <w:rsid w:val="00EA07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paragraph" w:styleId="Lijstalinea">
    <w:name w:val="List Paragraph"/>
    <w:basedOn w:val="Standaard"/>
    <w:uiPriority w:val="34"/>
    <w:qFormat/>
    <w:rsid w:val="005914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17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176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176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17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176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1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176A"/>
    <w:rPr>
      <w:rFonts w:ascii="Segoe UI" w:hAnsi="Segoe UI" w:cs="Segoe UI"/>
      <w:sz w:val="18"/>
      <w:szCs w:val="18"/>
    </w:rPr>
  </w:style>
  <w:style w:type="character" w:styleId="Regelnummer">
    <w:name w:val="line number"/>
    <w:basedOn w:val="Standaardalinea-lettertype"/>
    <w:uiPriority w:val="99"/>
    <w:semiHidden/>
    <w:unhideWhenUsed/>
    <w:rsid w:val="00851B28"/>
  </w:style>
  <w:style w:type="paragraph" w:styleId="Koptekst">
    <w:name w:val="header"/>
    <w:basedOn w:val="Standaard"/>
    <w:link w:val="KoptekstChar"/>
    <w:uiPriority w:val="99"/>
    <w:unhideWhenUsed/>
    <w:rsid w:val="00121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185A"/>
  </w:style>
  <w:style w:type="paragraph" w:styleId="Voettekst">
    <w:name w:val="footer"/>
    <w:basedOn w:val="Standaard"/>
    <w:link w:val="VoettekstChar"/>
    <w:uiPriority w:val="99"/>
    <w:unhideWhenUsed/>
    <w:rsid w:val="00121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1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2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2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6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5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5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1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2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0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614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Pavert, Y.L. van de (Yorick)</dc:creator>
  <cp:keywords/>
  <dc:description/>
  <cp:lastModifiedBy>Pavert, Y.L. van de (Yorick)</cp:lastModifiedBy>
  <cp:revision>12</cp:revision>
  <dcterms:created xsi:type="dcterms:W3CDTF">2023-05-04T08:55:00Z</dcterms:created>
  <dcterms:modified xsi:type="dcterms:W3CDTF">2023-05-04T11:23:00Z</dcterms:modified>
</cp:coreProperties>
</file>