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7BBA3" w14:textId="77777777" w:rsidR="008F7D7C" w:rsidRPr="001575DC" w:rsidRDefault="00B20CEC" w:rsidP="00684DD5">
      <w:pPr>
        <w:spacing w:line="48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Additional file 1</w:t>
      </w:r>
      <w:r w:rsidR="0088179F" w:rsidRPr="001575DC">
        <w:rPr>
          <w:rFonts w:ascii="Arial" w:hAnsi="Arial" w:cs="Arial"/>
          <w:b/>
          <w:sz w:val="20"/>
          <w:szCs w:val="20"/>
          <w:lang w:val="en-GB"/>
        </w:rPr>
        <w:t xml:space="preserve"> – </w:t>
      </w:r>
      <w:r w:rsidR="001575DC" w:rsidRPr="001575DC">
        <w:rPr>
          <w:rFonts w:ascii="Arial" w:hAnsi="Arial" w:cs="Arial"/>
          <w:b/>
          <w:sz w:val="20"/>
          <w:szCs w:val="20"/>
          <w:lang w:val="en-GB"/>
        </w:rPr>
        <w:t>Enrolment c</w:t>
      </w:r>
      <w:r w:rsidR="0088179F" w:rsidRPr="001575DC">
        <w:rPr>
          <w:rFonts w:ascii="Arial" w:hAnsi="Arial" w:cs="Arial"/>
          <w:b/>
          <w:sz w:val="20"/>
          <w:szCs w:val="20"/>
          <w:lang w:val="en-GB"/>
        </w:rPr>
        <w:t>riteria for participating centres</w:t>
      </w:r>
    </w:p>
    <w:p w14:paraId="58865440" w14:textId="77777777" w:rsidR="001575DC" w:rsidRPr="00EE2995" w:rsidRDefault="001575DC" w:rsidP="00684DD5">
      <w:pPr>
        <w:pStyle w:val="Body"/>
        <w:widowControl w:val="0"/>
        <w:spacing w:line="480" w:lineRule="auto"/>
        <w:rPr>
          <w:color w:val="auto"/>
          <w:u w:color="004C7F"/>
        </w:rPr>
      </w:pPr>
      <w:r>
        <w:rPr>
          <w:color w:val="auto"/>
          <w:u w:color="004C7F"/>
        </w:rPr>
        <w:t>Participating centre</w:t>
      </w:r>
      <w:r w:rsidRPr="00EE2995">
        <w:rPr>
          <w:color w:val="auto"/>
          <w:u w:color="004C7F"/>
        </w:rPr>
        <w:t>s will be enrolled as either ‘experienced’ or ‘supervised’ centres.</w:t>
      </w:r>
      <w:r>
        <w:rPr>
          <w:color w:val="auto"/>
          <w:u w:color="004C7F"/>
        </w:rPr>
        <w:t xml:space="preserve"> </w:t>
      </w:r>
      <w:r w:rsidRPr="00EE2995">
        <w:rPr>
          <w:color w:val="auto"/>
          <w:u w:color="004C7F"/>
        </w:rPr>
        <w:t xml:space="preserve">A </w:t>
      </w:r>
      <w:r>
        <w:rPr>
          <w:color w:val="auto"/>
          <w:u w:color="004C7F"/>
        </w:rPr>
        <w:t>centre</w:t>
      </w:r>
      <w:r w:rsidRPr="00EE2995">
        <w:rPr>
          <w:color w:val="auto"/>
          <w:u w:color="004C7F"/>
        </w:rPr>
        <w:t xml:space="preserve"> is considered an ‘EUS-GE experienced </w:t>
      </w:r>
      <w:r>
        <w:rPr>
          <w:color w:val="auto"/>
          <w:u w:color="004C7F"/>
        </w:rPr>
        <w:t>centre</w:t>
      </w:r>
      <w:r w:rsidRPr="00EE2995">
        <w:rPr>
          <w:color w:val="auto"/>
          <w:u w:color="004C7F"/>
        </w:rPr>
        <w:t>’ if it</w:t>
      </w:r>
      <w:r>
        <w:rPr>
          <w:color w:val="auto"/>
          <w:u w:color="004C7F"/>
        </w:rPr>
        <w:t xml:space="preserve"> has performed at least 20 EUS-GE </w:t>
      </w:r>
      <w:r w:rsidRPr="00EE2995">
        <w:rPr>
          <w:color w:val="auto"/>
          <w:u w:color="004C7F"/>
        </w:rPr>
        <w:t>procedures. This number</w:t>
      </w:r>
      <w:r>
        <w:rPr>
          <w:color w:val="auto"/>
          <w:u w:color="004C7F"/>
        </w:rPr>
        <w:t xml:space="preserve"> includes endoscopic ultrasound-</w:t>
      </w:r>
      <w:r w:rsidRPr="00EE2995">
        <w:rPr>
          <w:color w:val="auto"/>
          <w:u w:color="004C7F"/>
        </w:rPr>
        <w:t xml:space="preserve">guided </w:t>
      </w:r>
      <w:proofErr w:type="spellStart"/>
      <w:r w:rsidRPr="00EE2995">
        <w:rPr>
          <w:color w:val="auto"/>
          <w:u w:color="004C7F"/>
        </w:rPr>
        <w:t>transgastric</w:t>
      </w:r>
      <w:proofErr w:type="spellEnd"/>
      <w:r w:rsidRPr="00EE2995">
        <w:rPr>
          <w:color w:val="auto"/>
          <w:u w:color="004C7F"/>
        </w:rPr>
        <w:t xml:space="preserve"> ERCP</w:t>
      </w:r>
      <w:r>
        <w:rPr>
          <w:color w:val="auto"/>
          <w:u w:color="004C7F"/>
        </w:rPr>
        <w:t xml:space="preserve"> </w:t>
      </w:r>
      <w:r w:rsidRPr="00EE2995">
        <w:rPr>
          <w:color w:val="auto"/>
          <w:u w:color="004C7F"/>
        </w:rPr>
        <w:t>(EDGE).</w:t>
      </w:r>
      <w:r>
        <w:rPr>
          <w:color w:val="auto"/>
          <w:u w:color="004C7F"/>
        </w:rPr>
        <w:t xml:space="preserve"> </w:t>
      </w:r>
    </w:p>
    <w:p w14:paraId="345AF4CA" w14:textId="77777777" w:rsidR="001575DC" w:rsidRPr="00EE2995" w:rsidRDefault="001575DC" w:rsidP="00684DD5">
      <w:pPr>
        <w:pStyle w:val="Body"/>
        <w:widowControl w:val="0"/>
        <w:spacing w:line="480" w:lineRule="auto"/>
        <w:rPr>
          <w:color w:val="auto"/>
          <w:u w:color="004C7F"/>
        </w:rPr>
      </w:pPr>
      <w:r>
        <w:rPr>
          <w:color w:val="auto"/>
          <w:u w:color="004C7F"/>
        </w:rPr>
        <w:t>Centre</w:t>
      </w:r>
      <w:r w:rsidRPr="00EE2995">
        <w:rPr>
          <w:color w:val="auto"/>
          <w:u w:color="004C7F"/>
        </w:rPr>
        <w:t xml:space="preserve">s not fulfilling </w:t>
      </w:r>
      <w:r>
        <w:rPr>
          <w:color w:val="auto"/>
          <w:u w:color="004C7F"/>
        </w:rPr>
        <w:t>the above-mentioned</w:t>
      </w:r>
      <w:r w:rsidRPr="00EE2995">
        <w:rPr>
          <w:color w:val="auto"/>
          <w:u w:color="004C7F"/>
        </w:rPr>
        <w:t xml:space="preserve"> criterium, but with the ambition to perform EUS-GE </w:t>
      </w:r>
      <w:r w:rsidRPr="00D2753A">
        <w:rPr>
          <w:color w:val="auto"/>
          <w:u w:color="004C7F"/>
        </w:rPr>
        <w:t>and</w:t>
      </w:r>
      <w:r w:rsidRPr="00EE2995">
        <w:rPr>
          <w:color w:val="auto"/>
          <w:u w:color="004C7F"/>
        </w:rPr>
        <w:t xml:space="preserve"> with</w:t>
      </w:r>
    </w:p>
    <w:p w14:paraId="206DC58C" w14:textId="77777777" w:rsidR="001575DC" w:rsidRPr="00EE2995" w:rsidRDefault="001575DC" w:rsidP="00684DD5">
      <w:pPr>
        <w:pStyle w:val="Body"/>
        <w:widowControl w:val="0"/>
        <w:spacing w:line="480" w:lineRule="auto"/>
        <w:rPr>
          <w:color w:val="auto"/>
          <w:u w:color="004C7F"/>
        </w:rPr>
      </w:pPr>
      <w:r w:rsidRPr="00EE2995">
        <w:rPr>
          <w:color w:val="auto"/>
          <w:u w:color="004C7F"/>
        </w:rPr>
        <w:t>experience in at least 20 LAMS placements for other indications (</w:t>
      </w:r>
      <w:r w:rsidRPr="00D2753A">
        <w:rPr>
          <w:color w:val="auto"/>
          <w:u w:color="004C7F"/>
        </w:rPr>
        <w:t>gallbladder</w:t>
      </w:r>
      <w:r w:rsidRPr="00EE2995">
        <w:rPr>
          <w:color w:val="auto"/>
          <w:u w:color="004C7F"/>
        </w:rPr>
        <w:t>, pancreatic</w:t>
      </w:r>
      <w:r>
        <w:rPr>
          <w:color w:val="auto"/>
          <w:u w:color="004C7F"/>
        </w:rPr>
        <w:t xml:space="preserve"> </w:t>
      </w:r>
      <w:r w:rsidRPr="00EE2995">
        <w:rPr>
          <w:color w:val="auto"/>
          <w:u w:color="004C7F"/>
        </w:rPr>
        <w:t xml:space="preserve">collections, </w:t>
      </w:r>
      <w:r>
        <w:rPr>
          <w:color w:val="auto"/>
          <w:u w:color="004C7F"/>
        </w:rPr>
        <w:t>d</w:t>
      </w:r>
      <w:r w:rsidRPr="00EE2995">
        <w:rPr>
          <w:color w:val="auto"/>
          <w:u w:color="004C7F"/>
        </w:rPr>
        <w:t xml:space="preserve">rainage of the biliary tract), may participate as ‘supervised </w:t>
      </w:r>
      <w:r>
        <w:rPr>
          <w:color w:val="auto"/>
          <w:u w:color="004C7F"/>
        </w:rPr>
        <w:t>centre</w:t>
      </w:r>
      <w:r w:rsidRPr="00EE2995">
        <w:rPr>
          <w:color w:val="auto"/>
          <w:u w:color="004C7F"/>
        </w:rPr>
        <w:t>’.</w:t>
      </w:r>
      <w:r>
        <w:rPr>
          <w:color w:val="auto"/>
          <w:u w:color="004C7F"/>
        </w:rPr>
        <w:t xml:space="preserve"> </w:t>
      </w:r>
    </w:p>
    <w:p w14:paraId="7431BC3C" w14:textId="399F4160" w:rsidR="001575DC" w:rsidRPr="00EE2995" w:rsidRDefault="001575DC" w:rsidP="00684DD5">
      <w:pPr>
        <w:pStyle w:val="Body"/>
        <w:widowControl w:val="0"/>
        <w:spacing w:line="480" w:lineRule="auto"/>
        <w:rPr>
          <w:color w:val="auto"/>
          <w:u w:color="004C7F"/>
        </w:rPr>
      </w:pPr>
      <w:r w:rsidRPr="00EE2995">
        <w:rPr>
          <w:color w:val="auto"/>
          <w:u w:color="004C7F"/>
        </w:rPr>
        <w:t>A</w:t>
      </w:r>
      <w:r w:rsidRPr="00D2753A">
        <w:rPr>
          <w:color w:val="auto"/>
          <w:u w:color="004C7F"/>
        </w:rPr>
        <w:t xml:space="preserve"> supervised</w:t>
      </w:r>
      <w:r w:rsidRPr="00EE2995">
        <w:rPr>
          <w:color w:val="auto"/>
          <w:u w:color="004C7F"/>
        </w:rPr>
        <w:t xml:space="preserve"> </w:t>
      </w:r>
      <w:r>
        <w:rPr>
          <w:color w:val="auto"/>
          <w:u w:color="004C7F"/>
        </w:rPr>
        <w:t>centre</w:t>
      </w:r>
      <w:r w:rsidRPr="00EE2995">
        <w:rPr>
          <w:color w:val="auto"/>
          <w:u w:color="004C7F"/>
        </w:rPr>
        <w:t xml:space="preserve"> </w:t>
      </w:r>
      <w:r w:rsidR="00220178">
        <w:rPr>
          <w:color w:val="auto"/>
          <w:u w:color="004C7F"/>
        </w:rPr>
        <w:t>that</w:t>
      </w:r>
      <w:r w:rsidRPr="00EE2995">
        <w:rPr>
          <w:color w:val="auto"/>
          <w:u w:color="004C7F"/>
        </w:rPr>
        <w:t xml:space="preserve"> has performed less than </w:t>
      </w:r>
      <w:r>
        <w:rPr>
          <w:color w:val="auto"/>
          <w:u w:color="004C7F"/>
        </w:rPr>
        <w:t>ten</w:t>
      </w:r>
      <w:r w:rsidRPr="00EE2995">
        <w:rPr>
          <w:color w:val="auto"/>
          <w:u w:color="004C7F"/>
        </w:rPr>
        <w:t xml:space="preserve"> EUS-GE placements will be directly proctored by</w:t>
      </w:r>
      <w:r>
        <w:rPr>
          <w:color w:val="auto"/>
          <w:u w:color="004C7F"/>
        </w:rPr>
        <w:t xml:space="preserve"> </w:t>
      </w:r>
      <w:r w:rsidRPr="00EE2995">
        <w:rPr>
          <w:color w:val="auto"/>
          <w:u w:color="004C7F"/>
        </w:rPr>
        <w:t xml:space="preserve">an </w:t>
      </w:r>
      <w:r>
        <w:rPr>
          <w:color w:val="auto"/>
          <w:u w:color="004C7F"/>
        </w:rPr>
        <w:t xml:space="preserve">endoscopist of an </w:t>
      </w:r>
      <w:r w:rsidRPr="00D2753A">
        <w:rPr>
          <w:color w:val="auto"/>
          <w:u w:color="004C7F"/>
        </w:rPr>
        <w:t>experienced</w:t>
      </w:r>
      <w:r w:rsidRPr="00EE2995">
        <w:rPr>
          <w:color w:val="auto"/>
          <w:u w:color="004C7F"/>
        </w:rPr>
        <w:t xml:space="preserve"> </w:t>
      </w:r>
      <w:r>
        <w:rPr>
          <w:color w:val="auto"/>
          <w:u w:color="004C7F"/>
        </w:rPr>
        <w:t>centre</w:t>
      </w:r>
      <w:r w:rsidR="00FE75F1">
        <w:rPr>
          <w:color w:val="auto"/>
          <w:u w:color="004C7F"/>
        </w:rPr>
        <w:t xml:space="preserve">. </w:t>
      </w:r>
      <w:r w:rsidRPr="00EE2995">
        <w:rPr>
          <w:color w:val="auto"/>
          <w:u w:color="004C7F"/>
        </w:rPr>
        <w:t xml:space="preserve">In case a supervised </w:t>
      </w:r>
      <w:r>
        <w:rPr>
          <w:color w:val="auto"/>
          <w:u w:color="004C7F"/>
        </w:rPr>
        <w:t>centre</w:t>
      </w:r>
      <w:r w:rsidRPr="00EE2995">
        <w:rPr>
          <w:color w:val="auto"/>
          <w:u w:color="004C7F"/>
        </w:rPr>
        <w:t xml:space="preserve"> has successfully completed </w:t>
      </w:r>
      <w:r w:rsidR="00660521">
        <w:rPr>
          <w:color w:val="auto"/>
          <w:u w:color="004C7F"/>
        </w:rPr>
        <w:t>10</w:t>
      </w:r>
      <w:r>
        <w:rPr>
          <w:color w:val="auto"/>
          <w:u w:color="004C7F"/>
        </w:rPr>
        <w:t xml:space="preserve"> or more</w:t>
      </w:r>
      <w:r w:rsidRPr="00EE2995">
        <w:rPr>
          <w:color w:val="auto"/>
          <w:u w:color="004C7F"/>
        </w:rPr>
        <w:t xml:space="preserve"> but less than 20</w:t>
      </w:r>
      <w:r>
        <w:rPr>
          <w:color w:val="auto"/>
          <w:u w:color="004C7F"/>
        </w:rPr>
        <w:t xml:space="preserve"> </w:t>
      </w:r>
      <w:r w:rsidRPr="00EE2995">
        <w:rPr>
          <w:color w:val="auto"/>
          <w:u w:color="004C7F"/>
        </w:rPr>
        <w:t xml:space="preserve">EUS-GE’s, the </w:t>
      </w:r>
      <w:r>
        <w:rPr>
          <w:color w:val="auto"/>
          <w:u w:color="004C7F"/>
        </w:rPr>
        <w:t>centre</w:t>
      </w:r>
      <w:r w:rsidRPr="00EE2995">
        <w:rPr>
          <w:color w:val="auto"/>
          <w:u w:color="004C7F"/>
        </w:rPr>
        <w:t xml:space="preserve"> is allowed to perform the procedure independently after approval of an</w:t>
      </w:r>
      <w:r>
        <w:rPr>
          <w:color w:val="auto"/>
          <w:u w:color="004C7F"/>
        </w:rPr>
        <w:t xml:space="preserve"> </w:t>
      </w:r>
      <w:r w:rsidRPr="00EE2995">
        <w:rPr>
          <w:color w:val="auto"/>
          <w:u w:color="004C7F"/>
        </w:rPr>
        <w:t xml:space="preserve">EUS-GE experienced endoscopist. A ‘supervised </w:t>
      </w:r>
      <w:r>
        <w:rPr>
          <w:color w:val="auto"/>
          <w:u w:color="004C7F"/>
        </w:rPr>
        <w:t>centre</w:t>
      </w:r>
      <w:r w:rsidRPr="00EE2995">
        <w:rPr>
          <w:color w:val="auto"/>
          <w:u w:color="004C7F"/>
        </w:rPr>
        <w:t>’ will become an ‘EUS-GE</w:t>
      </w:r>
      <w:r>
        <w:rPr>
          <w:color w:val="auto"/>
          <w:u w:color="004C7F"/>
        </w:rPr>
        <w:t xml:space="preserve"> </w:t>
      </w:r>
      <w:r w:rsidRPr="00EE2995">
        <w:rPr>
          <w:color w:val="auto"/>
          <w:u w:color="004C7F"/>
        </w:rPr>
        <w:t xml:space="preserve">experienced </w:t>
      </w:r>
      <w:r>
        <w:rPr>
          <w:color w:val="auto"/>
          <w:u w:color="004C7F"/>
        </w:rPr>
        <w:t>centre</w:t>
      </w:r>
      <w:r w:rsidRPr="00EE2995">
        <w:rPr>
          <w:color w:val="auto"/>
          <w:u w:color="004C7F"/>
        </w:rPr>
        <w:t xml:space="preserve">’ after having performed </w:t>
      </w:r>
      <w:r>
        <w:rPr>
          <w:color w:val="auto"/>
          <w:u w:color="004C7F"/>
        </w:rPr>
        <w:t xml:space="preserve">at least </w:t>
      </w:r>
      <w:r w:rsidRPr="00EE2995">
        <w:rPr>
          <w:color w:val="auto"/>
          <w:u w:color="004C7F"/>
        </w:rPr>
        <w:t>20 EUS-GE’s.</w:t>
      </w:r>
      <w:r>
        <w:rPr>
          <w:color w:val="auto"/>
          <w:u w:color="004C7F"/>
        </w:rPr>
        <w:t xml:space="preserve"> </w:t>
      </w:r>
      <w:r w:rsidRPr="00EE2995">
        <w:rPr>
          <w:color w:val="auto"/>
          <w:u w:color="004C7F"/>
        </w:rPr>
        <w:t xml:space="preserve">Nevertheless, supervised </w:t>
      </w:r>
      <w:r>
        <w:rPr>
          <w:color w:val="auto"/>
          <w:u w:color="004C7F"/>
        </w:rPr>
        <w:t>centre</w:t>
      </w:r>
      <w:r w:rsidRPr="00EE2995">
        <w:rPr>
          <w:color w:val="auto"/>
          <w:u w:color="004C7F"/>
        </w:rPr>
        <w:t>s are recommended to perform all of the EUS-GE</w:t>
      </w:r>
      <w:r>
        <w:rPr>
          <w:color w:val="auto"/>
          <w:u w:color="004C7F"/>
        </w:rPr>
        <w:t xml:space="preserve"> </w:t>
      </w:r>
      <w:r w:rsidRPr="00EE2995">
        <w:rPr>
          <w:color w:val="auto"/>
          <w:u w:color="004C7F"/>
        </w:rPr>
        <w:t>procedures within the ENDURO-study under supervision, as this will guarantee sufficient</w:t>
      </w:r>
      <w:r>
        <w:rPr>
          <w:color w:val="auto"/>
          <w:u w:color="004C7F"/>
        </w:rPr>
        <w:t xml:space="preserve"> </w:t>
      </w:r>
      <w:r w:rsidRPr="00EE2995">
        <w:rPr>
          <w:color w:val="auto"/>
          <w:u w:color="004C7F"/>
        </w:rPr>
        <w:t>training, optimal gain of experience and maximum safety.</w:t>
      </w:r>
    </w:p>
    <w:p w14:paraId="330F4A00" w14:textId="30354C01" w:rsidR="007616FA" w:rsidRDefault="001575DC" w:rsidP="00684DD5">
      <w:pPr>
        <w:pStyle w:val="Body"/>
        <w:widowControl w:val="0"/>
        <w:spacing w:line="480" w:lineRule="auto"/>
        <w:ind w:firstLine="708"/>
        <w:rPr>
          <w:color w:val="auto"/>
          <w:u w:color="004C7F"/>
        </w:rPr>
      </w:pPr>
      <w:r>
        <w:rPr>
          <w:color w:val="auto"/>
          <w:u w:color="004C7F"/>
        </w:rPr>
        <w:t>Centre</w:t>
      </w:r>
      <w:r w:rsidRPr="00EE2995">
        <w:rPr>
          <w:color w:val="auto"/>
          <w:u w:color="004C7F"/>
        </w:rPr>
        <w:t>s without ambition to perform EUS-GE will refer their patients to an ‘</w:t>
      </w:r>
      <w:r w:rsidRPr="00D2753A">
        <w:rPr>
          <w:color w:val="auto"/>
          <w:u w:color="004C7F"/>
        </w:rPr>
        <w:t>EUS-GE</w:t>
      </w:r>
      <w:r>
        <w:rPr>
          <w:color w:val="auto"/>
          <w:u w:color="004C7F"/>
        </w:rPr>
        <w:t xml:space="preserve"> e</w:t>
      </w:r>
      <w:r w:rsidRPr="00EE2995">
        <w:rPr>
          <w:color w:val="auto"/>
          <w:u w:color="004C7F"/>
        </w:rPr>
        <w:t xml:space="preserve">xperienced </w:t>
      </w:r>
      <w:r>
        <w:rPr>
          <w:color w:val="auto"/>
          <w:u w:color="004C7F"/>
        </w:rPr>
        <w:t>centre</w:t>
      </w:r>
      <w:r w:rsidRPr="00EE2995">
        <w:rPr>
          <w:color w:val="auto"/>
          <w:u w:color="004C7F"/>
        </w:rPr>
        <w:t>’.</w:t>
      </w:r>
      <w:r w:rsidR="00611F11">
        <w:rPr>
          <w:color w:val="auto"/>
          <w:u w:color="004C7F"/>
        </w:rPr>
        <w:t xml:space="preserve"> See table 1 for a schematic overview of the participating centre enrolment requirements. </w:t>
      </w:r>
    </w:p>
    <w:p w14:paraId="6C96B3BF" w14:textId="77777777" w:rsidR="007616FA" w:rsidRDefault="007616FA" w:rsidP="00684DD5">
      <w:pPr>
        <w:pStyle w:val="Body"/>
        <w:widowControl w:val="0"/>
        <w:spacing w:line="480" w:lineRule="auto"/>
        <w:rPr>
          <w:color w:val="auto"/>
          <w:u w:color="004C7F"/>
        </w:rPr>
      </w:pPr>
    </w:p>
    <w:p w14:paraId="6C7A86BE" w14:textId="77777777" w:rsidR="001575DC" w:rsidRPr="00877D53" w:rsidRDefault="00E06E61" w:rsidP="00684DD5">
      <w:pPr>
        <w:pStyle w:val="Bijschrift"/>
        <w:spacing w:after="0" w:line="480" w:lineRule="auto"/>
        <w:rPr>
          <w:rFonts w:ascii="Arial" w:hAnsi="Arial" w:cs="Arial"/>
          <w:b/>
          <w:i w:val="0"/>
          <w:color w:val="000000" w:themeColor="text1"/>
          <w:sz w:val="20"/>
          <w:szCs w:val="20"/>
          <w:lang w:val="en-GB"/>
        </w:rPr>
      </w:pPr>
      <w:r w:rsidRPr="00877D53">
        <w:rPr>
          <w:rFonts w:ascii="Arial" w:hAnsi="Arial" w:cs="Arial"/>
          <w:b/>
          <w:i w:val="0"/>
          <w:color w:val="000000" w:themeColor="text1"/>
          <w:sz w:val="20"/>
          <w:szCs w:val="20"/>
          <w:lang w:val="en-GB"/>
        </w:rPr>
        <w:t xml:space="preserve">Table </w:t>
      </w:r>
      <w:r w:rsidRPr="00877D53">
        <w:rPr>
          <w:rFonts w:ascii="Arial" w:hAnsi="Arial" w:cs="Arial"/>
          <w:b/>
          <w:i w:val="0"/>
          <w:color w:val="000000" w:themeColor="text1"/>
          <w:sz w:val="20"/>
          <w:szCs w:val="20"/>
        </w:rPr>
        <w:fldChar w:fldCharType="begin"/>
      </w:r>
      <w:r w:rsidRPr="00877D53">
        <w:rPr>
          <w:rFonts w:ascii="Arial" w:hAnsi="Arial" w:cs="Arial"/>
          <w:b/>
          <w:i w:val="0"/>
          <w:color w:val="000000" w:themeColor="text1"/>
          <w:sz w:val="20"/>
          <w:szCs w:val="20"/>
          <w:lang w:val="en-GB"/>
        </w:rPr>
        <w:instrText xml:space="preserve"> SEQ Table \* ARABIC </w:instrText>
      </w:r>
      <w:r w:rsidRPr="00877D53">
        <w:rPr>
          <w:rFonts w:ascii="Arial" w:hAnsi="Arial" w:cs="Arial"/>
          <w:b/>
          <w:i w:val="0"/>
          <w:color w:val="000000" w:themeColor="text1"/>
          <w:sz w:val="20"/>
          <w:szCs w:val="20"/>
        </w:rPr>
        <w:fldChar w:fldCharType="separate"/>
      </w:r>
      <w:r w:rsidRPr="00877D53">
        <w:rPr>
          <w:rFonts w:ascii="Arial" w:hAnsi="Arial" w:cs="Arial"/>
          <w:b/>
          <w:i w:val="0"/>
          <w:noProof/>
          <w:color w:val="000000" w:themeColor="text1"/>
          <w:sz w:val="20"/>
          <w:szCs w:val="20"/>
          <w:lang w:val="en-GB"/>
        </w:rPr>
        <w:t>1</w:t>
      </w:r>
      <w:r w:rsidRPr="00877D53">
        <w:rPr>
          <w:rFonts w:ascii="Arial" w:hAnsi="Arial" w:cs="Arial"/>
          <w:b/>
          <w:i w:val="0"/>
          <w:color w:val="000000" w:themeColor="text1"/>
          <w:sz w:val="20"/>
          <w:szCs w:val="20"/>
        </w:rPr>
        <w:fldChar w:fldCharType="end"/>
      </w:r>
      <w:r w:rsidR="006B3A0E" w:rsidRPr="00877D53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6B3A0E" w:rsidRPr="00877D53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>Participating centre enrolment requirements</w:t>
      </w:r>
    </w:p>
    <w:tbl>
      <w:tblPr>
        <w:tblStyle w:val="Onopgemaaktetabel3"/>
        <w:tblW w:w="0" w:type="auto"/>
        <w:tblLayout w:type="fixed"/>
        <w:tblLook w:val="0000" w:firstRow="0" w:lastRow="0" w:firstColumn="0" w:lastColumn="0" w:noHBand="0" w:noVBand="0"/>
      </w:tblPr>
      <w:tblGrid>
        <w:gridCol w:w="1722"/>
        <w:gridCol w:w="1367"/>
        <w:gridCol w:w="1295"/>
        <w:gridCol w:w="1539"/>
        <w:gridCol w:w="1415"/>
      </w:tblGrid>
      <w:tr w:rsidR="00877D53" w:rsidRPr="00877D53" w14:paraId="0D955888" w14:textId="77777777" w:rsidTr="00877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9017A4" w14:textId="77777777" w:rsidR="001575DC" w:rsidRPr="00877D53" w:rsidRDefault="001575DC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cs="Arial"/>
                <w:b/>
                <w:bCs/>
              </w:rPr>
            </w:pP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E7C8B8" w14:textId="77777777" w:rsidR="001575DC" w:rsidRPr="00F34039" w:rsidRDefault="003D151C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00F34039">
              <w:rPr>
                <w:rFonts w:cs="Arial"/>
                <w:b/>
                <w:bCs/>
              </w:rPr>
              <w:t xml:space="preserve">Minimum enrolment </w:t>
            </w:r>
            <w:r w:rsidR="00E06E61" w:rsidRPr="00F34039">
              <w:rPr>
                <w:rFonts w:cs="Arial"/>
                <w:b/>
                <w:bCs/>
              </w:rPr>
              <w:t>prerequisite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0C0207" w14:textId="77777777" w:rsidR="001575DC" w:rsidRPr="00F34039" w:rsidRDefault="005443F0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cs="Arial"/>
                <w:b/>
                <w:bCs/>
              </w:rPr>
            </w:pPr>
            <w:r w:rsidRPr="00F34039">
              <w:rPr>
                <w:rFonts w:cs="Arial"/>
                <w:b/>
                <w:bCs/>
              </w:rPr>
              <w:t>Supervised centre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B68F73" w14:textId="77777777" w:rsidR="001575DC" w:rsidRPr="00877D53" w:rsidRDefault="005443F0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00F34039">
              <w:rPr>
                <w:rFonts w:cs="Arial"/>
                <w:b/>
                <w:bCs/>
              </w:rPr>
              <w:t>Unsupervised centre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A9FE80" w14:textId="77777777" w:rsidR="001575DC" w:rsidRPr="00F34039" w:rsidRDefault="005443F0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cs="Arial"/>
                <w:b/>
                <w:bCs/>
              </w:rPr>
            </w:pPr>
            <w:r w:rsidRPr="00F34039">
              <w:rPr>
                <w:rFonts w:cs="Arial"/>
                <w:b/>
                <w:bCs/>
              </w:rPr>
              <w:t>Experienced centre</w:t>
            </w:r>
          </w:p>
        </w:tc>
      </w:tr>
      <w:tr w:rsidR="001575DC" w:rsidRPr="00877D53" w14:paraId="394773E6" w14:textId="77777777" w:rsidTr="00877D53">
        <w:trPr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721FB1" w14:textId="61CEB12C" w:rsidR="001575DC" w:rsidRPr="006B3A0E" w:rsidRDefault="001575DC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cs="Arial"/>
                <w:b/>
                <w:bCs/>
              </w:rPr>
            </w:pPr>
            <w:r w:rsidRPr="006B3A0E">
              <w:rPr>
                <w:rFonts w:cs="Arial"/>
                <w:b/>
                <w:bCs/>
              </w:rPr>
              <w:t>LAMS experience</w:t>
            </w:r>
            <w:r w:rsidR="00E87C7C">
              <w:rPr>
                <w:rFonts w:cs="Arial"/>
                <w:b/>
                <w:bCs/>
              </w:rPr>
              <w:t>*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6368B4F" w14:textId="77777777" w:rsidR="001575DC" w:rsidRPr="006253B9" w:rsidRDefault="005443F0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6253B9">
              <w:rPr>
                <w:rFonts w:cs="Arial"/>
              </w:rPr>
              <w:t>≥</w:t>
            </w:r>
            <w:r w:rsidR="003D151C" w:rsidRPr="006253B9">
              <w:rPr>
                <w:rFonts w:cs="Arial"/>
              </w:rPr>
              <w:t xml:space="preserve"> 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8B56E1" w14:textId="77777777" w:rsidR="001575DC" w:rsidRPr="006253B9" w:rsidRDefault="005443F0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cs="Arial"/>
              </w:rPr>
            </w:pPr>
            <w:r w:rsidRPr="006253B9">
              <w:rPr>
                <w:rFonts w:cs="Arial"/>
              </w:rPr>
              <w:t>≥ 20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90AEE8" w14:textId="77777777" w:rsidR="001575DC" w:rsidRPr="006253B9" w:rsidRDefault="005443F0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6253B9">
              <w:rPr>
                <w:rFonts w:cs="Arial"/>
              </w:rPr>
              <w:t>≥ 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292EAD2" w14:textId="77777777" w:rsidR="001575DC" w:rsidRPr="006253B9" w:rsidRDefault="005443F0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cs="Arial"/>
              </w:rPr>
            </w:pPr>
            <w:r w:rsidRPr="006253B9">
              <w:rPr>
                <w:rFonts w:cs="Arial"/>
              </w:rPr>
              <w:t>≥ 20</w:t>
            </w:r>
          </w:p>
        </w:tc>
      </w:tr>
      <w:tr w:rsidR="00877D53" w:rsidRPr="00877D53" w14:paraId="13A850F6" w14:textId="77777777" w:rsidTr="00877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3610D4" w14:textId="516FC2B8" w:rsidR="001575DC" w:rsidRPr="00F34DB8" w:rsidRDefault="001575DC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cs="Arial"/>
                <w:b/>
                <w:bCs/>
              </w:rPr>
            </w:pPr>
            <w:r w:rsidRPr="00B20CEC">
              <w:rPr>
                <w:rFonts w:cs="Arial"/>
                <w:b/>
                <w:bCs/>
              </w:rPr>
              <w:t>E</w:t>
            </w:r>
            <w:r>
              <w:rPr>
                <w:rFonts w:cs="Arial"/>
                <w:b/>
                <w:bCs/>
              </w:rPr>
              <w:t>US-GE experience</w:t>
            </w:r>
            <w:r w:rsidR="00E87C7C">
              <w:rPr>
                <w:rFonts w:cs="Arial"/>
                <w:b/>
                <w:bCs/>
              </w:rPr>
              <w:t>*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30596E" w14:textId="77777777" w:rsidR="001575DC" w:rsidRPr="006253B9" w:rsidRDefault="005443F0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253B9">
              <w:rPr>
                <w:rFonts w:cs="Arial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E37E39" w14:textId="77777777" w:rsidR="001575DC" w:rsidRPr="006253B9" w:rsidRDefault="005443F0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cs="Arial"/>
              </w:rPr>
            </w:pPr>
            <w:r w:rsidRPr="006253B9">
              <w:rPr>
                <w:rFonts w:cs="Arial"/>
              </w:rPr>
              <w:t>0-10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6DF918" w14:textId="77777777" w:rsidR="001575DC" w:rsidRPr="006253B9" w:rsidRDefault="005724C9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6253B9">
              <w:rPr>
                <w:rFonts w:cs="Arial"/>
              </w:rPr>
              <w:t>11-20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F9E3E3" w14:textId="77777777" w:rsidR="001575DC" w:rsidRPr="006253B9" w:rsidRDefault="005724C9" w:rsidP="00684DD5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cs="Arial"/>
              </w:rPr>
            </w:pPr>
            <w:r w:rsidRPr="006253B9">
              <w:rPr>
                <w:rFonts w:cs="Arial"/>
              </w:rPr>
              <w:t>&gt; 20</w:t>
            </w:r>
          </w:p>
        </w:tc>
      </w:tr>
    </w:tbl>
    <w:p w14:paraId="3B36AA82" w14:textId="245A3B9D" w:rsidR="001575DC" w:rsidRPr="00E87C7C" w:rsidRDefault="00770308" w:rsidP="00684DD5">
      <w:pPr>
        <w:spacing w:line="480" w:lineRule="auto"/>
        <w:ind w:right="1275"/>
        <w:rPr>
          <w:rFonts w:ascii="Arial" w:hAnsi="Arial" w:cs="Arial"/>
          <w:sz w:val="20"/>
          <w:szCs w:val="20"/>
          <w:lang w:val="en-GB"/>
        </w:rPr>
      </w:pPr>
      <w:r w:rsidRPr="00E87C7C">
        <w:rPr>
          <w:rFonts w:ascii="Arial" w:hAnsi="Arial" w:cs="Arial"/>
          <w:sz w:val="20"/>
          <w:szCs w:val="20"/>
          <w:lang w:val="en-GB"/>
        </w:rPr>
        <w:t>LAMS lumen-apposing metal stent; EUS-GE endoscopic ultrasonography-guided gastroenterostomy</w:t>
      </w:r>
    </w:p>
    <w:sectPr w:rsidR="001575DC" w:rsidRPr="00E87C7C" w:rsidSect="00CF7030">
      <w:footerReference w:type="default" r:id="rId8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25CB5" w14:textId="77777777" w:rsidR="00EF54C1" w:rsidRDefault="00EF54C1" w:rsidP="00EF54C1">
      <w:pPr>
        <w:spacing w:after="0" w:line="240" w:lineRule="auto"/>
      </w:pPr>
      <w:r>
        <w:separator/>
      </w:r>
    </w:p>
  </w:endnote>
  <w:endnote w:type="continuationSeparator" w:id="0">
    <w:p w14:paraId="4190D52C" w14:textId="77777777" w:rsidR="00EF54C1" w:rsidRDefault="00EF54C1" w:rsidP="00EF5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130594"/>
      <w:docPartObj>
        <w:docPartGallery w:val="Page Numbers (Bottom of Page)"/>
        <w:docPartUnique/>
      </w:docPartObj>
    </w:sdtPr>
    <w:sdtContent>
      <w:p w14:paraId="44F0F13A" w14:textId="7479CFC2" w:rsidR="00EF54C1" w:rsidRDefault="00EF54C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070073" w14:textId="77777777" w:rsidR="00EF54C1" w:rsidRDefault="00EF54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2B675" w14:textId="77777777" w:rsidR="00EF54C1" w:rsidRDefault="00EF54C1" w:rsidP="00EF54C1">
      <w:pPr>
        <w:spacing w:after="0" w:line="240" w:lineRule="auto"/>
      </w:pPr>
      <w:r>
        <w:separator/>
      </w:r>
    </w:p>
  </w:footnote>
  <w:footnote w:type="continuationSeparator" w:id="0">
    <w:p w14:paraId="7B4FBFDC" w14:textId="77777777" w:rsidR="00EF54C1" w:rsidRDefault="00EF54C1" w:rsidP="00EF5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A7B94"/>
    <w:multiLevelType w:val="hybridMultilevel"/>
    <w:tmpl w:val="43A2EFCA"/>
    <w:lvl w:ilvl="0" w:tplc="080E56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79F"/>
    <w:rsid w:val="001575DC"/>
    <w:rsid w:val="00220178"/>
    <w:rsid w:val="00220361"/>
    <w:rsid w:val="002A7935"/>
    <w:rsid w:val="00365BA7"/>
    <w:rsid w:val="00380BBD"/>
    <w:rsid w:val="003D151C"/>
    <w:rsid w:val="005443F0"/>
    <w:rsid w:val="005724C9"/>
    <w:rsid w:val="00611F11"/>
    <w:rsid w:val="006253B9"/>
    <w:rsid w:val="00660521"/>
    <w:rsid w:val="00684DD5"/>
    <w:rsid w:val="00690887"/>
    <w:rsid w:val="006B3A0E"/>
    <w:rsid w:val="007616FA"/>
    <w:rsid w:val="00770308"/>
    <w:rsid w:val="008017BB"/>
    <w:rsid w:val="00877D53"/>
    <w:rsid w:val="0088179F"/>
    <w:rsid w:val="009823BC"/>
    <w:rsid w:val="00984A57"/>
    <w:rsid w:val="00A157EA"/>
    <w:rsid w:val="00AF3635"/>
    <w:rsid w:val="00B20CEC"/>
    <w:rsid w:val="00CB536F"/>
    <w:rsid w:val="00CF7030"/>
    <w:rsid w:val="00DD0E08"/>
    <w:rsid w:val="00E06E61"/>
    <w:rsid w:val="00E87C7C"/>
    <w:rsid w:val="00EF54C1"/>
    <w:rsid w:val="00F34039"/>
    <w:rsid w:val="00FE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BAA5C"/>
  <w15:chartTrackingRefBased/>
  <w15:docId w15:val="{BC56F6EE-F84F-4E7A-9369-CBF875E0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">
    <w:name w:val="Body"/>
    <w:rsid w:val="001575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paragraph" w:styleId="Bijschrift">
    <w:name w:val="caption"/>
    <w:basedOn w:val="Standaard"/>
    <w:next w:val="Standaard"/>
    <w:uiPriority w:val="35"/>
    <w:unhideWhenUsed/>
    <w:qFormat/>
    <w:rsid w:val="00E06E6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Onopgemaaktetabel5">
    <w:name w:val="Plain Table 5"/>
    <w:basedOn w:val="Standaardtabel"/>
    <w:uiPriority w:val="45"/>
    <w:rsid w:val="00877D5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877D5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erfijndetabel1">
    <w:name w:val="Table Subtle 1"/>
    <w:basedOn w:val="Standaardtabel"/>
    <w:uiPriority w:val="99"/>
    <w:rsid w:val="00877D5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-Accent3">
    <w:name w:val="Grid Table 1 Light Accent 3"/>
    <w:basedOn w:val="Standaardtabel"/>
    <w:uiPriority w:val="46"/>
    <w:rsid w:val="00877D5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3">
    <w:name w:val="Plain Table 3"/>
    <w:basedOn w:val="Standaardtabel"/>
    <w:uiPriority w:val="43"/>
    <w:rsid w:val="00877D5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CF7030"/>
  </w:style>
  <w:style w:type="paragraph" w:styleId="Lijstalinea">
    <w:name w:val="List Paragraph"/>
    <w:basedOn w:val="Standaard"/>
    <w:uiPriority w:val="34"/>
    <w:qFormat/>
    <w:rsid w:val="00E87C7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F5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54C1"/>
  </w:style>
  <w:style w:type="paragraph" w:styleId="Voettekst">
    <w:name w:val="footer"/>
    <w:basedOn w:val="Standaard"/>
    <w:link w:val="VoettekstChar"/>
    <w:uiPriority w:val="99"/>
    <w:unhideWhenUsed/>
    <w:rsid w:val="00EF5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5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935EA-FFCA-4859-BCE7-D7EE9CB1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Pavert, Y.L. van de (Yorick)</dc:creator>
  <cp:keywords/>
  <dc:description/>
  <cp:lastModifiedBy>Pavert, Y.L. van de (Yorick)</cp:lastModifiedBy>
  <cp:revision>29</cp:revision>
  <dcterms:created xsi:type="dcterms:W3CDTF">2022-10-19T07:35:00Z</dcterms:created>
  <dcterms:modified xsi:type="dcterms:W3CDTF">2023-05-04T11:21:00Z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