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96BE5E" w14:textId="77777777" w:rsidR="003011E9" w:rsidRPr="009B6592" w:rsidRDefault="003011E9" w:rsidP="003011E9">
      <w:pPr>
        <w:pStyle w:val="Heading1"/>
        <w:rPr>
          <w:rFonts w:cs="Times New Roman"/>
          <w:sz w:val="24"/>
          <w:szCs w:val="24"/>
        </w:rPr>
      </w:pPr>
      <w:r w:rsidRPr="009B6592">
        <w:rPr>
          <w:rFonts w:cs="Times New Roman"/>
          <w:sz w:val="24"/>
          <w:szCs w:val="24"/>
        </w:rPr>
        <w:t>Direct Identification of Two Regimes of Metal Particle Combustion</w:t>
      </w:r>
      <w:r>
        <w:rPr>
          <w:rFonts w:cs="Times New Roman"/>
          <w:sz w:val="24"/>
          <w:szCs w:val="24"/>
        </w:rPr>
        <w:t xml:space="preserve"> using Condense-luminescence</w:t>
      </w:r>
    </w:p>
    <w:p w14:paraId="5111EB0C" w14:textId="77777777" w:rsidR="003011E9" w:rsidRPr="00D121BD" w:rsidRDefault="003011E9" w:rsidP="003011E9"/>
    <w:p w14:paraId="68E4D68D" w14:textId="77777777" w:rsidR="00264B5A" w:rsidRPr="00290817" w:rsidRDefault="00264B5A" w:rsidP="00264B5A">
      <w:pPr>
        <w:spacing w:after="120" w:line="240" w:lineRule="auto"/>
        <w:rPr>
          <w:rFonts w:cs="Times New Roman"/>
          <w:i/>
          <w:sz w:val="24"/>
          <w:szCs w:val="24"/>
        </w:rPr>
      </w:pPr>
      <w:r w:rsidRPr="00290817">
        <w:rPr>
          <w:rFonts w:cs="Times New Roman"/>
          <w:i/>
          <w:sz w:val="24"/>
          <w:szCs w:val="24"/>
        </w:rPr>
        <w:t>Quan Tran</w:t>
      </w:r>
      <w:r w:rsidRPr="00290817">
        <w:rPr>
          <w:rFonts w:cs="Times New Roman"/>
          <w:i/>
          <w:sz w:val="24"/>
          <w:szCs w:val="24"/>
          <w:vertAlign w:val="superscript"/>
        </w:rPr>
        <w:t>1</w:t>
      </w:r>
      <w:r w:rsidRPr="00290817">
        <w:rPr>
          <w:rFonts w:cs="Times New Roman"/>
          <w:i/>
          <w:sz w:val="24"/>
          <w:szCs w:val="24"/>
        </w:rPr>
        <w:t>,</w:t>
      </w:r>
      <w:r>
        <w:rPr>
          <w:rFonts w:cs="Times New Roman"/>
          <w:i/>
          <w:sz w:val="24"/>
          <w:szCs w:val="24"/>
        </w:rPr>
        <w:t xml:space="preserve"> </w:t>
      </w:r>
      <w:r w:rsidRPr="00290817">
        <w:rPr>
          <w:rFonts w:cs="Times New Roman"/>
          <w:i/>
          <w:sz w:val="24"/>
          <w:szCs w:val="24"/>
        </w:rPr>
        <w:t>Michelle L. Pantoya</w:t>
      </w:r>
      <w:proofErr w:type="gramStart"/>
      <w:r w:rsidRPr="00290817">
        <w:rPr>
          <w:rFonts w:cs="Times New Roman"/>
          <w:i/>
          <w:sz w:val="24"/>
          <w:szCs w:val="24"/>
          <w:vertAlign w:val="superscript"/>
        </w:rPr>
        <w:t>1</w:t>
      </w:r>
      <w:r>
        <w:rPr>
          <w:rFonts w:cs="Times New Roman"/>
          <w:i/>
          <w:sz w:val="24"/>
          <w:szCs w:val="24"/>
          <w:vertAlign w:val="superscript"/>
        </w:rPr>
        <w:t>,*</w:t>
      </w:r>
      <w:proofErr w:type="gramEnd"/>
      <w:r>
        <w:rPr>
          <w:rFonts w:cs="Times New Roman"/>
          <w:i/>
          <w:sz w:val="24"/>
          <w:szCs w:val="24"/>
        </w:rPr>
        <w:t xml:space="preserve">, </w:t>
      </w:r>
      <w:r w:rsidRPr="00290817">
        <w:rPr>
          <w:rFonts w:cs="Times New Roman"/>
          <w:i/>
          <w:sz w:val="24"/>
          <w:szCs w:val="24"/>
        </w:rPr>
        <w:t>Igor Altman</w:t>
      </w:r>
      <w:r>
        <w:rPr>
          <w:rFonts w:cs="Times New Roman"/>
          <w:i/>
          <w:sz w:val="24"/>
          <w:szCs w:val="24"/>
          <w:vertAlign w:val="superscript"/>
        </w:rPr>
        <w:t>2,*</w:t>
      </w:r>
    </w:p>
    <w:p w14:paraId="2E07D1B7" w14:textId="77777777" w:rsidR="00264B5A" w:rsidRDefault="00264B5A" w:rsidP="00264B5A">
      <w:pPr>
        <w:spacing w:after="120" w:line="240" w:lineRule="auto"/>
        <w:rPr>
          <w:rFonts w:cs="Times New Roman"/>
          <w:sz w:val="24"/>
          <w:szCs w:val="24"/>
        </w:rPr>
      </w:pPr>
    </w:p>
    <w:p w14:paraId="7D0521EF" w14:textId="77777777" w:rsidR="00264B5A" w:rsidRPr="00A07D2C" w:rsidRDefault="00264B5A" w:rsidP="00264B5A">
      <w:pPr>
        <w:spacing w:after="120" w:line="240" w:lineRule="auto"/>
        <w:rPr>
          <w:rFonts w:cs="Times New Roman"/>
          <w:b/>
          <w:bCs/>
          <w:sz w:val="24"/>
          <w:szCs w:val="24"/>
        </w:rPr>
      </w:pPr>
      <w:r w:rsidRPr="00A07D2C">
        <w:rPr>
          <w:rFonts w:cs="Times New Roman"/>
          <w:b/>
          <w:bCs/>
          <w:sz w:val="24"/>
          <w:szCs w:val="24"/>
        </w:rPr>
        <w:t>AFFILIATIONS</w:t>
      </w:r>
    </w:p>
    <w:p w14:paraId="48F3C077" w14:textId="77777777" w:rsidR="00264B5A" w:rsidRPr="00290817" w:rsidRDefault="00264B5A" w:rsidP="00264B5A">
      <w:pPr>
        <w:spacing w:after="120" w:line="240" w:lineRule="auto"/>
        <w:rPr>
          <w:rFonts w:cs="Times New Roman"/>
          <w:sz w:val="24"/>
          <w:szCs w:val="24"/>
        </w:rPr>
      </w:pPr>
      <w:r w:rsidRPr="00290817">
        <w:rPr>
          <w:rFonts w:cs="Times New Roman"/>
          <w:sz w:val="24"/>
          <w:szCs w:val="24"/>
          <w:vertAlign w:val="superscript"/>
        </w:rPr>
        <w:t>1</w:t>
      </w:r>
      <w:r w:rsidRPr="00290817">
        <w:rPr>
          <w:rFonts w:cs="Times New Roman"/>
          <w:sz w:val="24"/>
          <w:szCs w:val="24"/>
        </w:rPr>
        <w:t>Department of Mechanical Engineering, Texas Tech University, Lubbock, TX</w:t>
      </w:r>
      <w:r>
        <w:rPr>
          <w:rFonts w:cs="Times New Roman"/>
          <w:sz w:val="24"/>
          <w:szCs w:val="24"/>
        </w:rPr>
        <w:t>,</w:t>
      </w:r>
      <w:r w:rsidRPr="00290817">
        <w:rPr>
          <w:rFonts w:cs="Times New Roman"/>
          <w:sz w:val="24"/>
          <w:szCs w:val="24"/>
        </w:rPr>
        <w:t xml:space="preserve"> 79424</w:t>
      </w:r>
      <w:r>
        <w:rPr>
          <w:rFonts w:cs="Times New Roman"/>
          <w:sz w:val="24"/>
          <w:szCs w:val="24"/>
        </w:rPr>
        <w:t>, USA</w:t>
      </w:r>
    </w:p>
    <w:p w14:paraId="4A2B6BC6" w14:textId="77777777" w:rsidR="00264B5A" w:rsidRDefault="00264B5A" w:rsidP="00264B5A">
      <w:pPr>
        <w:pBdr>
          <w:bottom w:val="single" w:sz="4" w:space="1" w:color="auto"/>
        </w:pBdr>
        <w:spacing w:after="120" w:line="240" w:lineRule="auto"/>
        <w:rPr>
          <w:rFonts w:cs="Times New Roman"/>
          <w:sz w:val="24"/>
          <w:szCs w:val="24"/>
        </w:rPr>
      </w:pPr>
      <w:r w:rsidRPr="009B6592">
        <w:rPr>
          <w:rFonts w:cs="Times New Roman"/>
          <w:sz w:val="24"/>
          <w:szCs w:val="24"/>
          <w:vertAlign w:val="superscript"/>
        </w:rPr>
        <w:t>2</w:t>
      </w:r>
      <w:r w:rsidRPr="00290817">
        <w:rPr>
          <w:rFonts w:cs="Times New Roman"/>
          <w:sz w:val="24"/>
          <w:szCs w:val="24"/>
        </w:rPr>
        <w:t>Naval Air Warfare Center Weapons Division, China Lake, CA</w:t>
      </w:r>
      <w:r>
        <w:rPr>
          <w:rFonts w:cs="Times New Roman"/>
          <w:sz w:val="24"/>
          <w:szCs w:val="24"/>
        </w:rPr>
        <w:t>, 93555, USA</w:t>
      </w:r>
      <w:r w:rsidRPr="00290817">
        <w:rPr>
          <w:rFonts w:cs="Times New Roman"/>
          <w:sz w:val="24"/>
          <w:szCs w:val="24"/>
        </w:rPr>
        <w:t xml:space="preserve"> </w:t>
      </w:r>
    </w:p>
    <w:p w14:paraId="7ED25CE6" w14:textId="77777777" w:rsidR="00264B5A" w:rsidRPr="00290817" w:rsidRDefault="00264B5A" w:rsidP="00264B5A">
      <w:pPr>
        <w:pBdr>
          <w:bottom w:val="single" w:sz="4" w:space="1" w:color="auto"/>
        </w:pBdr>
        <w:spacing w:after="12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  <w:vertAlign w:val="superscript"/>
        </w:rPr>
        <w:t>*</w:t>
      </w:r>
      <w:r>
        <w:rPr>
          <w:rFonts w:cs="Times New Roman"/>
          <w:sz w:val="24"/>
          <w:szCs w:val="24"/>
        </w:rPr>
        <w:t xml:space="preserve"> </w:t>
      </w:r>
      <w:r w:rsidRPr="00A07D2C">
        <w:rPr>
          <w:rFonts w:cs="Times New Roman"/>
          <w:b/>
          <w:bCs/>
          <w:sz w:val="24"/>
          <w:szCs w:val="24"/>
        </w:rPr>
        <w:t>Author</w:t>
      </w:r>
      <w:r>
        <w:rPr>
          <w:rFonts w:cs="Times New Roman"/>
          <w:b/>
          <w:bCs/>
          <w:sz w:val="24"/>
          <w:szCs w:val="24"/>
        </w:rPr>
        <w:t>s</w:t>
      </w:r>
      <w:r w:rsidRPr="00A07D2C">
        <w:rPr>
          <w:rFonts w:cs="Times New Roman"/>
          <w:b/>
          <w:bCs/>
          <w:sz w:val="24"/>
          <w:szCs w:val="24"/>
        </w:rPr>
        <w:t xml:space="preserve"> to whom correspondence should be addressed:</w:t>
      </w:r>
      <w:r>
        <w:rPr>
          <w:rFonts w:cs="Times New Roman"/>
          <w:sz w:val="24"/>
          <w:szCs w:val="24"/>
        </w:rPr>
        <w:t xml:space="preserve"> </w:t>
      </w:r>
      <w:hyperlink r:id="rId5" w:history="1">
        <w:r w:rsidRPr="00D72712">
          <w:rPr>
            <w:rStyle w:val="Hyperlink"/>
            <w:sz w:val="24"/>
          </w:rPr>
          <w:t>michelle.pantoya@ttu.edu</w:t>
        </w:r>
      </w:hyperlink>
      <w:r>
        <w:rPr>
          <w:sz w:val="24"/>
        </w:rPr>
        <w:t xml:space="preserve"> , </w:t>
      </w:r>
      <w:hyperlink r:id="rId6" w:history="1">
        <w:r w:rsidRPr="00D847C7">
          <w:rPr>
            <w:rStyle w:val="Hyperlink"/>
            <w:rFonts w:cs="Times New Roman"/>
            <w:sz w:val="24"/>
            <w:szCs w:val="24"/>
          </w:rPr>
          <w:t>igor.altman@navy.mil</w:t>
        </w:r>
      </w:hyperlink>
      <w:r>
        <w:rPr>
          <w:rStyle w:val="Hyperlink"/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 </w:t>
      </w:r>
    </w:p>
    <w:p w14:paraId="2BD93E79" w14:textId="483E66BF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1CF88F78" w14:textId="06A4BF85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79540B62" w14:textId="2845A60A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12FF95CB" w14:textId="72223D26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2690C1AF" w14:textId="1A631930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66CA0C45" w14:textId="704597FE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38E4DED0" w14:textId="3F44AF00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48FA59E2" w14:textId="77777777" w:rsidR="00DD0AE5" w:rsidRDefault="00DD0AE5" w:rsidP="00264B5A">
      <w:pPr>
        <w:spacing w:line="240" w:lineRule="auto"/>
        <w:rPr>
          <w:rFonts w:cs="Times New Roman"/>
          <w:sz w:val="24"/>
          <w:szCs w:val="24"/>
        </w:rPr>
      </w:pPr>
    </w:p>
    <w:p w14:paraId="01397038" w14:textId="6194FDCB" w:rsidR="00264B5A" w:rsidRPr="003011E9" w:rsidRDefault="00264B5A" w:rsidP="00264B5A">
      <w:pPr>
        <w:spacing w:line="240" w:lineRule="auto"/>
        <w:rPr>
          <w:rFonts w:cs="Times New Roman"/>
          <w:sz w:val="24"/>
          <w:szCs w:val="24"/>
        </w:rPr>
      </w:pPr>
      <w:r w:rsidRPr="003011E9">
        <w:rPr>
          <w:rFonts w:cs="Times New Roman"/>
          <w:noProof/>
          <w:sz w:val="24"/>
          <w:szCs w:val="24"/>
        </w:rPr>
        <w:lastRenderedPageBreak/>
        <w:drawing>
          <wp:inline distT="0" distB="0" distL="0" distR="0" wp14:anchorId="647C7843" wp14:editId="57B923DA">
            <wp:extent cx="4836160" cy="3390716"/>
            <wp:effectExtent l="0" t="0" r="2540" b="635"/>
            <wp:docPr id="1" name="Picture 1" descr="C:\Users\igor.altman\Desktop\Two Modes Combustion with Michelle Pantoya\Calorimetry\Two Regimes in Bomb\XRD_H5 For Final Revised Figure with Inser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gor.altman\Desktop\Two Modes Combustion with Michelle Pantoya\Calorimetry\Two Regimes in Bomb\XRD_H5 For Final Revised Figure with Inser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84"/>
                    <a:stretch/>
                  </pic:blipFill>
                  <pic:spPr bwMode="auto">
                    <a:xfrm>
                      <a:off x="0" y="0"/>
                      <a:ext cx="4849125" cy="3399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27603" w14:textId="77777777" w:rsidR="003011E9" w:rsidRDefault="00264B5A" w:rsidP="00264B5A">
      <w:pPr>
        <w:spacing w:line="240" w:lineRule="auto"/>
        <w:rPr>
          <w:rFonts w:cs="Times New Roman"/>
          <w:sz w:val="24"/>
          <w:szCs w:val="24"/>
        </w:rPr>
      </w:pPr>
      <w:r w:rsidRPr="003011E9">
        <w:rPr>
          <w:rFonts w:cs="Times New Roman"/>
          <w:noProof/>
          <w:sz w:val="24"/>
          <w:szCs w:val="24"/>
        </w:rPr>
        <w:drawing>
          <wp:inline distT="0" distB="0" distL="0" distR="0" wp14:anchorId="2C73338F" wp14:editId="53556CA8">
            <wp:extent cx="4860925" cy="3428886"/>
            <wp:effectExtent l="0" t="0" r="0" b="635"/>
            <wp:docPr id="3" name="Picture 3" descr="C:\Users\igor.altman\Desktop\Two Modes Combustion with Michelle Pantoya\Calorimetry\Two Regimes in Bomb\XRD_H95 For Final Revised Figure with Inser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gor.altman\Desktop\Two Modes Combustion with Michelle Pantoya\Calorimetry\Two Regimes in Bomb\XRD_H95 For Final Revised Figure with Inser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29"/>
                    <a:stretch/>
                  </pic:blipFill>
                  <pic:spPr bwMode="auto">
                    <a:xfrm>
                      <a:off x="0" y="0"/>
                      <a:ext cx="4892917" cy="3451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A9FA13" w14:textId="23BDB55C" w:rsidR="00264B5A" w:rsidRPr="003011E9" w:rsidRDefault="00264B5A" w:rsidP="00851D06">
      <w:pPr>
        <w:pStyle w:val="CommentText"/>
        <w:rPr>
          <w:rFonts w:cs="Times New Roman"/>
          <w:sz w:val="24"/>
          <w:szCs w:val="24"/>
        </w:rPr>
      </w:pPr>
      <w:r w:rsidRPr="003011E9">
        <w:rPr>
          <w:rFonts w:cs="Times New Roman"/>
          <w:b/>
          <w:color w:val="000000" w:themeColor="text1"/>
          <w:sz w:val="24"/>
          <w:szCs w:val="24"/>
        </w:rPr>
        <w:t xml:space="preserve">Fig. </w:t>
      </w:r>
      <w:r w:rsidR="003011E9">
        <w:rPr>
          <w:rFonts w:cs="Times New Roman"/>
          <w:b/>
          <w:color w:val="000000" w:themeColor="text1"/>
          <w:sz w:val="24"/>
          <w:szCs w:val="24"/>
        </w:rPr>
        <w:t>SI</w:t>
      </w:r>
      <w:r w:rsidRPr="003011E9">
        <w:rPr>
          <w:rFonts w:cs="Times New Roman"/>
          <w:b/>
          <w:color w:val="000000" w:themeColor="text1"/>
          <w:sz w:val="24"/>
          <w:szCs w:val="24"/>
        </w:rPr>
        <w:t>.</w:t>
      </w:r>
      <w:r w:rsidRPr="003011E9">
        <w:rPr>
          <w:rFonts w:cs="Times New Roman"/>
          <w:sz w:val="24"/>
          <w:szCs w:val="24"/>
        </w:rPr>
        <w:t xml:space="preserve"> Overlapped XRD patterns of combustion products of</w:t>
      </w:r>
      <w:r w:rsidR="00851D06">
        <w:rPr>
          <w:rFonts w:cs="Times New Roman"/>
          <w:sz w:val="24"/>
          <w:szCs w:val="24"/>
        </w:rPr>
        <w:t xml:space="preserve"> </w:t>
      </w:r>
      <w:r w:rsidR="00851D06">
        <w:t xml:space="preserve">write </w:t>
      </w:r>
      <w:r w:rsidR="00851D06" w:rsidRPr="003011E9">
        <w:rPr>
          <w:rFonts w:cs="Times New Roman"/>
          <w:sz w:val="24"/>
          <w:szCs w:val="24"/>
        </w:rPr>
        <w:t>UN-H5</w:t>
      </w:r>
      <w:r w:rsidR="00851D06">
        <w:rPr>
          <w:rFonts w:cs="Times New Roman"/>
          <w:sz w:val="24"/>
          <w:szCs w:val="24"/>
        </w:rPr>
        <w:t xml:space="preserve"> and SQ-H5;</w:t>
      </w:r>
      <w:r w:rsidR="00851D06" w:rsidRPr="003011E9">
        <w:rPr>
          <w:rFonts w:cs="Times New Roman"/>
          <w:sz w:val="24"/>
          <w:szCs w:val="24"/>
        </w:rPr>
        <w:t xml:space="preserve"> UN-H95</w:t>
      </w:r>
      <w:r w:rsidR="00851D06">
        <w:rPr>
          <w:rFonts w:cs="Times New Roman"/>
          <w:sz w:val="24"/>
          <w:szCs w:val="24"/>
        </w:rPr>
        <w:t xml:space="preserve"> </w:t>
      </w:r>
      <w:r w:rsidR="00851D06" w:rsidRPr="003011E9">
        <w:rPr>
          <w:rFonts w:cs="Times New Roman"/>
          <w:sz w:val="24"/>
          <w:szCs w:val="24"/>
        </w:rPr>
        <w:t>and SQ-H95</w:t>
      </w:r>
      <w:r w:rsidR="00851D06">
        <w:rPr>
          <w:rFonts w:cs="Times New Roman"/>
          <w:sz w:val="24"/>
          <w:szCs w:val="24"/>
        </w:rPr>
        <w:t xml:space="preserve">, </w:t>
      </w:r>
      <w:proofErr w:type="spellStart"/>
      <w:proofErr w:type="gramStart"/>
      <w:r w:rsidR="00851D06">
        <w:rPr>
          <w:rFonts w:cs="Times New Roman"/>
          <w:sz w:val="24"/>
          <w:szCs w:val="24"/>
        </w:rPr>
        <w:t>correspondingly</w:t>
      </w:r>
      <w:r w:rsidR="00851D06" w:rsidRPr="003011E9">
        <w:rPr>
          <w:rFonts w:cs="Times New Roman"/>
          <w:sz w:val="24"/>
          <w:szCs w:val="24"/>
        </w:rPr>
        <w:t>.</w:t>
      </w:r>
      <w:r w:rsidRPr="003011E9">
        <w:rPr>
          <w:rFonts w:cs="Times New Roman"/>
          <w:sz w:val="24"/>
          <w:szCs w:val="24"/>
        </w:rPr>
        <w:t>The</w:t>
      </w:r>
      <w:proofErr w:type="spellEnd"/>
      <w:proofErr w:type="gramEnd"/>
      <w:r w:rsidRPr="003011E9">
        <w:rPr>
          <w:rFonts w:cs="Times New Roman"/>
          <w:sz w:val="24"/>
          <w:szCs w:val="24"/>
        </w:rPr>
        <w:t xml:space="preserve"> insert shows the region of major peaks to highlight the phase composition difference.</w:t>
      </w:r>
    </w:p>
    <w:p w14:paraId="17C26042" w14:textId="16F37D60" w:rsidR="00264B5A" w:rsidRPr="003011E9" w:rsidRDefault="00264B5A" w:rsidP="00264B5A">
      <w:pPr>
        <w:spacing w:line="240" w:lineRule="auto"/>
        <w:rPr>
          <w:rFonts w:cs="Times New Roman"/>
          <w:sz w:val="24"/>
          <w:szCs w:val="24"/>
        </w:rPr>
      </w:pPr>
    </w:p>
    <w:p w14:paraId="50ABD715" w14:textId="5DE4EEA3" w:rsidR="00264B5A" w:rsidRPr="00D23805" w:rsidRDefault="00264B5A" w:rsidP="00264B5A">
      <w:pPr>
        <w:ind w:firstLine="720"/>
        <w:rPr>
          <w:rFonts w:cs="Times New Roman"/>
          <w:sz w:val="24"/>
          <w:szCs w:val="24"/>
        </w:rPr>
      </w:pPr>
      <w:r w:rsidRPr="003011E9">
        <w:rPr>
          <w:rFonts w:cs="Times New Roman"/>
          <w:sz w:val="24"/>
          <w:szCs w:val="24"/>
        </w:rPr>
        <w:lastRenderedPageBreak/>
        <w:t>The estimate of the relative phase compositions considers the presence of two phases</w:t>
      </w:r>
      <w:r w:rsidRPr="00D23805">
        <w:rPr>
          <w:rFonts w:cs="Times New Roman"/>
          <w:sz w:val="24"/>
          <w:szCs w:val="24"/>
        </w:rPr>
        <w:t xml:space="preserve"> using the ratio of intensities of two peaks originating from these two phases using the following formulas</w:t>
      </w:r>
      <w:r w:rsidR="003011E9">
        <w:rPr>
          <w:rFonts w:cs="Times New Roman"/>
          <w:sz w:val="24"/>
          <w:szCs w:val="24"/>
        </w:rPr>
        <w:t>:</w:t>
      </w:r>
    </w:p>
    <w:p w14:paraId="6B672C39" w14:textId="77777777" w:rsidR="00264B5A" w:rsidRPr="00D23805" w:rsidRDefault="00B56E08" w:rsidP="00264B5A">
      <w:pPr>
        <w:ind w:firstLine="720"/>
        <w:rPr>
          <w:rFonts w:eastAsiaTheme="minorEastAsia"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k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12</m:t>
                  </m:r>
                </m:sub>
              </m:sSub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1+k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12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·100%</m:t>
          </m:r>
        </m:oMath>
      </m:oMathPara>
    </w:p>
    <w:p w14:paraId="7018809D" w14:textId="77777777" w:rsidR="00264B5A" w:rsidRPr="00D23805" w:rsidRDefault="00B56E08" w:rsidP="00264B5A">
      <w:pPr>
        <w:ind w:firstLine="720"/>
        <w:rPr>
          <w:rFonts w:cs="Times New Roman"/>
          <w:sz w:val="24"/>
          <w:szCs w:val="24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4"/>
                  <w:szCs w:val="24"/>
                </w:rPr>
                <m:t>2</m:t>
              </m:r>
            </m:sub>
          </m:sSub>
          <m:r>
            <w:rPr>
              <w:rFonts w:ascii="Cambria Math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1+k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12</m:t>
                  </m:r>
                </m:sub>
              </m:sSub>
            </m:den>
          </m:f>
          <m:r>
            <w:rPr>
              <w:rFonts w:ascii="Cambria Math" w:hAnsi="Cambria Math" w:cs="Times New Roman"/>
              <w:sz w:val="24"/>
              <w:szCs w:val="24"/>
            </w:rPr>
            <m:t>·100%</m:t>
          </m:r>
        </m:oMath>
      </m:oMathPara>
    </w:p>
    <w:p w14:paraId="770AF540" w14:textId="603886CC" w:rsidR="00264B5A" w:rsidRDefault="003011E9" w:rsidP="003011E9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 the above formulas,</w:t>
      </w:r>
      <w:r w:rsidR="00264B5A" w:rsidRPr="00D23805">
        <w:rPr>
          <w:rFonts w:cs="Times New Roman"/>
          <w:sz w:val="24"/>
          <w:szCs w:val="24"/>
        </w:rPr>
        <w:t xml:space="preserve"> </w:t>
      </w:r>
      <w:r w:rsidR="00264B5A" w:rsidRPr="00D23805">
        <w:rPr>
          <w:rFonts w:cs="Times New Roman"/>
          <w:i/>
          <w:sz w:val="24"/>
          <w:szCs w:val="24"/>
        </w:rPr>
        <w:t>A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12</w:t>
      </w:r>
      <w:r w:rsidR="00264B5A" w:rsidRPr="00D23805">
        <w:rPr>
          <w:rFonts w:cs="Times New Roman"/>
          <w:sz w:val="24"/>
          <w:szCs w:val="24"/>
        </w:rPr>
        <w:t xml:space="preserve"> is the ratio of areas of peaks corresponding to the considered phases, and </w:t>
      </w:r>
      <w:r w:rsidR="00264B5A" w:rsidRPr="00D23805">
        <w:rPr>
          <w:rFonts w:cs="Times New Roman"/>
          <w:i/>
          <w:sz w:val="24"/>
          <w:szCs w:val="24"/>
        </w:rPr>
        <w:t>k</w:t>
      </w:r>
      <w:r w:rsidR="00264B5A" w:rsidRPr="00D23805">
        <w:rPr>
          <w:rFonts w:cs="Times New Roman"/>
          <w:sz w:val="24"/>
          <w:szCs w:val="24"/>
        </w:rPr>
        <w:t xml:space="preserve"> is an instrumental constant depending on the instrument sensitivities to these particular phases at the peak positions, and </w:t>
      </w:r>
      <w:r w:rsidR="00264B5A" w:rsidRPr="00D23805">
        <w:rPr>
          <w:rFonts w:cs="Times New Roman"/>
          <w:i/>
          <w:sz w:val="24"/>
          <w:szCs w:val="24"/>
        </w:rPr>
        <w:t>R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1</w:t>
      </w:r>
      <w:r w:rsidR="00264B5A" w:rsidRPr="00D23805">
        <w:rPr>
          <w:rFonts w:cs="Times New Roman"/>
          <w:sz w:val="24"/>
          <w:szCs w:val="24"/>
        </w:rPr>
        <w:t xml:space="preserve"> and </w:t>
      </w:r>
      <w:r w:rsidR="00264B5A" w:rsidRPr="00D23805">
        <w:rPr>
          <w:rFonts w:cs="Times New Roman"/>
          <w:i/>
          <w:sz w:val="24"/>
          <w:szCs w:val="24"/>
        </w:rPr>
        <w:t>R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2</w:t>
      </w:r>
      <w:r w:rsidR="00264B5A" w:rsidRPr="00D23805">
        <w:rPr>
          <w:rFonts w:cs="Times New Roman"/>
          <w:sz w:val="24"/>
          <w:szCs w:val="24"/>
        </w:rPr>
        <w:t xml:space="preserve"> are relative fractions of the phases. Although, the precise calculation requires the exact value of </w:t>
      </w:r>
      <w:r w:rsidR="00264B5A" w:rsidRPr="00D23805">
        <w:rPr>
          <w:rFonts w:cs="Times New Roman"/>
          <w:i/>
          <w:sz w:val="24"/>
          <w:szCs w:val="24"/>
        </w:rPr>
        <w:t>k</w:t>
      </w:r>
      <w:r w:rsidR="00264B5A" w:rsidRPr="00D23805">
        <w:rPr>
          <w:rFonts w:cs="Times New Roman"/>
          <w:sz w:val="24"/>
          <w:szCs w:val="24"/>
        </w:rPr>
        <w:t xml:space="preserve">, it is clear that </w:t>
      </w:r>
      <w:r w:rsidR="00264B5A" w:rsidRPr="00D23805">
        <w:rPr>
          <w:rFonts w:cs="Times New Roman"/>
          <w:i/>
          <w:sz w:val="24"/>
          <w:szCs w:val="24"/>
        </w:rPr>
        <w:t>R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1</w:t>
      </w:r>
      <w:r w:rsidR="00264B5A" w:rsidRPr="00D23805">
        <w:rPr>
          <w:rFonts w:cs="Times New Roman"/>
          <w:sz w:val="24"/>
          <w:szCs w:val="24"/>
        </w:rPr>
        <w:t xml:space="preserve"> monotonously increases while </w:t>
      </w:r>
      <w:r w:rsidR="00264B5A" w:rsidRPr="00D23805">
        <w:rPr>
          <w:rFonts w:cs="Times New Roman"/>
          <w:i/>
          <w:sz w:val="24"/>
          <w:szCs w:val="24"/>
        </w:rPr>
        <w:t>R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2</w:t>
      </w:r>
      <w:r w:rsidR="00264B5A" w:rsidRPr="00D23805">
        <w:rPr>
          <w:rFonts w:cs="Times New Roman"/>
          <w:sz w:val="24"/>
          <w:szCs w:val="24"/>
        </w:rPr>
        <w:t xml:space="preserve"> monotonously decreases with </w:t>
      </w:r>
      <w:r w:rsidR="00264B5A" w:rsidRPr="00D23805">
        <w:rPr>
          <w:rFonts w:cs="Times New Roman"/>
          <w:i/>
          <w:iCs/>
          <w:sz w:val="24"/>
          <w:szCs w:val="24"/>
        </w:rPr>
        <w:t>A</w:t>
      </w:r>
      <w:r w:rsidR="00264B5A" w:rsidRPr="00D23805">
        <w:rPr>
          <w:rFonts w:cs="Times New Roman"/>
          <w:i/>
          <w:sz w:val="24"/>
          <w:szCs w:val="24"/>
          <w:vertAlign w:val="subscript"/>
        </w:rPr>
        <w:t>12</w:t>
      </w:r>
      <w:r w:rsidR="00264B5A" w:rsidRPr="00D23805">
        <w:rPr>
          <w:rFonts w:cs="Times New Roman"/>
          <w:sz w:val="24"/>
          <w:szCs w:val="24"/>
        </w:rPr>
        <w:t xml:space="preserve"> increase. The consistent trend means that the change in the peak area ratios is a qualitative indication of the change of phase fractions regardless of the exact value of the constant of the instrument used for the XRD analysis. For Table 1, we used </w:t>
      </w:r>
      <w:r w:rsidR="00264B5A" w:rsidRPr="00D23805">
        <w:rPr>
          <w:rFonts w:cs="Times New Roman"/>
          <w:i/>
          <w:iCs/>
          <w:sz w:val="24"/>
          <w:szCs w:val="24"/>
        </w:rPr>
        <w:t>k</w:t>
      </w:r>
      <w:r w:rsidR="00264B5A" w:rsidRPr="00D23805">
        <w:rPr>
          <w:rFonts w:cs="Times New Roman"/>
          <w:sz w:val="24"/>
          <w:szCs w:val="24"/>
        </w:rPr>
        <w:t>=1.25. T</w:t>
      </w:r>
      <w:r>
        <w:rPr>
          <w:rFonts w:cs="Times New Roman"/>
          <w:sz w:val="24"/>
          <w:szCs w:val="24"/>
        </w:rPr>
        <w:t>he T</w:t>
      </w:r>
      <w:r w:rsidR="00264B5A" w:rsidRPr="00D23805">
        <w:rPr>
          <w:rFonts w:cs="Times New Roman"/>
          <w:sz w:val="24"/>
          <w:szCs w:val="24"/>
        </w:rPr>
        <w:t>ables</w:t>
      </w:r>
      <w:r w:rsidR="00B56E08">
        <w:rPr>
          <w:rFonts w:cs="Times New Roman"/>
          <w:sz w:val="24"/>
          <w:szCs w:val="24"/>
        </w:rPr>
        <w:t xml:space="preserve"> S1-S3</w:t>
      </w:r>
      <w:r w:rsidR="00264B5A" w:rsidRPr="00D23805">
        <w:rPr>
          <w:rFonts w:cs="Times New Roman"/>
          <w:sz w:val="24"/>
          <w:szCs w:val="24"/>
        </w:rPr>
        <w:t xml:space="preserve"> below are generated at different </w:t>
      </w:r>
      <w:r w:rsidR="00264B5A" w:rsidRPr="00D23805">
        <w:rPr>
          <w:rFonts w:cs="Times New Roman"/>
          <w:i/>
          <w:sz w:val="24"/>
          <w:szCs w:val="24"/>
        </w:rPr>
        <w:t>k</w:t>
      </w:r>
      <w:r w:rsidR="00264B5A" w:rsidRPr="00D23805">
        <w:rPr>
          <w:rFonts w:cs="Times New Roman"/>
          <w:sz w:val="24"/>
          <w:szCs w:val="24"/>
        </w:rPr>
        <w:t xml:space="preserve"> in order to illustrate the qualitative trend in the change of the phase fractions. Note that for our conclusions, we need this trend only, not the exact values of fractions.</w:t>
      </w:r>
    </w:p>
    <w:p w14:paraId="710ACC12" w14:textId="4643CDD8" w:rsidR="003011E9" w:rsidRDefault="003011E9" w:rsidP="003011E9">
      <w:pPr>
        <w:rPr>
          <w:rFonts w:cs="Times New Roman"/>
          <w:sz w:val="24"/>
          <w:szCs w:val="24"/>
        </w:rPr>
      </w:pPr>
    </w:p>
    <w:p w14:paraId="323CA253" w14:textId="5B2C0F3C" w:rsidR="003011E9" w:rsidRDefault="003011E9" w:rsidP="003011E9">
      <w:pPr>
        <w:rPr>
          <w:rFonts w:cs="Times New Roman"/>
          <w:sz w:val="24"/>
          <w:szCs w:val="24"/>
        </w:rPr>
      </w:pPr>
    </w:p>
    <w:p w14:paraId="44515CC5" w14:textId="0060C198" w:rsidR="003011E9" w:rsidRDefault="003011E9" w:rsidP="003011E9">
      <w:pPr>
        <w:rPr>
          <w:rFonts w:cs="Times New Roman"/>
          <w:sz w:val="24"/>
          <w:szCs w:val="24"/>
        </w:rPr>
      </w:pPr>
    </w:p>
    <w:p w14:paraId="1AEF9766" w14:textId="77777777" w:rsidR="003011E9" w:rsidRPr="00D23805" w:rsidRDefault="003011E9" w:rsidP="003011E9">
      <w:pPr>
        <w:rPr>
          <w:rFonts w:cs="Times New Roman"/>
          <w:sz w:val="24"/>
          <w:szCs w:val="24"/>
        </w:rPr>
      </w:pPr>
    </w:p>
    <w:p w14:paraId="7A6F9FF1" w14:textId="23BF23D4" w:rsidR="00264B5A" w:rsidRPr="00D23805" w:rsidRDefault="00264B5A" w:rsidP="00264B5A">
      <w:pPr>
        <w:spacing w:after="0" w:line="240" w:lineRule="auto"/>
        <w:rPr>
          <w:rFonts w:cs="Times New Roman"/>
          <w:sz w:val="24"/>
          <w:szCs w:val="24"/>
        </w:rPr>
      </w:pPr>
      <w:r w:rsidRPr="00D23805">
        <w:rPr>
          <w:rFonts w:cs="Times New Roman"/>
          <w:b/>
          <w:sz w:val="24"/>
          <w:szCs w:val="24"/>
        </w:rPr>
        <w:lastRenderedPageBreak/>
        <w:t xml:space="preserve">Table </w:t>
      </w:r>
      <w:r w:rsidR="00B56E08">
        <w:rPr>
          <w:rFonts w:cs="Times New Roman"/>
          <w:b/>
          <w:sz w:val="24"/>
          <w:szCs w:val="24"/>
        </w:rPr>
        <w:t>S1</w:t>
      </w:r>
      <w:r w:rsidRPr="00D23805">
        <w:rPr>
          <w:rFonts w:cs="Times New Roman"/>
          <w:b/>
          <w:sz w:val="24"/>
          <w:szCs w:val="24"/>
        </w:rPr>
        <w:t>.</w:t>
      </w:r>
      <w:r w:rsidRPr="00D23805">
        <w:rPr>
          <w:rFonts w:cs="Times New Roman"/>
          <w:sz w:val="24"/>
          <w:szCs w:val="24"/>
        </w:rPr>
        <w:t xml:space="preserve"> Relative mass fraction of alumina phases in combustion products recovered after aluminum oxidation in the bomb calorimeter. Data processed at </w:t>
      </w:r>
      <w:r w:rsidRPr="00D23805">
        <w:rPr>
          <w:rFonts w:cs="Times New Roman"/>
          <w:i/>
          <w:iCs/>
          <w:sz w:val="24"/>
          <w:szCs w:val="24"/>
        </w:rPr>
        <w:t>k</w:t>
      </w:r>
      <w:r w:rsidRPr="00D23805">
        <w:rPr>
          <w:rFonts w:cs="Times New Roman"/>
          <w:sz w:val="24"/>
          <w:szCs w:val="24"/>
        </w:rPr>
        <w:t>=1.</w:t>
      </w:r>
      <w:r w:rsidRPr="00D23805">
        <w:rPr>
          <w:rFonts w:cs="Times New Roman"/>
          <w:sz w:val="24"/>
          <w:szCs w:val="24"/>
        </w:rPr>
        <w:tab/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900"/>
        <w:gridCol w:w="990"/>
        <w:gridCol w:w="900"/>
        <w:gridCol w:w="1080"/>
        <w:gridCol w:w="1080"/>
      </w:tblGrid>
      <w:tr w:rsidR="00264B5A" w:rsidRPr="00D23805" w14:paraId="7ADF64F9" w14:textId="77777777" w:rsidTr="001A5D6A">
        <w:trPr>
          <w:trHeight w:val="350"/>
        </w:trPr>
        <w:tc>
          <w:tcPr>
            <w:tcW w:w="1615" w:type="dxa"/>
          </w:tcPr>
          <w:p w14:paraId="2757DEF5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11120F6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UN-H2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392A73E8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SQ-H2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2CAD4C8C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UN-H5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0F5E525B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SQ-H5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308A2914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UN-H95</w:t>
            </w:r>
          </w:p>
        </w:tc>
        <w:tc>
          <w:tcPr>
            <w:tcW w:w="1080" w:type="dxa"/>
          </w:tcPr>
          <w:p w14:paraId="3F56AAB3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SQ-H95</w:t>
            </w:r>
          </w:p>
        </w:tc>
      </w:tr>
      <w:tr w:rsidR="00264B5A" w:rsidRPr="00D23805" w14:paraId="1ACD7FC7" w14:textId="77777777" w:rsidTr="001A5D6A">
        <w:tc>
          <w:tcPr>
            <w:tcW w:w="1615" w:type="dxa"/>
          </w:tcPr>
          <w:p w14:paraId="67319D64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α-alumina, %</w:t>
            </w:r>
          </w:p>
        </w:tc>
        <w:tc>
          <w:tcPr>
            <w:tcW w:w="990" w:type="dxa"/>
          </w:tcPr>
          <w:p w14:paraId="756FE5C2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24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60CE3AE9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62B6EB29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1E688107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2A2AAA0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</w:tcPr>
          <w:p w14:paraId="41CAC3FC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11</w:t>
            </w:r>
          </w:p>
        </w:tc>
      </w:tr>
      <w:tr w:rsidR="00264B5A" w:rsidRPr="00D23805" w14:paraId="0E07EFF6" w14:textId="77777777" w:rsidTr="001A5D6A">
        <w:tc>
          <w:tcPr>
            <w:tcW w:w="1615" w:type="dxa"/>
          </w:tcPr>
          <w:p w14:paraId="58ABB7FA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γ-alumina, %</w:t>
            </w:r>
          </w:p>
        </w:tc>
        <w:tc>
          <w:tcPr>
            <w:tcW w:w="990" w:type="dxa"/>
          </w:tcPr>
          <w:p w14:paraId="4EBDE4FC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76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6606785A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88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2144089D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88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4A0B227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92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2834ED65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81</w:t>
            </w:r>
          </w:p>
        </w:tc>
        <w:tc>
          <w:tcPr>
            <w:tcW w:w="1080" w:type="dxa"/>
          </w:tcPr>
          <w:p w14:paraId="1183F2D7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89</w:t>
            </w:r>
          </w:p>
        </w:tc>
      </w:tr>
    </w:tbl>
    <w:p w14:paraId="06A6D961" w14:textId="77777777" w:rsidR="00264B5A" w:rsidRPr="00D23805" w:rsidRDefault="00264B5A" w:rsidP="00264B5A">
      <w:pPr>
        <w:ind w:firstLine="720"/>
        <w:rPr>
          <w:rFonts w:cs="Times New Roman"/>
          <w:sz w:val="24"/>
          <w:szCs w:val="24"/>
        </w:rPr>
      </w:pPr>
    </w:p>
    <w:p w14:paraId="49EE16E2" w14:textId="43656D35" w:rsidR="00264B5A" w:rsidRPr="00D23805" w:rsidRDefault="00264B5A" w:rsidP="00264B5A">
      <w:pPr>
        <w:spacing w:after="0" w:line="240" w:lineRule="auto"/>
        <w:rPr>
          <w:rFonts w:cs="Times New Roman"/>
          <w:sz w:val="24"/>
          <w:szCs w:val="24"/>
        </w:rPr>
      </w:pPr>
      <w:r w:rsidRPr="00D23805">
        <w:rPr>
          <w:rFonts w:cs="Times New Roman"/>
          <w:b/>
          <w:sz w:val="24"/>
          <w:szCs w:val="24"/>
        </w:rPr>
        <w:t xml:space="preserve">Table </w:t>
      </w:r>
      <w:r w:rsidR="00B56E08">
        <w:rPr>
          <w:rFonts w:cs="Times New Roman"/>
          <w:b/>
          <w:sz w:val="24"/>
          <w:szCs w:val="24"/>
        </w:rPr>
        <w:t>S2</w:t>
      </w:r>
      <w:r w:rsidRPr="00D23805">
        <w:rPr>
          <w:rFonts w:cs="Times New Roman"/>
          <w:b/>
          <w:sz w:val="24"/>
          <w:szCs w:val="24"/>
        </w:rPr>
        <w:t>.</w:t>
      </w:r>
      <w:r w:rsidRPr="00D23805">
        <w:rPr>
          <w:rFonts w:cs="Times New Roman"/>
          <w:sz w:val="24"/>
          <w:szCs w:val="24"/>
        </w:rPr>
        <w:t xml:space="preserve"> Relative mass fraction of alumina phases in combustion products recovered after aluminum oxidation in the bomb calorimeter. Data processed at </w:t>
      </w:r>
      <w:r w:rsidRPr="00D23805">
        <w:rPr>
          <w:rFonts w:cs="Times New Roman"/>
          <w:i/>
          <w:iCs/>
          <w:sz w:val="24"/>
          <w:szCs w:val="24"/>
        </w:rPr>
        <w:t>k</w:t>
      </w:r>
      <w:r w:rsidRPr="00D23805">
        <w:rPr>
          <w:rFonts w:cs="Times New Roman"/>
          <w:sz w:val="24"/>
          <w:szCs w:val="24"/>
        </w:rPr>
        <w:t>=1.25.</w:t>
      </w:r>
      <w:r w:rsidRPr="00D23805">
        <w:rPr>
          <w:rFonts w:cs="Times New Roman"/>
          <w:sz w:val="24"/>
          <w:szCs w:val="24"/>
        </w:rPr>
        <w:tab/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900"/>
        <w:gridCol w:w="990"/>
        <w:gridCol w:w="900"/>
        <w:gridCol w:w="1080"/>
        <w:gridCol w:w="1080"/>
      </w:tblGrid>
      <w:tr w:rsidR="00264B5A" w:rsidRPr="00D23805" w14:paraId="2E5F4091" w14:textId="77777777" w:rsidTr="001A5D6A">
        <w:trPr>
          <w:trHeight w:val="350"/>
        </w:trPr>
        <w:tc>
          <w:tcPr>
            <w:tcW w:w="1615" w:type="dxa"/>
          </w:tcPr>
          <w:p w14:paraId="4DF0C23A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28581B04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UN-H2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57112A2A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SQ-H2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488B729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UN-H5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28B6C7F8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SQ-H5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07223DC7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UN-H95</w:t>
            </w:r>
          </w:p>
        </w:tc>
        <w:tc>
          <w:tcPr>
            <w:tcW w:w="1080" w:type="dxa"/>
          </w:tcPr>
          <w:p w14:paraId="47A8B61D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SQ-H95</w:t>
            </w:r>
          </w:p>
        </w:tc>
      </w:tr>
      <w:tr w:rsidR="00264B5A" w:rsidRPr="00D23805" w14:paraId="009BE989" w14:textId="77777777" w:rsidTr="001A5D6A">
        <w:tc>
          <w:tcPr>
            <w:tcW w:w="1615" w:type="dxa"/>
          </w:tcPr>
          <w:p w14:paraId="173CBFD6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α-alumina, %</w:t>
            </w:r>
          </w:p>
        </w:tc>
        <w:tc>
          <w:tcPr>
            <w:tcW w:w="990" w:type="dxa"/>
          </w:tcPr>
          <w:p w14:paraId="10984152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29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3C0EB2B1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1AEA0A38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1F96B89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74358107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1080" w:type="dxa"/>
          </w:tcPr>
          <w:p w14:paraId="43A3DE82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13</w:t>
            </w:r>
          </w:p>
        </w:tc>
      </w:tr>
      <w:tr w:rsidR="00264B5A" w:rsidRPr="00D23805" w14:paraId="54E377FF" w14:textId="77777777" w:rsidTr="001A5D6A">
        <w:tc>
          <w:tcPr>
            <w:tcW w:w="1615" w:type="dxa"/>
          </w:tcPr>
          <w:p w14:paraId="785AEB1B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γ-alumina, %</w:t>
            </w:r>
          </w:p>
        </w:tc>
        <w:tc>
          <w:tcPr>
            <w:tcW w:w="990" w:type="dxa"/>
          </w:tcPr>
          <w:p w14:paraId="52FA6FC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71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6CA02719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85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5708CE2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86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07DAD4B1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90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711E483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77</w:t>
            </w:r>
          </w:p>
        </w:tc>
        <w:tc>
          <w:tcPr>
            <w:tcW w:w="1080" w:type="dxa"/>
          </w:tcPr>
          <w:p w14:paraId="31C45AFD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87</w:t>
            </w:r>
          </w:p>
        </w:tc>
      </w:tr>
    </w:tbl>
    <w:p w14:paraId="357F548B" w14:textId="77777777" w:rsidR="00264B5A" w:rsidRPr="00D23805" w:rsidRDefault="00264B5A" w:rsidP="00264B5A">
      <w:pPr>
        <w:ind w:firstLine="720"/>
        <w:rPr>
          <w:rFonts w:cs="Times New Roman"/>
          <w:sz w:val="24"/>
          <w:szCs w:val="24"/>
        </w:rPr>
      </w:pPr>
    </w:p>
    <w:p w14:paraId="70DB2957" w14:textId="4AE0B796" w:rsidR="00264B5A" w:rsidRPr="00D23805" w:rsidRDefault="00264B5A" w:rsidP="00264B5A">
      <w:pPr>
        <w:spacing w:after="0" w:line="240" w:lineRule="auto"/>
        <w:rPr>
          <w:rFonts w:cs="Times New Roman"/>
          <w:sz w:val="24"/>
          <w:szCs w:val="24"/>
        </w:rPr>
      </w:pPr>
      <w:r w:rsidRPr="00D23805">
        <w:rPr>
          <w:rFonts w:cs="Times New Roman"/>
          <w:b/>
          <w:sz w:val="24"/>
          <w:szCs w:val="24"/>
        </w:rPr>
        <w:t xml:space="preserve">Table </w:t>
      </w:r>
      <w:r w:rsidR="00B56E08">
        <w:rPr>
          <w:rFonts w:cs="Times New Roman"/>
          <w:b/>
          <w:sz w:val="24"/>
          <w:szCs w:val="24"/>
        </w:rPr>
        <w:t>S3</w:t>
      </w:r>
      <w:r w:rsidRPr="00D23805">
        <w:rPr>
          <w:rFonts w:cs="Times New Roman"/>
          <w:b/>
          <w:sz w:val="24"/>
          <w:szCs w:val="24"/>
        </w:rPr>
        <w:t>.</w:t>
      </w:r>
      <w:r w:rsidRPr="00D23805">
        <w:rPr>
          <w:rFonts w:cs="Times New Roman"/>
          <w:sz w:val="24"/>
          <w:szCs w:val="24"/>
        </w:rPr>
        <w:t xml:space="preserve"> Relative mass fraction of alumina phases in combustion products recovered after aluminum oxidation in the bomb calorimeter. Data processed at </w:t>
      </w:r>
      <w:r w:rsidRPr="00D23805">
        <w:rPr>
          <w:rFonts w:cs="Times New Roman"/>
          <w:i/>
          <w:iCs/>
          <w:sz w:val="24"/>
          <w:szCs w:val="24"/>
        </w:rPr>
        <w:t>k</w:t>
      </w:r>
      <w:r w:rsidRPr="00D23805">
        <w:rPr>
          <w:rFonts w:cs="Times New Roman"/>
          <w:sz w:val="24"/>
          <w:szCs w:val="24"/>
        </w:rPr>
        <w:t>=1.5.</w:t>
      </w:r>
      <w:r w:rsidRPr="00D23805">
        <w:rPr>
          <w:rFonts w:cs="Times New Roman"/>
          <w:sz w:val="24"/>
          <w:szCs w:val="24"/>
        </w:rPr>
        <w:tab/>
        <w:t xml:space="preserve">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990"/>
        <w:gridCol w:w="900"/>
        <w:gridCol w:w="990"/>
        <w:gridCol w:w="900"/>
        <w:gridCol w:w="1080"/>
        <w:gridCol w:w="1080"/>
      </w:tblGrid>
      <w:tr w:rsidR="00264B5A" w:rsidRPr="00D23805" w14:paraId="4EE4A4F3" w14:textId="77777777" w:rsidTr="001A5D6A">
        <w:trPr>
          <w:trHeight w:val="350"/>
        </w:trPr>
        <w:tc>
          <w:tcPr>
            <w:tcW w:w="1615" w:type="dxa"/>
          </w:tcPr>
          <w:p w14:paraId="22CDEE6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5140EDAB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UN-H2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42EA8EB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SQ-H2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3B70E069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UN-H5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745DFA4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SQ-H5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54566ED9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UN-H95</w:t>
            </w:r>
          </w:p>
        </w:tc>
        <w:tc>
          <w:tcPr>
            <w:tcW w:w="1080" w:type="dxa"/>
          </w:tcPr>
          <w:p w14:paraId="12E74F94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SQ-H95</w:t>
            </w:r>
          </w:p>
        </w:tc>
      </w:tr>
      <w:tr w:rsidR="00264B5A" w:rsidRPr="00D23805" w14:paraId="33F31CBD" w14:textId="77777777" w:rsidTr="001A5D6A">
        <w:tc>
          <w:tcPr>
            <w:tcW w:w="1615" w:type="dxa"/>
          </w:tcPr>
          <w:p w14:paraId="3498E35B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α-alumina, %</w:t>
            </w:r>
          </w:p>
        </w:tc>
        <w:tc>
          <w:tcPr>
            <w:tcW w:w="990" w:type="dxa"/>
          </w:tcPr>
          <w:p w14:paraId="6856F52B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32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6B086E07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3D71E29A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550F02B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3BE7047C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26</w:t>
            </w:r>
          </w:p>
        </w:tc>
        <w:tc>
          <w:tcPr>
            <w:tcW w:w="1080" w:type="dxa"/>
          </w:tcPr>
          <w:p w14:paraId="28A3EE2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16</w:t>
            </w:r>
          </w:p>
        </w:tc>
      </w:tr>
      <w:tr w:rsidR="00264B5A" w:rsidRPr="00D23805" w14:paraId="4CA5B4D4" w14:textId="77777777" w:rsidTr="001A5D6A">
        <w:tc>
          <w:tcPr>
            <w:tcW w:w="1615" w:type="dxa"/>
          </w:tcPr>
          <w:p w14:paraId="10A253B5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γ-alumina, %</w:t>
            </w:r>
          </w:p>
        </w:tc>
        <w:tc>
          <w:tcPr>
            <w:tcW w:w="990" w:type="dxa"/>
          </w:tcPr>
          <w:p w14:paraId="3E720073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68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3688105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83</w:t>
            </w:r>
          </w:p>
        </w:tc>
        <w:tc>
          <w:tcPr>
            <w:tcW w:w="990" w:type="dxa"/>
            <w:tcBorders>
              <w:left w:val="double" w:sz="4" w:space="0" w:color="auto"/>
            </w:tcBorders>
          </w:tcPr>
          <w:p w14:paraId="1CE8E920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84</w:t>
            </w:r>
          </w:p>
        </w:tc>
        <w:tc>
          <w:tcPr>
            <w:tcW w:w="900" w:type="dxa"/>
            <w:tcBorders>
              <w:right w:val="double" w:sz="4" w:space="0" w:color="auto"/>
            </w:tcBorders>
          </w:tcPr>
          <w:p w14:paraId="2E443795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88</w:t>
            </w:r>
          </w:p>
        </w:tc>
        <w:tc>
          <w:tcPr>
            <w:tcW w:w="1080" w:type="dxa"/>
            <w:tcBorders>
              <w:left w:val="double" w:sz="4" w:space="0" w:color="auto"/>
            </w:tcBorders>
          </w:tcPr>
          <w:p w14:paraId="0A15297F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74</w:t>
            </w:r>
          </w:p>
        </w:tc>
        <w:tc>
          <w:tcPr>
            <w:tcW w:w="1080" w:type="dxa"/>
          </w:tcPr>
          <w:p w14:paraId="68E5A2DC" w14:textId="77777777" w:rsidR="00264B5A" w:rsidRPr="00D23805" w:rsidRDefault="00264B5A" w:rsidP="001A5D6A">
            <w:pPr>
              <w:spacing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D23805">
              <w:rPr>
                <w:rFonts w:cs="Times New Roman"/>
                <w:sz w:val="24"/>
                <w:szCs w:val="24"/>
              </w:rPr>
              <w:t>84</w:t>
            </w:r>
          </w:p>
        </w:tc>
      </w:tr>
    </w:tbl>
    <w:p w14:paraId="0C16F9DE" w14:textId="77777777" w:rsidR="00264B5A" w:rsidRPr="00D23805" w:rsidRDefault="00264B5A" w:rsidP="00264B5A">
      <w:pPr>
        <w:ind w:firstLine="720"/>
        <w:rPr>
          <w:rFonts w:cs="Times New Roman"/>
          <w:sz w:val="24"/>
          <w:szCs w:val="24"/>
        </w:rPr>
      </w:pPr>
    </w:p>
    <w:p w14:paraId="0864D6F2" w14:textId="77777777" w:rsidR="00264B5A" w:rsidRDefault="00264B5A" w:rsidP="00264B5A">
      <w:pPr>
        <w:ind w:firstLine="720"/>
        <w:rPr>
          <w:rFonts w:cs="Times New Roman"/>
          <w:sz w:val="24"/>
          <w:szCs w:val="24"/>
        </w:rPr>
      </w:pPr>
    </w:p>
    <w:p w14:paraId="3ABA5615" w14:textId="77777777" w:rsidR="003011E9" w:rsidRDefault="003011E9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161D8499" w14:textId="081C24BF" w:rsidR="00264B5A" w:rsidRPr="003011E9" w:rsidRDefault="00264B5A" w:rsidP="003011E9">
      <w:pPr>
        <w:spacing w:line="240" w:lineRule="auto"/>
        <w:rPr>
          <w:rFonts w:cs="Times New Roman"/>
          <w:b/>
          <w:bCs/>
          <w:sz w:val="24"/>
          <w:szCs w:val="24"/>
        </w:rPr>
      </w:pPr>
      <w:r w:rsidRPr="003011E9">
        <w:rPr>
          <w:rFonts w:cs="Times New Roman"/>
          <w:b/>
          <w:bCs/>
          <w:sz w:val="24"/>
          <w:szCs w:val="24"/>
        </w:rPr>
        <w:lastRenderedPageBreak/>
        <w:t>Combustion Experiments</w:t>
      </w:r>
    </w:p>
    <w:p w14:paraId="1F36C193" w14:textId="300DEF96" w:rsidR="00264B5A" w:rsidRDefault="00264B5A" w:rsidP="00264B5A">
      <w:pPr>
        <w:spacing w:line="240" w:lineRule="auto"/>
        <w:ind w:firstLine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Table S</w:t>
      </w:r>
      <w:r w:rsidR="00B56E08">
        <w:rPr>
          <w:rFonts w:cs="Times New Roman"/>
          <w:sz w:val="24"/>
          <w:szCs w:val="24"/>
        </w:rPr>
        <w:t>4</w:t>
      </w:r>
      <w:r w:rsidR="00644B6A">
        <w:rPr>
          <w:rFonts w:cs="Times New Roman"/>
          <w:sz w:val="24"/>
          <w:szCs w:val="24"/>
        </w:rPr>
        <w:t>.  Tabulated run data of Untreated and Super Quenched Aluminum</w:t>
      </w:r>
    </w:p>
    <w:tbl>
      <w:tblPr>
        <w:tblW w:w="7701" w:type="dxa"/>
        <w:tblLook w:val="04A0" w:firstRow="1" w:lastRow="0" w:firstColumn="1" w:lastColumn="0" w:noHBand="0" w:noVBand="1"/>
      </w:tblPr>
      <w:tblGrid>
        <w:gridCol w:w="1373"/>
        <w:gridCol w:w="952"/>
        <w:gridCol w:w="952"/>
        <w:gridCol w:w="1124"/>
        <w:gridCol w:w="1034"/>
        <w:gridCol w:w="1034"/>
        <w:gridCol w:w="1232"/>
      </w:tblGrid>
      <w:tr w:rsidR="00644B6A" w:rsidRPr="00644B6A" w14:paraId="1319F03B" w14:textId="77777777" w:rsidTr="00644B6A">
        <w:trPr>
          <w:trHeight w:val="300"/>
        </w:trPr>
        <w:tc>
          <w:tcPr>
            <w:tcW w:w="4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3C66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UNTREATED (kJ/g)</w:t>
            </w:r>
          </w:p>
        </w:tc>
        <w:tc>
          <w:tcPr>
            <w:tcW w:w="3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E590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SUPER QUENCHED (kJ/g)</w:t>
            </w:r>
          </w:p>
        </w:tc>
      </w:tr>
      <w:tr w:rsidR="00644B6A" w:rsidRPr="00644B6A" w14:paraId="22BE75D6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D1F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Run #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81A67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UN H2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DCB92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UN H5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7689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UN H95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C39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SQ H2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F99E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SQ H5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FC89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SQ H95</w:t>
            </w:r>
          </w:p>
        </w:tc>
      </w:tr>
      <w:tr w:rsidR="00644B6A" w:rsidRPr="00644B6A" w14:paraId="2F096C98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B62B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F2D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28.40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3357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277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29.33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5AE6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27.43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07B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14D2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30.86</w:t>
            </w:r>
          </w:p>
        </w:tc>
      </w:tr>
      <w:tr w:rsidR="00644B6A" w:rsidRPr="00644B6A" w14:paraId="0519ACFC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C92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BBC8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29B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EEF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30.34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08C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B1AD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32.72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057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30.66</w:t>
            </w:r>
          </w:p>
        </w:tc>
      </w:tr>
      <w:tr w:rsidR="00644B6A" w:rsidRPr="00644B6A" w14:paraId="341C53B2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FCD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98DE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29.72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FA4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29.99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B54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D55E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28.03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964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31.55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0F82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30.27</w:t>
            </w:r>
          </w:p>
        </w:tc>
      </w:tr>
      <w:tr w:rsidR="00644B6A" w:rsidRPr="00644B6A" w14:paraId="324C286A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3AC9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811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20D7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30.67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BA4B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29.58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C39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12E8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3C7F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30.90</w:t>
            </w:r>
          </w:p>
        </w:tc>
      </w:tr>
      <w:tr w:rsidR="00644B6A" w:rsidRPr="00644B6A" w14:paraId="4FD3A678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7311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31D3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29.04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59DD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30.19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5953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30.18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B48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C6C7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31.86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91D3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30.27</w:t>
            </w:r>
          </w:p>
        </w:tc>
      </w:tr>
      <w:tr w:rsidR="00644B6A" w:rsidRPr="00644B6A" w14:paraId="12CA8626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6265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A516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29.33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3FF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30.42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D25F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29.49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5A3B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29.42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72F9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F0C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30.54</w:t>
            </w:r>
          </w:p>
        </w:tc>
      </w:tr>
      <w:tr w:rsidR="00644B6A" w:rsidRPr="00644B6A" w14:paraId="3D5B0643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109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077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F47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29.53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D548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06ED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29.16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9505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30.26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63A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31.25</w:t>
            </w:r>
          </w:p>
        </w:tc>
      </w:tr>
      <w:tr w:rsidR="00644B6A" w:rsidRPr="00644B6A" w14:paraId="36A41F07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C173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D7B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25.65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7FA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31.53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841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30.65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805F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29.39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145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30.02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791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30.84</w:t>
            </w:r>
          </w:p>
        </w:tc>
      </w:tr>
      <w:tr w:rsidR="00644B6A" w:rsidRPr="00644B6A" w14:paraId="6E98B7DF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727E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E8D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29.52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1F0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30.85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5567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30.62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2B25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002A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8F9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30.30</w:t>
            </w:r>
          </w:p>
        </w:tc>
      </w:tr>
      <w:tr w:rsidR="00644B6A" w:rsidRPr="00644B6A" w14:paraId="4F9FB77F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D74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A976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28.51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E98E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C3A4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31.76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441E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231A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FC7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31.29</w:t>
            </w:r>
          </w:p>
        </w:tc>
      </w:tr>
      <w:tr w:rsidR="00644B6A" w:rsidRPr="00644B6A" w14:paraId="50FD25F6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F564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EE00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4EE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28.56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37A7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CED0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31.16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E3DA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29.69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FD8C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30.84</w:t>
            </w:r>
          </w:p>
        </w:tc>
      </w:tr>
      <w:tr w:rsidR="00644B6A" w:rsidRPr="00644B6A" w14:paraId="4839D381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210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D575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29.82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89F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31.10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593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916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96CF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29.68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546C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29.88</w:t>
            </w:r>
          </w:p>
        </w:tc>
      </w:tr>
      <w:tr w:rsidR="00644B6A" w:rsidRPr="00644B6A" w14:paraId="75FDEE8A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DC1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811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A63F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31.18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A893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F1EE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28.71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183E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CB5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31.19</w:t>
            </w:r>
          </w:p>
        </w:tc>
      </w:tr>
      <w:tr w:rsidR="00644B6A" w:rsidRPr="00644B6A" w14:paraId="3FB17DA2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179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71EF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C20D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30.64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548B3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29.98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DE6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30.51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29E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30.07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61D5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30.52</w:t>
            </w:r>
          </w:p>
        </w:tc>
      </w:tr>
      <w:tr w:rsidR="00644B6A" w:rsidRPr="00644B6A" w14:paraId="5431FB01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D8B9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9B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28.52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CAD1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A092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31.62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F76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CF28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29.63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0E6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30.51</w:t>
            </w:r>
          </w:p>
        </w:tc>
      </w:tr>
      <w:tr w:rsidR="00644B6A" w:rsidRPr="00644B6A" w14:paraId="28814F70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725B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D9FF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27.27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F789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29.98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FDD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4EC4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29.65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9A70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29.52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90B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29.74</w:t>
            </w:r>
          </w:p>
        </w:tc>
      </w:tr>
      <w:tr w:rsidR="00644B6A" w:rsidRPr="00644B6A" w14:paraId="592DEB36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153C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D0B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27.28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ADB6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30.50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2A9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1197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C241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30.09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118B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30.59</w:t>
            </w:r>
          </w:p>
        </w:tc>
      </w:tr>
      <w:tr w:rsidR="00644B6A" w:rsidRPr="00644B6A" w14:paraId="00686EF9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5627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622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29.70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7D7CB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E62F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30.19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280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30.27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45D2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30.05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550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32.44</w:t>
            </w:r>
          </w:p>
        </w:tc>
      </w:tr>
      <w:tr w:rsidR="00644B6A" w:rsidRPr="00644B6A" w14:paraId="4B081DDC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5E4E1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A5BD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20FA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EB37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30.58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8837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30.88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715C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30.10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A5E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29.51</w:t>
            </w:r>
          </w:p>
        </w:tc>
      </w:tr>
      <w:tr w:rsidR="00644B6A" w:rsidRPr="00644B6A" w14:paraId="4C9EF3C9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539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C8ED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117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30.93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845F2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30.75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197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30.36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E188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31.24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467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32.31</w:t>
            </w:r>
          </w:p>
        </w:tc>
      </w:tr>
      <w:tr w:rsidR="00644B6A" w:rsidRPr="00644B6A" w14:paraId="37F2A237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B3479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C041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43D3A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BC14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51539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E9E5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ED41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644B6A" w:rsidRPr="00644B6A" w14:paraId="7225D125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FC62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24BB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C76A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112B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5923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8E9A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593A" w14:textId="77777777" w:rsidR="00644B6A" w:rsidRPr="00644B6A" w:rsidRDefault="00644B6A" w:rsidP="00644B6A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644B6A" w:rsidRPr="00644B6A" w14:paraId="77622367" w14:textId="77777777" w:rsidTr="00644B6A">
        <w:trPr>
          <w:trHeight w:val="300"/>
        </w:trPr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78CB" w14:textId="77777777" w:rsidR="00644B6A" w:rsidRPr="00644B6A" w:rsidRDefault="00644B6A" w:rsidP="00644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AVERAGE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7E36E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29.02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CCB1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30.45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891F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30.47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42F5A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29.95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2EF0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30.48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AA394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30.74</w:t>
            </w:r>
          </w:p>
        </w:tc>
      </w:tr>
      <w:tr w:rsidR="00644B6A" w:rsidRPr="00644B6A" w14:paraId="6D26822F" w14:textId="77777777" w:rsidTr="00644B6A">
        <w:trPr>
          <w:trHeight w:val="300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20EE" w14:textId="77777777" w:rsidR="00644B6A" w:rsidRPr="00644B6A" w:rsidRDefault="00644B6A" w:rsidP="00644B6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STD. DEV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FD5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1.19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B2E5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ECF56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EF6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1487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5D558" w14:textId="77777777" w:rsidR="00644B6A" w:rsidRPr="00644B6A" w:rsidRDefault="00644B6A" w:rsidP="00644B6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44B6A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</w:tr>
    </w:tbl>
    <w:p w14:paraId="2C778D40" w14:textId="6243724F" w:rsidR="00264B5A" w:rsidRDefault="00264B5A" w:rsidP="00264B5A">
      <w:pPr>
        <w:spacing w:line="240" w:lineRule="auto"/>
        <w:ind w:firstLine="720"/>
        <w:rPr>
          <w:rFonts w:cs="Times New Roman"/>
          <w:sz w:val="24"/>
          <w:szCs w:val="24"/>
        </w:rPr>
      </w:pPr>
    </w:p>
    <w:p w14:paraId="2644D90C" w14:textId="77777777" w:rsidR="00264B5A" w:rsidRPr="00264B5A" w:rsidRDefault="00264B5A" w:rsidP="00264B5A">
      <w:pPr>
        <w:spacing w:line="240" w:lineRule="auto"/>
        <w:ind w:firstLine="720"/>
        <w:rPr>
          <w:rFonts w:cs="Times New Roman"/>
          <w:iCs/>
          <w:sz w:val="24"/>
          <w:szCs w:val="24"/>
        </w:rPr>
      </w:pPr>
    </w:p>
    <w:sectPr w:rsidR="00264B5A" w:rsidRPr="00264B5A" w:rsidSect="007262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D204B4"/>
    <w:multiLevelType w:val="hybridMultilevel"/>
    <w:tmpl w:val="9D5C7256"/>
    <w:lvl w:ilvl="0" w:tplc="C1243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B73BAF"/>
    <w:multiLevelType w:val="hybridMultilevel"/>
    <w:tmpl w:val="89366FCC"/>
    <w:lvl w:ilvl="0" w:tplc="B6F0A5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B5A"/>
    <w:rsid w:val="000F6598"/>
    <w:rsid w:val="00264B5A"/>
    <w:rsid w:val="003011E9"/>
    <w:rsid w:val="00644B6A"/>
    <w:rsid w:val="00726230"/>
    <w:rsid w:val="007334B6"/>
    <w:rsid w:val="00835BF7"/>
    <w:rsid w:val="00851D06"/>
    <w:rsid w:val="0085209E"/>
    <w:rsid w:val="00B56E08"/>
    <w:rsid w:val="00CB08E8"/>
    <w:rsid w:val="00D23805"/>
    <w:rsid w:val="00DD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8EEA3"/>
  <w15:chartTrackingRefBased/>
  <w15:docId w15:val="{D1ACC9B3-7808-9E4A-B217-48F69B2D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B5A"/>
    <w:pPr>
      <w:spacing w:after="200" w:line="480" w:lineRule="auto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4B5A"/>
    <w:pPr>
      <w:keepNext/>
      <w:keepLines/>
      <w:spacing w:before="240" w:after="0" w:line="240" w:lineRule="auto"/>
      <w:outlineLvl w:val="0"/>
    </w:pPr>
    <w:rPr>
      <w:rFonts w:eastAsiaTheme="majorEastAsia" w:cstheme="maj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4B5A"/>
    <w:rPr>
      <w:rFonts w:ascii="Times New Roman" w:eastAsiaTheme="majorEastAsia" w:hAnsi="Times New Roman" w:cstheme="majorBidi"/>
      <w:b/>
      <w:bCs/>
      <w:sz w:val="22"/>
      <w:szCs w:val="28"/>
    </w:rPr>
  </w:style>
  <w:style w:type="character" w:styleId="Hyperlink">
    <w:name w:val="Hyperlink"/>
    <w:basedOn w:val="DefaultParagraphFont"/>
    <w:uiPriority w:val="99"/>
    <w:unhideWhenUsed/>
    <w:rsid w:val="00264B5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64B5A"/>
    <w:pPr>
      <w:ind w:left="720"/>
      <w:contextualSpacing/>
    </w:pPr>
  </w:style>
  <w:style w:type="table" w:styleId="TableGrid">
    <w:name w:val="Table Grid"/>
    <w:basedOn w:val="TableNormal"/>
    <w:uiPriority w:val="59"/>
    <w:rsid w:val="00264B5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011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1E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334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34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34B6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34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34B6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27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gor.altman@navy.mil" TargetMode="External"/><Relationship Id="rId5" Type="http://schemas.openxmlformats.org/officeDocument/2006/relationships/hyperlink" Target="mailto:michelle.pantoya@ttu.ed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Tran, Quan</dc:creator>
  <cp:keywords/>
  <dc:description/>
  <cp:lastModifiedBy>Pantoya, Michelle</cp:lastModifiedBy>
  <cp:revision>9</cp:revision>
  <dcterms:created xsi:type="dcterms:W3CDTF">2021-02-28T18:06:00Z</dcterms:created>
  <dcterms:modified xsi:type="dcterms:W3CDTF">2021-03-02T21:17:00Z</dcterms:modified>
</cp:coreProperties>
</file>