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Supplemental Table</w:t>
      </w:r>
      <w:bookmarkStart w:id="2" w:name="_GoBack"/>
      <w:bookmarkEnd w:id="2"/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3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Univariate and multivariate analyses of progression-free survival in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prostate cancer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patients </w:t>
      </w:r>
    </w:p>
    <w:tbl>
      <w:tblPr>
        <w:tblStyle w:val="4"/>
        <w:tblpPr w:leftFromText="180" w:rightFromText="180" w:vertAnchor="text" w:horzAnchor="page" w:tblpX="1383" w:tblpY="226"/>
        <w:tblOverlap w:val="never"/>
        <w:tblW w:w="0" w:type="auto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0"/>
        <w:gridCol w:w="1024"/>
        <w:gridCol w:w="2160"/>
        <w:gridCol w:w="2010"/>
        <w:gridCol w:w="2330"/>
        <w:gridCol w:w="2680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0" w:type="dxa"/>
            <w:tcBorders>
              <w:bottom w:val="single" w:color="auto" w:sz="4" w:space="0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  <w:t>Characteristics</w:t>
            </w:r>
          </w:p>
        </w:tc>
        <w:tc>
          <w:tcPr>
            <w:tcW w:w="1024" w:type="dxa"/>
            <w:tcBorders>
              <w:bottom w:val="single" w:color="auto" w:sz="4" w:space="0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Total (n)</w:t>
            </w:r>
          </w:p>
        </w:tc>
        <w:tc>
          <w:tcPr>
            <w:tcW w:w="2160" w:type="dxa"/>
            <w:tcBorders>
              <w:bottom w:val="single" w:color="auto" w:sz="4" w:space="0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bookmarkStart w:id="0" w:name="OLE_LINK1"/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  <w:t>HR (95% CI),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  <w:t>Univariate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  <w:t>analysis</w:t>
            </w:r>
            <w:bookmarkEnd w:id="0"/>
          </w:p>
        </w:tc>
        <w:tc>
          <w:tcPr>
            <w:tcW w:w="2010" w:type="dxa"/>
            <w:tcBorders>
              <w:bottom w:val="single" w:color="auto" w:sz="4" w:space="0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P value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  <w:t>Univariate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  <w:t>analysis</w:t>
            </w:r>
          </w:p>
        </w:tc>
        <w:tc>
          <w:tcPr>
            <w:tcW w:w="2330" w:type="dxa"/>
            <w:tcBorders>
              <w:bottom w:val="single" w:color="auto" w:sz="4" w:space="0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  <w:t>HR (95% CI),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  <w:t>multivariate analysis</w:t>
            </w:r>
          </w:p>
        </w:tc>
        <w:tc>
          <w:tcPr>
            <w:tcW w:w="2680" w:type="dxa"/>
            <w:tcBorders>
              <w:bottom w:val="single" w:color="auto" w:sz="4" w:space="0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P value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  <w:t>multivariate analysis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3830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TYMSOS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 xml:space="preserve"> (low vs.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high)</w:t>
            </w:r>
          </w:p>
        </w:tc>
        <w:tc>
          <w:tcPr>
            <w:tcW w:w="1024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  <w:t>499</w:t>
            </w:r>
          </w:p>
        </w:tc>
        <w:tc>
          <w:tcPr>
            <w:tcW w:w="2160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1.833 (1.207-2.786)</w:t>
            </w:r>
          </w:p>
        </w:tc>
        <w:tc>
          <w:tcPr>
            <w:tcW w:w="2010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  <w:t>0.005</w:t>
            </w:r>
          </w:p>
        </w:tc>
        <w:tc>
          <w:tcPr>
            <w:tcW w:w="2330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  <w:t>1.694 (1.052-2.725)</w:t>
            </w:r>
          </w:p>
        </w:tc>
        <w:tc>
          <w:tcPr>
            <w:tcW w:w="2680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DejaVu Sans" w:cs="Times New Roman"/>
                <w:b/>
                <w:bCs/>
                <w:color w:val="000000"/>
                <w:sz w:val="21"/>
                <w:szCs w:val="21"/>
              </w:rPr>
              <w:t>0.030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Age (≤60 vs.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&gt;60 )</w:t>
            </w:r>
          </w:p>
        </w:tc>
        <w:tc>
          <w:tcPr>
            <w:tcW w:w="1024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499</w:t>
            </w:r>
          </w:p>
        </w:tc>
        <w:tc>
          <w:tcPr>
            <w:tcW w:w="216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  <w:t>1.302 (0.863-1.963)</w:t>
            </w:r>
          </w:p>
        </w:tc>
        <w:tc>
          <w:tcPr>
            <w:tcW w:w="201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  <w:t>0.208</w:t>
            </w:r>
          </w:p>
        </w:tc>
        <w:tc>
          <w:tcPr>
            <w:tcW w:w="233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268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T stage (T2 vs. T3 &amp; T4)</w:t>
            </w:r>
          </w:p>
        </w:tc>
        <w:tc>
          <w:tcPr>
            <w:tcW w:w="1024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492</w:t>
            </w:r>
          </w:p>
        </w:tc>
        <w:tc>
          <w:tcPr>
            <w:tcW w:w="216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  <w:t>3.785 (2.140-6.693)</w:t>
            </w:r>
          </w:p>
        </w:tc>
        <w:tc>
          <w:tcPr>
            <w:tcW w:w="201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b/>
                <w:bCs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33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  <w:t>1.479 (0.716-3.055)</w:t>
            </w:r>
          </w:p>
        </w:tc>
        <w:tc>
          <w:tcPr>
            <w:tcW w:w="268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  <w:t>0.290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N stage (N0 vs.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N1)</w:t>
            </w:r>
          </w:p>
        </w:tc>
        <w:tc>
          <w:tcPr>
            <w:tcW w:w="1024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  <w:t>426</w:t>
            </w:r>
          </w:p>
        </w:tc>
        <w:tc>
          <w:tcPr>
            <w:tcW w:w="216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  <w:t>1.946 (1.202-3.150)</w:t>
            </w:r>
          </w:p>
        </w:tc>
        <w:tc>
          <w:tcPr>
            <w:tcW w:w="201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b/>
                <w:bCs/>
                <w:color w:val="000000"/>
                <w:sz w:val="21"/>
                <w:szCs w:val="21"/>
              </w:rPr>
              <w:t>0.007</w:t>
            </w:r>
          </w:p>
        </w:tc>
        <w:tc>
          <w:tcPr>
            <w:tcW w:w="233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  <w:t>0.790 (0.454-1.374)</w:t>
            </w:r>
          </w:p>
        </w:tc>
        <w:tc>
          <w:tcPr>
            <w:tcW w:w="268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  <w:t>0.403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M stage ( M0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vs. M1)</w:t>
            </w:r>
          </w:p>
        </w:tc>
        <w:tc>
          <w:tcPr>
            <w:tcW w:w="1024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458</w:t>
            </w:r>
          </w:p>
        </w:tc>
        <w:tc>
          <w:tcPr>
            <w:tcW w:w="216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  <w:t>3.566 (0.494-25.753)</w:t>
            </w:r>
          </w:p>
        </w:tc>
        <w:tc>
          <w:tcPr>
            <w:tcW w:w="201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  <w:t>0.208</w:t>
            </w:r>
          </w:p>
        </w:tc>
        <w:tc>
          <w:tcPr>
            <w:tcW w:w="233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268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PSA (ng/mL) ( &lt;4 vs.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≥4)</w:t>
            </w:r>
          </w:p>
        </w:tc>
        <w:tc>
          <w:tcPr>
            <w:tcW w:w="1024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  <w:t>442</w:t>
            </w:r>
          </w:p>
        </w:tc>
        <w:tc>
          <w:tcPr>
            <w:tcW w:w="216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  <w:t>4.196 (2.095-8.405)</w:t>
            </w:r>
          </w:p>
        </w:tc>
        <w:tc>
          <w:tcPr>
            <w:tcW w:w="201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b/>
                <w:bCs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33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  <w:t>1.608 (0.721-3.586)</w:t>
            </w:r>
          </w:p>
        </w:tc>
        <w:tc>
          <w:tcPr>
            <w:tcW w:w="268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  <w:t>0.246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Primary therapy outcome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( CR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vs.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PD &amp; SD &amp; PR )</w:t>
            </w:r>
          </w:p>
        </w:tc>
        <w:tc>
          <w:tcPr>
            <w:tcW w:w="1024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  <w:t>438</w:t>
            </w:r>
          </w:p>
        </w:tc>
        <w:tc>
          <w:tcPr>
            <w:tcW w:w="216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  <w:t>6.627 (4.337-10.126)</w:t>
            </w:r>
          </w:p>
        </w:tc>
        <w:tc>
          <w:tcPr>
            <w:tcW w:w="201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b/>
                <w:bCs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33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  <w:t>3.752 (2.169-6.489)</w:t>
            </w:r>
          </w:p>
        </w:tc>
        <w:tc>
          <w:tcPr>
            <w:tcW w:w="268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b/>
                <w:bCs/>
                <w:color w:val="000000"/>
                <w:sz w:val="21"/>
                <w:szCs w:val="21"/>
              </w:rPr>
              <w:t>&lt;0.001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Residual tumor (R0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vs. R1 &amp; R2 )</w:t>
            </w:r>
          </w:p>
        </w:tc>
        <w:tc>
          <w:tcPr>
            <w:tcW w:w="1024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  <w:t>468</w:t>
            </w:r>
          </w:p>
        </w:tc>
        <w:tc>
          <w:tcPr>
            <w:tcW w:w="216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  <w:t>2.365 (1.566-3.570)</w:t>
            </w:r>
          </w:p>
        </w:tc>
        <w:tc>
          <w:tcPr>
            <w:tcW w:w="201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b/>
                <w:bCs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33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  <w:t>1.048 (0.618-1.778)</w:t>
            </w:r>
          </w:p>
        </w:tc>
        <w:tc>
          <w:tcPr>
            <w:tcW w:w="268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  <w:t>0.862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Gleason score (6 &amp; 7 vs. 8 &amp; 9 &amp; 10)</w:t>
            </w:r>
          </w:p>
        </w:tc>
        <w:tc>
          <w:tcPr>
            <w:tcW w:w="1024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  <w:t>499</w:t>
            </w:r>
          </w:p>
        </w:tc>
        <w:tc>
          <w:tcPr>
            <w:tcW w:w="216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  <w:t>4.675 (2.957-7.391)</w:t>
            </w:r>
          </w:p>
        </w:tc>
        <w:tc>
          <w:tcPr>
            <w:tcW w:w="201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b/>
                <w:bCs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33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  <w:t>2.846 (1.585-5.112)</w:t>
            </w:r>
          </w:p>
        </w:tc>
        <w:tc>
          <w:tcPr>
            <w:tcW w:w="268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b/>
                <w:bCs/>
                <w:color w:val="000000"/>
                <w:sz w:val="21"/>
                <w:szCs w:val="21"/>
              </w:rPr>
              <w:t>&lt;0.001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Zone of origin (</w:t>
            </w:r>
            <w:r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  <w:t xml:space="preserve"> peripheral zon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e </w:t>
            </w:r>
            <w:r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  <w:t xml:space="preserve">vs. </w:t>
            </w:r>
            <w:bookmarkStart w:id="1" w:name="OLE_LINK11"/>
            <w:r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  <w:t>Central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  <w:t>Zone&amp;Overlapping / Multiple Zones&amp;Transition Zone</w:t>
            </w:r>
            <w:bookmarkEnd w:id="1"/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)</w:t>
            </w:r>
          </w:p>
        </w:tc>
        <w:tc>
          <w:tcPr>
            <w:tcW w:w="1024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  <w:t>275</w:t>
            </w:r>
          </w:p>
        </w:tc>
        <w:tc>
          <w:tcPr>
            <w:tcW w:w="216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  <w:t>1.170 (0.726-1.887)</w:t>
            </w:r>
          </w:p>
        </w:tc>
        <w:tc>
          <w:tcPr>
            <w:tcW w:w="201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  <w:t>0.519</w:t>
            </w:r>
          </w:p>
        </w:tc>
        <w:tc>
          <w:tcPr>
            <w:tcW w:w="233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268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Race ( Asian &amp; Black or African American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vs. White)</w:t>
            </w:r>
          </w:p>
        </w:tc>
        <w:tc>
          <w:tcPr>
            <w:tcW w:w="1024" w:type="dxa"/>
            <w:tcBorders>
              <w:tl2br w:val="nil"/>
              <w:tr2bl w:val="nil"/>
            </w:tcBorders>
          </w:tcPr>
          <w:p>
            <w:pPr>
              <w:widowControl w:val="0"/>
              <w:ind w:firstLine="210" w:firstLineChars="100"/>
              <w:jc w:val="both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  <w:t>484</w:t>
            </w:r>
          </w:p>
        </w:tc>
        <w:tc>
          <w:tcPr>
            <w:tcW w:w="216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  <w:t>1.332 (0.739-2.401)</w:t>
            </w:r>
          </w:p>
        </w:tc>
        <w:tc>
          <w:tcPr>
            <w:tcW w:w="201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  <w:t>0.339</w:t>
            </w:r>
          </w:p>
        </w:tc>
        <w:tc>
          <w:tcPr>
            <w:tcW w:w="233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268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</w:p>
        </w:tc>
      </w:tr>
    </w:tbl>
    <w:p>
      <w:pPr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CR, complete response; PD, progressive disease; SD, stable disease; PR, partial response; PSA, prostate specific antigen.</w:t>
      </w:r>
    </w:p>
    <w:p>
      <w:pPr>
        <w:jc w:val="center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DejaVu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00000000"/>
    <w:rsid w:val="11E13EA4"/>
    <w:rsid w:val="389F4A44"/>
    <w:rsid w:val="467D2F34"/>
    <w:rsid w:val="479708E7"/>
    <w:rsid w:val="56BA690F"/>
    <w:rsid w:val="70B73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2022-06-09T13:41:00Z</dcterms:created>
  <dc:creator>xia'zhong'you</dc:creator>
  <cp:lastModifiedBy>xzy</cp:lastModifiedBy>
  <dcterms:modified xsi:type="dcterms:W3CDTF">2022-11-14T05:28:34Z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8A43406ECBFC4B57B083708B10CDC896</vt:lpwstr>
  </property>
</Properties>
</file>